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196D0F">
      <w:pPr>
        <w:jc w:val="both"/>
        <w:rPr>
          <w:rFonts w:hint="eastAsia" w:ascii="宋体" w:hAnsi="宋体" w:eastAsia="宋体" w:cs="宋体"/>
          <w:b/>
          <w:sz w:val="44"/>
          <w:szCs w:val="44"/>
          <w:highlight w:val="none"/>
        </w:rPr>
      </w:pPr>
      <w:r>
        <w:drawing>
          <wp:inline distT="0" distB="0" distL="114300" distR="114300">
            <wp:extent cx="5860415" cy="8300085"/>
            <wp:effectExtent l="0" t="0" r="6985" b="571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12"/>
                    <a:stretch>
                      <a:fillRect/>
                    </a:stretch>
                  </pic:blipFill>
                  <pic:spPr>
                    <a:xfrm>
                      <a:off x="0" y="0"/>
                      <a:ext cx="5860415" cy="8300085"/>
                    </a:xfrm>
                    <a:prstGeom prst="rect">
                      <a:avLst/>
                    </a:prstGeom>
                    <a:noFill/>
                    <a:ln w="9525">
                      <a:noFill/>
                    </a:ln>
                  </pic:spPr>
                </pic:pic>
              </a:graphicData>
            </a:graphic>
          </wp:inline>
        </w:drawing>
      </w:r>
    </w:p>
    <w:p w14:paraId="722520D7">
      <w:pPr>
        <w:widowControl/>
        <w:jc w:val="center"/>
        <w:rPr>
          <w:rFonts w:ascii="宋体" w:hAnsi="宋体" w:eastAsia="宋体" w:cs="宋体"/>
          <w:b/>
          <w:bCs/>
          <w:sz w:val="32"/>
          <w:szCs w:val="32"/>
          <w:highlight w:val="none"/>
        </w:rPr>
      </w:pPr>
    </w:p>
    <w:p w14:paraId="45B5D2EA">
      <w:pPr>
        <w:widowControl/>
        <w:jc w:val="center"/>
        <w:rPr>
          <w:rFonts w:hint="eastAsia" w:ascii="宋体" w:hAnsi="宋体" w:eastAsia="宋体" w:cs="宋体"/>
          <w:b/>
          <w:bCs/>
          <w:sz w:val="40"/>
          <w:szCs w:val="40"/>
          <w:highlight w:val="none"/>
        </w:rPr>
        <w:sectPr>
          <w:headerReference r:id="rId3" w:type="default"/>
          <w:footerReference r:id="rId4" w:type="default"/>
          <w:pgSz w:w="11906" w:h="16838"/>
          <w:pgMar w:top="1429" w:right="1497" w:bottom="1417" w:left="1480" w:header="0" w:footer="975" w:gutter="0"/>
          <w:pgNumType w:start="1"/>
          <w:cols w:space="0" w:num="1"/>
          <w:rtlGutter w:val="0"/>
          <w:docGrid w:linePitch="312" w:charSpace="0"/>
        </w:sectPr>
      </w:pPr>
    </w:p>
    <w:p w14:paraId="3391C9E0">
      <w:pPr>
        <w:widowControl/>
        <w:jc w:val="center"/>
        <w:rPr>
          <w:rFonts w:hint="eastAsia" w:ascii="宋体" w:hAnsi="宋体" w:eastAsia="宋体" w:cs="宋体"/>
          <w:b/>
          <w:bCs/>
          <w:sz w:val="40"/>
          <w:szCs w:val="40"/>
          <w:highlight w:val="none"/>
        </w:rPr>
      </w:pPr>
      <w:r>
        <w:rPr>
          <w:rFonts w:hint="eastAsia" w:ascii="宋体" w:hAnsi="宋体" w:eastAsia="宋体" w:cs="宋体"/>
          <w:b/>
          <w:bCs/>
          <w:sz w:val="40"/>
          <w:szCs w:val="40"/>
          <w:highlight w:val="none"/>
        </w:rPr>
        <w:t>目录</w:t>
      </w:r>
    </w:p>
    <w:p w14:paraId="5A27B1C1">
      <w:pPr>
        <w:widowControl/>
        <w:jc w:val="center"/>
        <w:rPr>
          <w:rFonts w:hint="eastAsia" w:ascii="宋体" w:hAnsi="宋体" w:eastAsia="宋体" w:cs="宋体"/>
          <w:b/>
          <w:bCs/>
          <w:sz w:val="18"/>
          <w:szCs w:val="18"/>
          <w:highlight w:val="none"/>
        </w:rPr>
      </w:pPr>
    </w:p>
    <w:p w14:paraId="669796F9">
      <w:pPr>
        <w:pStyle w:val="20"/>
        <w:tabs>
          <w:tab w:val="right" w:leader="dot" w:pos="8929"/>
          <w:tab w:val="clear" w:pos="9060"/>
        </w:tabs>
        <w:rPr>
          <w:rFonts w:hint="eastAsia" w:ascii="宋体" w:hAnsi="宋体" w:eastAsia="宋体" w:cs="宋体"/>
          <w:sz w:val="24"/>
          <w:szCs w:val="24"/>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TOC \o "1-3" \h \z \u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_Toc17242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rPr>
        <w:t>第一章招标公告</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_Toc17242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highlight w:val="none"/>
        </w:rPr>
        <w:fldChar w:fldCharType="end"/>
      </w:r>
    </w:p>
    <w:p w14:paraId="27102513">
      <w:pPr>
        <w:pStyle w:val="20"/>
        <w:tabs>
          <w:tab w:val="right" w:leader="dot" w:pos="8929"/>
          <w:tab w:val="clear" w:pos="9060"/>
        </w:tabs>
        <w:rPr>
          <w:rFonts w:hint="eastAsia" w:ascii="宋体" w:hAnsi="宋体" w:eastAsia="宋体" w:cs="宋体"/>
          <w:sz w:val="24"/>
          <w:szCs w:val="24"/>
        </w:rPr>
      </w:pPr>
      <w:r>
        <w:rPr>
          <w:rFonts w:hint="eastAsia" w:ascii="宋体" w:hAnsi="宋体" w:eastAsia="宋体" w:cs="宋体"/>
          <w:bCs/>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_Toc20580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sz w:val="24"/>
          <w:szCs w:val="24"/>
        </w:rPr>
        <w:t>第二章投标人须知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_Toc20580 \h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bCs/>
          <w:kern w:val="2"/>
          <w:sz w:val="24"/>
          <w:szCs w:val="24"/>
          <w:highlight w:val="none"/>
          <w:lang w:val="en-US" w:eastAsia="zh-CN" w:bidi="ar-SA"/>
        </w:rPr>
        <w:fldChar w:fldCharType="end"/>
      </w:r>
    </w:p>
    <w:p w14:paraId="1F9CA3E6">
      <w:pPr>
        <w:pStyle w:val="21"/>
        <w:tabs>
          <w:tab w:val="right" w:leader="dot" w:pos="8929"/>
        </w:tabs>
        <w:rPr>
          <w:rFonts w:hint="eastAsia" w:ascii="宋体" w:hAnsi="宋体" w:eastAsia="宋体" w:cs="宋体"/>
          <w:sz w:val="24"/>
          <w:szCs w:val="24"/>
        </w:rPr>
      </w:pPr>
      <w:r>
        <w:rPr>
          <w:rFonts w:hint="eastAsia" w:ascii="宋体" w:hAnsi="宋体" w:eastAsia="宋体" w:cs="宋体"/>
          <w:bCs/>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_Toc31186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bCs w:val="0"/>
          <w:sz w:val="24"/>
          <w:szCs w:val="24"/>
        </w:rPr>
        <w:t>投标人须知前附表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_Toc31186 \h </w:instrText>
      </w:r>
      <w:r>
        <w:rPr>
          <w:rFonts w:hint="eastAsia" w:ascii="宋体" w:hAnsi="宋体" w:eastAsia="宋体" w:cs="宋体"/>
          <w:sz w:val="24"/>
          <w:szCs w:val="24"/>
        </w:rPr>
        <w:fldChar w:fldCharType="separate"/>
      </w:r>
      <w:r>
        <w:rPr>
          <w:rFonts w:hint="eastAsia" w:ascii="宋体" w:hAnsi="宋体" w:eastAsia="宋体" w:cs="宋体"/>
          <w:sz w:val="24"/>
          <w:szCs w:val="24"/>
        </w:rPr>
        <w:t>7</w:t>
      </w:r>
      <w:r>
        <w:rPr>
          <w:rFonts w:hint="eastAsia" w:ascii="宋体" w:hAnsi="宋体" w:eastAsia="宋体" w:cs="宋体"/>
          <w:sz w:val="24"/>
          <w:szCs w:val="24"/>
        </w:rPr>
        <w:fldChar w:fldCharType="end"/>
      </w:r>
      <w:r>
        <w:rPr>
          <w:rFonts w:hint="eastAsia" w:ascii="宋体" w:hAnsi="宋体" w:eastAsia="宋体" w:cs="宋体"/>
          <w:bCs/>
          <w:kern w:val="2"/>
          <w:sz w:val="24"/>
          <w:szCs w:val="24"/>
          <w:highlight w:val="none"/>
          <w:lang w:val="en-US" w:eastAsia="zh-CN" w:bidi="ar-SA"/>
        </w:rPr>
        <w:fldChar w:fldCharType="end"/>
      </w:r>
    </w:p>
    <w:p w14:paraId="648A1B2B">
      <w:pPr>
        <w:pStyle w:val="21"/>
        <w:tabs>
          <w:tab w:val="right" w:leader="dot" w:pos="8929"/>
        </w:tabs>
        <w:rPr>
          <w:rFonts w:hint="eastAsia" w:ascii="宋体" w:hAnsi="宋体" w:eastAsia="宋体" w:cs="宋体"/>
          <w:sz w:val="24"/>
          <w:szCs w:val="24"/>
        </w:rPr>
      </w:pPr>
      <w:r>
        <w:rPr>
          <w:rFonts w:hint="eastAsia" w:ascii="宋体" w:hAnsi="宋体" w:eastAsia="宋体" w:cs="宋体"/>
          <w:bCs/>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_Toc18647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bCs w:val="0"/>
          <w:sz w:val="24"/>
          <w:szCs w:val="24"/>
        </w:rPr>
        <w:t>投标人须知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_Toc18647 \h </w:instrText>
      </w:r>
      <w:r>
        <w:rPr>
          <w:rFonts w:hint="eastAsia" w:ascii="宋体" w:hAnsi="宋体" w:eastAsia="宋体" w:cs="宋体"/>
          <w:sz w:val="24"/>
          <w:szCs w:val="24"/>
        </w:rPr>
        <w:fldChar w:fldCharType="separate"/>
      </w:r>
      <w:r>
        <w:rPr>
          <w:rFonts w:hint="eastAsia" w:ascii="宋体" w:hAnsi="宋体" w:eastAsia="宋体" w:cs="宋体"/>
          <w:sz w:val="24"/>
          <w:szCs w:val="24"/>
        </w:rPr>
        <w:t>12</w:t>
      </w:r>
      <w:r>
        <w:rPr>
          <w:rFonts w:hint="eastAsia" w:ascii="宋体" w:hAnsi="宋体" w:eastAsia="宋体" w:cs="宋体"/>
          <w:sz w:val="24"/>
          <w:szCs w:val="24"/>
        </w:rPr>
        <w:fldChar w:fldCharType="end"/>
      </w:r>
      <w:r>
        <w:rPr>
          <w:rFonts w:hint="eastAsia" w:ascii="宋体" w:hAnsi="宋体" w:eastAsia="宋体" w:cs="宋体"/>
          <w:bCs/>
          <w:kern w:val="2"/>
          <w:sz w:val="24"/>
          <w:szCs w:val="24"/>
          <w:highlight w:val="none"/>
          <w:lang w:val="en-US" w:eastAsia="zh-CN" w:bidi="ar-SA"/>
        </w:rPr>
        <w:fldChar w:fldCharType="end"/>
      </w:r>
    </w:p>
    <w:p w14:paraId="7581C534">
      <w:pPr>
        <w:pStyle w:val="14"/>
        <w:tabs>
          <w:tab w:val="right" w:leader="dot" w:pos="8929"/>
        </w:tabs>
        <w:rPr>
          <w:rFonts w:hint="eastAsia" w:ascii="宋体" w:hAnsi="宋体" w:eastAsia="宋体" w:cs="宋体"/>
          <w:sz w:val="24"/>
          <w:szCs w:val="24"/>
        </w:rPr>
      </w:pPr>
      <w:r>
        <w:rPr>
          <w:rFonts w:hint="eastAsia" w:ascii="宋体" w:hAnsi="宋体" w:eastAsia="宋体" w:cs="宋体"/>
          <w:bCs/>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_Toc775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sz w:val="24"/>
          <w:szCs w:val="24"/>
        </w:rPr>
        <w:t>一、说明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_Toc775 \h </w:instrText>
      </w:r>
      <w:r>
        <w:rPr>
          <w:rFonts w:hint="eastAsia" w:ascii="宋体" w:hAnsi="宋体" w:eastAsia="宋体" w:cs="宋体"/>
          <w:sz w:val="24"/>
          <w:szCs w:val="24"/>
        </w:rPr>
        <w:fldChar w:fldCharType="separate"/>
      </w:r>
      <w:r>
        <w:rPr>
          <w:rFonts w:hint="eastAsia" w:ascii="宋体" w:hAnsi="宋体" w:eastAsia="宋体" w:cs="宋体"/>
          <w:sz w:val="24"/>
          <w:szCs w:val="24"/>
        </w:rPr>
        <w:t>12</w:t>
      </w:r>
      <w:r>
        <w:rPr>
          <w:rFonts w:hint="eastAsia" w:ascii="宋体" w:hAnsi="宋体" w:eastAsia="宋体" w:cs="宋体"/>
          <w:sz w:val="24"/>
          <w:szCs w:val="24"/>
        </w:rPr>
        <w:fldChar w:fldCharType="end"/>
      </w:r>
      <w:r>
        <w:rPr>
          <w:rFonts w:hint="eastAsia" w:ascii="宋体" w:hAnsi="宋体" w:eastAsia="宋体" w:cs="宋体"/>
          <w:bCs/>
          <w:kern w:val="2"/>
          <w:sz w:val="24"/>
          <w:szCs w:val="24"/>
          <w:highlight w:val="none"/>
          <w:lang w:val="en-US" w:eastAsia="zh-CN" w:bidi="ar-SA"/>
        </w:rPr>
        <w:fldChar w:fldCharType="end"/>
      </w:r>
    </w:p>
    <w:p w14:paraId="29B4BCAA">
      <w:pPr>
        <w:pStyle w:val="14"/>
        <w:tabs>
          <w:tab w:val="right" w:leader="dot" w:pos="8929"/>
        </w:tabs>
        <w:rPr>
          <w:rFonts w:hint="eastAsia" w:ascii="宋体" w:hAnsi="宋体" w:eastAsia="宋体" w:cs="宋体"/>
          <w:sz w:val="24"/>
          <w:szCs w:val="24"/>
        </w:rPr>
      </w:pPr>
      <w:r>
        <w:rPr>
          <w:rFonts w:hint="eastAsia" w:ascii="宋体" w:hAnsi="宋体" w:eastAsia="宋体" w:cs="宋体"/>
          <w:bCs/>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_Toc811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sz w:val="24"/>
          <w:szCs w:val="24"/>
        </w:rPr>
        <w:t>二、招标文件</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_Toc811 \h </w:instrText>
      </w:r>
      <w:r>
        <w:rPr>
          <w:rFonts w:hint="eastAsia" w:ascii="宋体" w:hAnsi="宋体" w:eastAsia="宋体" w:cs="宋体"/>
          <w:sz w:val="24"/>
          <w:szCs w:val="24"/>
        </w:rPr>
        <w:fldChar w:fldCharType="separate"/>
      </w:r>
      <w:r>
        <w:rPr>
          <w:rFonts w:hint="eastAsia" w:ascii="宋体" w:hAnsi="宋体" w:eastAsia="宋体" w:cs="宋体"/>
          <w:sz w:val="24"/>
          <w:szCs w:val="24"/>
        </w:rPr>
        <w:t>13</w:t>
      </w:r>
      <w:r>
        <w:rPr>
          <w:rFonts w:hint="eastAsia" w:ascii="宋体" w:hAnsi="宋体" w:eastAsia="宋体" w:cs="宋体"/>
          <w:sz w:val="24"/>
          <w:szCs w:val="24"/>
        </w:rPr>
        <w:fldChar w:fldCharType="end"/>
      </w:r>
      <w:r>
        <w:rPr>
          <w:rFonts w:hint="eastAsia" w:ascii="宋体" w:hAnsi="宋体" w:eastAsia="宋体" w:cs="宋体"/>
          <w:bCs/>
          <w:kern w:val="2"/>
          <w:sz w:val="24"/>
          <w:szCs w:val="24"/>
          <w:highlight w:val="none"/>
          <w:lang w:val="en-US" w:eastAsia="zh-CN" w:bidi="ar-SA"/>
        </w:rPr>
        <w:fldChar w:fldCharType="end"/>
      </w:r>
    </w:p>
    <w:p w14:paraId="775355C2">
      <w:pPr>
        <w:pStyle w:val="14"/>
        <w:tabs>
          <w:tab w:val="right" w:leader="dot" w:pos="8929"/>
        </w:tabs>
        <w:rPr>
          <w:rFonts w:hint="eastAsia" w:ascii="宋体" w:hAnsi="宋体" w:eastAsia="宋体" w:cs="宋体"/>
          <w:sz w:val="24"/>
          <w:szCs w:val="24"/>
        </w:rPr>
      </w:pPr>
      <w:r>
        <w:rPr>
          <w:rFonts w:hint="eastAsia" w:ascii="宋体" w:hAnsi="宋体" w:eastAsia="宋体" w:cs="宋体"/>
          <w:bCs/>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_Toc18769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sz w:val="24"/>
          <w:szCs w:val="24"/>
        </w:rPr>
        <w:t>三、投标文件的编制</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_Toc18769 \h </w:instrText>
      </w:r>
      <w:r>
        <w:rPr>
          <w:rFonts w:hint="eastAsia" w:ascii="宋体" w:hAnsi="宋体" w:eastAsia="宋体" w:cs="宋体"/>
          <w:sz w:val="24"/>
          <w:szCs w:val="24"/>
        </w:rPr>
        <w:fldChar w:fldCharType="separate"/>
      </w:r>
      <w:r>
        <w:rPr>
          <w:rFonts w:hint="eastAsia" w:ascii="宋体" w:hAnsi="宋体" w:eastAsia="宋体" w:cs="宋体"/>
          <w:sz w:val="24"/>
          <w:szCs w:val="24"/>
        </w:rPr>
        <w:t>14</w:t>
      </w:r>
      <w:r>
        <w:rPr>
          <w:rFonts w:hint="eastAsia" w:ascii="宋体" w:hAnsi="宋体" w:eastAsia="宋体" w:cs="宋体"/>
          <w:sz w:val="24"/>
          <w:szCs w:val="24"/>
        </w:rPr>
        <w:fldChar w:fldCharType="end"/>
      </w:r>
      <w:r>
        <w:rPr>
          <w:rFonts w:hint="eastAsia" w:ascii="宋体" w:hAnsi="宋体" w:eastAsia="宋体" w:cs="宋体"/>
          <w:bCs/>
          <w:kern w:val="2"/>
          <w:sz w:val="24"/>
          <w:szCs w:val="24"/>
          <w:highlight w:val="none"/>
          <w:lang w:val="en-US" w:eastAsia="zh-CN" w:bidi="ar-SA"/>
        </w:rPr>
        <w:fldChar w:fldCharType="end"/>
      </w:r>
    </w:p>
    <w:p w14:paraId="42927CEC">
      <w:pPr>
        <w:pStyle w:val="14"/>
        <w:tabs>
          <w:tab w:val="right" w:leader="dot" w:pos="8929"/>
        </w:tabs>
        <w:rPr>
          <w:rFonts w:hint="eastAsia" w:ascii="宋体" w:hAnsi="宋体" w:eastAsia="宋体" w:cs="宋体"/>
          <w:sz w:val="24"/>
          <w:szCs w:val="24"/>
        </w:rPr>
      </w:pPr>
      <w:r>
        <w:rPr>
          <w:rFonts w:hint="eastAsia" w:ascii="宋体" w:hAnsi="宋体" w:eastAsia="宋体" w:cs="宋体"/>
          <w:bCs/>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_Toc27419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sz w:val="24"/>
          <w:szCs w:val="24"/>
        </w:rPr>
        <w:t>四、投标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_Toc27419 \h </w:instrText>
      </w:r>
      <w:r>
        <w:rPr>
          <w:rFonts w:hint="eastAsia" w:ascii="宋体" w:hAnsi="宋体" w:eastAsia="宋体" w:cs="宋体"/>
          <w:sz w:val="24"/>
          <w:szCs w:val="24"/>
        </w:rPr>
        <w:fldChar w:fldCharType="separate"/>
      </w:r>
      <w:r>
        <w:rPr>
          <w:rFonts w:hint="eastAsia" w:ascii="宋体" w:hAnsi="宋体" w:eastAsia="宋体" w:cs="宋体"/>
          <w:sz w:val="24"/>
          <w:szCs w:val="24"/>
        </w:rPr>
        <w:t>17</w:t>
      </w:r>
      <w:r>
        <w:rPr>
          <w:rFonts w:hint="eastAsia" w:ascii="宋体" w:hAnsi="宋体" w:eastAsia="宋体" w:cs="宋体"/>
          <w:sz w:val="24"/>
          <w:szCs w:val="24"/>
        </w:rPr>
        <w:fldChar w:fldCharType="end"/>
      </w:r>
      <w:r>
        <w:rPr>
          <w:rFonts w:hint="eastAsia" w:ascii="宋体" w:hAnsi="宋体" w:eastAsia="宋体" w:cs="宋体"/>
          <w:bCs/>
          <w:kern w:val="2"/>
          <w:sz w:val="24"/>
          <w:szCs w:val="24"/>
          <w:highlight w:val="none"/>
          <w:lang w:val="en-US" w:eastAsia="zh-CN" w:bidi="ar-SA"/>
        </w:rPr>
        <w:fldChar w:fldCharType="end"/>
      </w:r>
    </w:p>
    <w:p w14:paraId="1A3D5F55">
      <w:pPr>
        <w:pStyle w:val="14"/>
        <w:tabs>
          <w:tab w:val="right" w:leader="dot" w:pos="8929"/>
        </w:tabs>
        <w:rPr>
          <w:rFonts w:hint="eastAsia" w:ascii="宋体" w:hAnsi="宋体" w:eastAsia="宋体" w:cs="宋体"/>
          <w:sz w:val="24"/>
          <w:szCs w:val="24"/>
        </w:rPr>
      </w:pPr>
      <w:r>
        <w:rPr>
          <w:rFonts w:hint="eastAsia" w:ascii="宋体" w:hAnsi="宋体" w:eastAsia="宋体" w:cs="宋体"/>
          <w:bCs/>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_Toc4411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sz w:val="24"/>
          <w:szCs w:val="24"/>
        </w:rPr>
        <w:t>五、开标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_Toc4411 \h </w:instrText>
      </w:r>
      <w:r>
        <w:rPr>
          <w:rFonts w:hint="eastAsia" w:ascii="宋体" w:hAnsi="宋体" w:eastAsia="宋体" w:cs="宋体"/>
          <w:sz w:val="24"/>
          <w:szCs w:val="24"/>
        </w:rPr>
        <w:fldChar w:fldCharType="separate"/>
      </w:r>
      <w:r>
        <w:rPr>
          <w:rFonts w:hint="eastAsia" w:ascii="宋体" w:hAnsi="宋体" w:eastAsia="宋体" w:cs="宋体"/>
          <w:sz w:val="24"/>
          <w:szCs w:val="24"/>
        </w:rPr>
        <w:t>18</w:t>
      </w:r>
      <w:r>
        <w:rPr>
          <w:rFonts w:hint="eastAsia" w:ascii="宋体" w:hAnsi="宋体" w:eastAsia="宋体" w:cs="宋体"/>
          <w:sz w:val="24"/>
          <w:szCs w:val="24"/>
        </w:rPr>
        <w:fldChar w:fldCharType="end"/>
      </w:r>
      <w:r>
        <w:rPr>
          <w:rFonts w:hint="eastAsia" w:ascii="宋体" w:hAnsi="宋体" w:eastAsia="宋体" w:cs="宋体"/>
          <w:bCs/>
          <w:kern w:val="2"/>
          <w:sz w:val="24"/>
          <w:szCs w:val="24"/>
          <w:highlight w:val="none"/>
          <w:lang w:val="en-US" w:eastAsia="zh-CN" w:bidi="ar-SA"/>
        </w:rPr>
        <w:fldChar w:fldCharType="end"/>
      </w:r>
    </w:p>
    <w:p w14:paraId="1726BA75">
      <w:pPr>
        <w:pStyle w:val="14"/>
        <w:tabs>
          <w:tab w:val="right" w:leader="dot" w:pos="8929"/>
        </w:tabs>
        <w:rPr>
          <w:rFonts w:hint="eastAsia" w:ascii="宋体" w:hAnsi="宋体" w:eastAsia="宋体" w:cs="宋体"/>
          <w:sz w:val="24"/>
          <w:szCs w:val="24"/>
        </w:rPr>
      </w:pPr>
      <w:r>
        <w:rPr>
          <w:rFonts w:hint="eastAsia" w:ascii="宋体" w:hAnsi="宋体" w:eastAsia="宋体" w:cs="宋体"/>
          <w:bCs/>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_Toc985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sz w:val="24"/>
          <w:szCs w:val="24"/>
        </w:rPr>
        <w:t>六、评标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_Toc985 \h </w:instrText>
      </w:r>
      <w:r>
        <w:rPr>
          <w:rFonts w:hint="eastAsia" w:ascii="宋体" w:hAnsi="宋体" w:eastAsia="宋体" w:cs="宋体"/>
          <w:sz w:val="24"/>
          <w:szCs w:val="24"/>
        </w:rPr>
        <w:fldChar w:fldCharType="separate"/>
      </w:r>
      <w:r>
        <w:rPr>
          <w:rFonts w:hint="eastAsia" w:ascii="宋体" w:hAnsi="宋体" w:eastAsia="宋体" w:cs="宋体"/>
          <w:sz w:val="24"/>
          <w:szCs w:val="24"/>
        </w:rPr>
        <w:t>19</w:t>
      </w:r>
      <w:r>
        <w:rPr>
          <w:rFonts w:hint="eastAsia" w:ascii="宋体" w:hAnsi="宋体" w:eastAsia="宋体" w:cs="宋体"/>
          <w:sz w:val="24"/>
          <w:szCs w:val="24"/>
        </w:rPr>
        <w:fldChar w:fldCharType="end"/>
      </w:r>
      <w:r>
        <w:rPr>
          <w:rFonts w:hint="eastAsia" w:ascii="宋体" w:hAnsi="宋体" w:eastAsia="宋体" w:cs="宋体"/>
          <w:bCs/>
          <w:kern w:val="2"/>
          <w:sz w:val="24"/>
          <w:szCs w:val="24"/>
          <w:highlight w:val="none"/>
          <w:lang w:val="en-US" w:eastAsia="zh-CN" w:bidi="ar-SA"/>
        </w:rPr>
        <w:fldChar w:fldCharType="end"/>
      </w:r>
    </w:p>
    <w:p w14:paraId="26982035">
      <w:pPr>
        <w:pStyle w:val="14"/>
        <w:tabs>
          <w:tab w:val="right" w:leader="dot" w:pos="8929"/>
        </w:tabs>
        <w:rPr>
          <w:rFonts w:hint="eastAsia" w:ascii="宋体" w:hAnsi="宋体" w:eastAsia="宋体" w:cs="宋体"/>
          <w:sz w:val="24"/>
          <w:szCs w:val="24"/>
        </w:rPr>
      </w:pPr>
      <w:r>
        <w:rPr>
          <w:rFonts w:hint="eastAsia" w:ascii="宋体" w:hAnsi="宋体" w:eastAsia="宋体" w:cs="宋体"/>
          <w:bCs/>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_Toc9905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sz w:val="24"/>
          <w:szCs w:val="24"/>
        </w:rPr>
        <w:t>七、授予合同</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_Toc9905 \h </w:instrText>
      </w:r>
      <w:r>
        <w:rPr>
          <w:rFonts w:hint="eastAsia" w:ascii="宋体" w:hAnsi="宋体" w:eastAsia="宋体" w:cs="宋体"/>
          <w:sz w:val="24"/>
          <w:szCs w:val="24"/>
        </w:rPr>
        <w:fldChar w:fldCharType="separate"/>
      </w:r>
      <w:r>
        <w:rPr>
          <w:rFonts w:hint="eastAsia" w:ascii="宋体" w:hAnsi="宋体" w:eastAsia="宋体" w:cs="宋体"/>
          <w:sz w:val="24"/>
          <w:szCs w:val="24"/>
        </w:rPr>
        <w:t>24</w:t>
      </w:r>
      <w:r>
        <w:rPr>
          <w:rFonts w:hint="eastAsia" w:ascii="宋体" w:hAnsi="宋体" w:eastAsia="宋体" w:cs="宋体"/>
          <w:sz w:val="24"/>
          <w:szCs w:val="24"/>
        </w:rPr>
        <w:fldChar w:fldCharType="end"/>
      </w:r>
      <w:r>
        <w:rPr>
          <w:rFonts w:hint="eastAsia" w:ascii="宋体" w:hAnsi="宋体" w:eastAsia="宋体" w:cs="宋体"/>
          <w:bCs/>
          <w:kern w:val="2"/>
          <w:sz w:val="24"/>
          <w:szCs w:val="24"/>
          <w:highlight w:val="none"/>
          <w:lang w:val="en-US" w:eastAsia="zh-CN" w:bidi="ar-SA"/>
        </w:rPr>
        <w:fldChar w:fldCharType="end"/>
      </w:r>
    </w:p>
    <w:p w14:paraId="1FE8C960">
      <w:pPr>
        <w:pStyle w:val="14"/>
        <w:tabs>
          <w:tab w:val="right" w:leader="dot" w:pos="8929"/>
        </w:tabs>
        <w:rPr>
          <w:rFonts w:hint="eastAsia" w:ascii="宋体" w:hAnsi="宋体" w:eastAsia="宋体" w:cs="宋体"/>
          <w:sz w:val="24"/>
          <w:szCs w:val="24"/>
        </w:rPr>
      </w:pPr>
      <w:r>
        <w:rPr>
          <w:rFonts w:hint="eastAsia" w:ascii="宋体" w:hAnsi="宋体" w:eastAsia="宋体" w:cs="宋体"/>
          <w:bCs/>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_Toc4350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sz w:val="24"/>
          <w:szCs w:val="24"/>
        </w:rPr>
        <w:t>八、废标条件和招标方式变更</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_Toc4350 \h </w:instrText>
      </w:r>
      <w:r>
        <w:rPr>
          <w:rFonts w:hint="eastAsia" w:ascii="宋体" w:hAnsi="宋体" w:eastAsia="宋体" w:cs="宋体"/>
          <w:sz w:val="24"/>
          <w:szCs w:val="24"/>
        </w:rPr>
        <w:fldChar w:fldCharType="separate"/>
      </w:r>
      <w:r>
        <w:rPr>
          <w:rFonts w:hint="eastAsia" w:ascii="宋体" w:hAnsi="宋体" w:eastAsia="宋体" w:cs="宋体"/>
          <w:sz w:val="24"/>
          <w:szCs w:val="24"/>
        </w:rPr>
        <w:t>25</w:t>
      </w:r>
      <w:r>
        <w:rPr>
          <w:rFonts w:hint="eastAsia" w:ascii="宋体" w:hAnsi="宋体" w:eastAsia="宋体" w:cs="宋体"/>
          <w:sz w:val="24"/>
          <w:szCs w:val="24"/>
        </w:rPr>
        <w:fldChar w:fldCharType="end"/>
      </w:r>
      <w:r>
        <w:rPr>
          <w:rFonts w:hint="eastAsia" w:ascii="宋体" w:hAnsi="宋体" w:eastAsia="宋体" w:cs="宋体"/>
          <w:bCs/>
          <w:kern w:val="2"/>
          <w:sz w:val="24"/>
          <w:szCs w:val="24"/>
          <w:highlight w:val="none"/>
          <w:lang w:val="en-US" w:eastAsia="zh-CN" w:bidi="ar-SA"/>
        </w:rPr>
        <w:fldChar w:fldCharType="end"/>
      </w:r>
    </w:p>
    <w:p w14:paraId="1F7D727E">
      <w:pPr>
        <w:pStyle w:val="14"/>
        <w:tabs>
          <w:tab w:val="right" w:leader="dot" w:pos="8929"/>
        </w:tabs>
        <w:rPr>
          <w:rFonts w:hint="eastAsia" w:ascii="宋体" w:hAnsi="宋体" w:eastAsia="宋体" w:cs="宋体"/>
          <w:sz w:val="24"/>
          <w:szCs w:val="24"/>
        </w:rPr>
      </w:pPr>
      <w:r>
        <w:rPr>
          <w:rFonts w:hint="eastAsia" w:ascii="宋体" w:hAnsi="宋体" w:eastAsia="宋体" w:cs="宋体"/>
          <w:bCs/>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_Toc20683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sz w:val="24"/>
          <w:szCs w:val="24"/>
        </w:rPr>
        <w:t>九、纪律和监督</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_Toc20683 \h </w:instrText>
      </w:r>
      <w:r>
        <w:rPr>
          <w:rFonts w:hint="eastAsia" w:ascii="宋体" w:hAnsi="宋体" w:eastAsia="宋体" w:cs="宋体"/>
          <w:sz w:val="24"/>
          <w:szCs w:val="24"/>
        </w:rPr>
        <w:fldChar w:fldCharType="separate"/>
      </w:r>
      <w:r>
        <w:rPr>
          <w:rFonts w:hint="eastAsia" w:ascii="宋体" w:hAnsi="宋体" w:eastAsia="宋体" w:cs="宋体"/>
          <w:sz w:val="24"/>
          <w:szCs w:val="24"/>
        </w:rPr>
        <w:t>26</w:t>
      </w:r>
      <w:r>
        <w:rPr>
          <w:rFonts w:hint="eastAsia" w:ascii="宋体" w:hAnsi="宋体" w:eastAsia="宋体" w:cs="宋体"/>
          <w:sz w:val="24"/>
          <w:szCs w:val="24"/>
        </w:rPr>
        <w:fldChar w:fldCharType="end"/>
      </w:r>
      <w:r>
        <w:rPr>
          <w:rFonts w:hint="eastAsia" w:ascii="宋体" w:hAnsi="宋体" w:eastAsia="宋体" w:cs="宋体"/>
          <w:bCs/>
          <w:kern w:val="2"/>
          <w:sz w:val="24"/>
          <w:szCs w:val="24"/>
          <w:highlight w:val="none"/>
          <w:lang w:val="en-US" w:eastAsia="zh-CN" w:bidi="ar-SA"/>
        </w:rPr>
        <w:fldChar w:fldCharType="end"/>
      </w:r>
    </w:p>
    <w:p w14:paraId="4EA4E4B0">
      <w:pPr>
        <w:pStyle w:val="14"/>
        <w:tabs>
          <w:tab w:val="right" w:leader="dot" w:pos="8929"/>
        </w:tabs>
        <w:rPr>
          <w:rFonts w:hint="eastAsia" w:ascii="宋体" w:hAnsi="宋体" w:eastAsia="宋体" w:cs="宋体"/>
          <w:sz w:val="24"/>
          <w:szCs w:val="24"/>
        </w:rPr>
      </w:pPr>
      <w:r>
        <w:rPr>
          <w:rFonts w:hint="eastAsia" w:ascii="宋体" w:hAnsi="宋体" w:eastAsia="宋体" w:cs="宋体"/>
          <w:bCs/>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_Toc28601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sz w:val="24"/>
          <w:szCs w:val="24"/>
        </w:rPr>
        <w:t>十、政府采购政策功能</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_Toc28601 \h </w:instrText>
      </w:r>
      <w:r>
        <w:rPr>
          <w:rFonts w:hint="eastAsia" w:ascii="宋体" w:hAnsi="宋体" w:eastAsia="宋体" w:cs="宋体"/>
          <w:sz w:val="24"/>
          <w:szCs w:val="24"/>
        </w:rPr>
        <w:fldChar w:fldCharType="separate"/>
      </w:r>
      <w:r>
        <w:rPr>
          <w:rFonts w:hint="eastAsia" w:ascii="宋体" w:hAnsi="宋体" w:eastAsia="宋体" w:cs="宋体"/>
          <w:sz w:val="24"/>
          <w:szCs w:val="24"/>
        </w:rPr>
        <w:t>27</w:t>
      </w:r>
      <w:r>
        <w:rPr>
          <w:rFonts w:hint="eastAsia" w:ascii="宋体" w:hAnsi="宋体" w:eastAsia="宋体" w:cs="宋体"/>
          <w:sz w:val="24"/>
          <w:szCs w:val="24"/>
        </w:rPr>
        <w:fldChar w:fldCharType="end"/>
      </w:r>
      <w:r>
        <w:rPr>
          <w:rFonts w:hint="eastAsia" w:ascii="宋体" w:hAnsi="宋体" w:eastAsia="宋体" w:cs="宋体"/>
          <w:bCs/>
          <w:kern w:val="2"/>
          <w:sz w:val="24"/>
          <w:szCs w:val="24"/>
          <w:highlight w:val="none"/>
          <w:lang w:val="en-US" w:eastAsia="zh-CN" w:bidi="ar-SA"/>
        </w:rPr>
        <w:fldChar w:fldCharType="end"/>
      </w:r>
    </w:p>
    <w:p w14:paraId="2A4AA821">
      <w:pPr>
        <w:pStyle w:val="14"/>
        <w:tabs>
          <w:tab w:val="right" w:leader="dot" w:pos="8929"/>
        </w:tabs>
        <w:rPr>
          <w:rFonts w:hint="eastAsia" w:ascii="宋体" w:hAnsi="宋体" w:eastAsia="宋体" w:cs="宋体"/>
          <w:sz w:val="24"/>
          <w:szCs w:val="24"/>
        </w:rPr>
      </w:pPr>
      <w:r>
        <w:rPr>
          <w:rFonts w:hint="eastAsia" w:ascii="宋体" w:hAnsi="宋体" w:eastAsia="宋体" w:cs="宋体"/>
          <w:bCs/>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_Toc10402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sz w:val="24"/>
          <w:szCs w:val="24"/>
        </w:rPr>
        <w:t>十一、政府采购合同融资政策</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_Toc10402 \h </w:instrText>
      </w:r>
      <w:r>
        <w:rPr>
          <w:rFonts w:hint="eastAsia" w:ascii="宋体" w:hAnsi="宋体" w:eastAsia="宋体" w:cs="宋体"/>
          <w:sz w:val="24"/>
          <w:szCs w:val="24"/>
        </w:rPr>
        <w:fldChar w:fldCharType="separate"/>
      </w:r>
      <w:r>
        <w:rPr>
          <w:rFonts w:hint="eastAsia" w:ascii="宋体" w:hAnsi="宋体" w:eastAsia="宋体" w:cs="宋体"/>
          <w:sz w:val="24"/>
          <w:szCs w:val="24"/>
        </w:rPr>
        <w:t>28</w:t>
      </w:r>
      <w:r>
        <w:rPr>
          <w:rFonts w:hint="eastAsia" w:ascii="宋体" w:hAnsi="宋体" w:eastAsia="宋体" w:cs="宋体"/>
          <w:sz w:val="24"/>
          <w:szCs w:val="24"/>
        </w:rPr>
        <w:fldChar w:fldCharType="end"/>
      </w:r>
      <w:r>
        <w:rPr>
          <w:rFonts w:hint="eastAsia" w:ascii="宋体" w:hAnsi="宋体" w:eastAsia="宋体" w:cs="宋体"/>
          <w:bCs/>
          <w:kern w:val="2"/>
          <w:sz w:val="24"/>
          <w:szCs w:val="24"/>
          <w:highlight w:val="none"/>
          <w:lang w:val="en-US" w:eastAsia="zh-CN" w:bidi="ar-SA"/>
        </w:rPr>
        <w:fldChar w:fldCharType="end"/>
      </w:r>
    </w:p>
    <w:p w14:paraId="70C05E35">
      <w:pPr>
        <w:pStyle w:val="20"/>
        <w:tabs>
          <w:tab w:val="right" w:leader="dot" w:pos="8929"/>
          <w:tab w:val="clear" w:pos="9060"/>
        </w:tabs>
        <w:rPr>
          <w:rFonts w:hint="eastAsia" w:ascii="宋体" w:hAnsi="宋体" w:eastAsia="宋体" w:cs="宋体"/>
          <w:sz w:val="24"/>
          <w:szCs w:val="24"/>
        </w:rPr>
      </w:pPr>
      <w:r>
        <w:rPr>
          <w:rFonts w:hint="eastAsia" w:ascii="宋体" w:hAnsi="宋体" w:eastAsia="宋体" w:cs="宋体"/>
          <w:bCs/>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_Toc27327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sz w:val="24"/>
          <w:szCs w:val="24"/>
        </w:rPr>
        <w:t>第三章评标办法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_Toc27327 \h </w:instrText>
      </w:r>
      <w:r>
        <w:rPr>
          <w:rFonts w:hint="eastAsia" w:ascii="宋体" w:hAnsi="宋体" w:eastAsia="宋体" w:cs="宋体"/>
          <w:sz w:val="24"/>
          <w:szCs w:val="24"/>
        </w:rPr>
        <w:fldChar w:fldCharType="separate"/>
      </w:r>
      <w:r>
        <w:rPr>
          <w:rFonts w:hint="eastAsia" w:ascii="宋体" w:hAnsi="宋体" w:eastAsia="宋体" w:cs="宋体"/>
          <w:sz w:val="24"/>
          <w:szCs w:val="24"/>
        </w:rPr>
        <w:t>30</w:t>
      </w:r>
      <w:r>
        <w:rPr>
          <w:rFonts w:hint="eastAsia" w:ascii="宋体" w:hAnsi="宋体" w:eastAsia="宋体" w:cs="宋体"/>
          <w:sz w:val="24"/>
          <w:szCs w:val="24"/>
        </w:rPr>
        <w:fldChar w:fldCharType="end"/>
      </w:r>
      <w:r>
        <w:rPr>
          <w:rFonts w:hint="eastAsia" w:ascii="宋体" w:hAnsi="宋体" w:eastAsia="宋体" w:cs="宋体"/>
          <w:bCs/>
          <w:kern w:val="2"/>
          <w:sz w:val="24"/>
          <w:szCs w:val="24"/>
          <w:highlight w:val="none"/>
          <w:lang w:val="en-US" w:eastAsia="zh-CN" w:bidi="ar-SA"/>
        </w:rPr>
        <w:fldChar w:fldCharType="end"/>
      </w:r>
    </w:p>
    <w:p w14:paraId="77D467E9">
      <w:pPr>
        <w:pStyle w:val="21"/>
        <w:tabs>
          <w:tab w:val="right" w:leader="dot" w:pos="8929"/>
        </w:tabs>
        <w:rPr>
          <w:rFonts w:hint="eastAsia" w:ascii="宋体" w:hAnsi="宋体" w:eastAsia="宋体" w:cs="宋体"/>
          <w:sz w:val="24"/>
          <w:szCs w:val="24"/>
        </w:rPr>
      </w:pPr>
      <w:r>
        <w:rPr>
          <w:rFonts w:hint="eastAsia" w:ascii="宋体" w:hAnsi="宋体" w:eastAsia="宋体" w:cs="宋体"/>
          <w:bCs/>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_Toc5136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bCs/>
          <w:sz w:val="24"/>
          <w:szCs w:val="24"/>
          <w:highlight w:val="none"/>
        </w:rPr>
        <w:t>一、资格审查表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_Toc5136 \h </w:instrText>
      </w:r>
      <w:r>
        <w:rPr>
          <w:rFonts w:hint="eastAsia" w:ascii="宋体" w:hAnsi="宋体" w:eastAsia="宋体" w:cs="宋体"/>
          <w:sz w:val="24"/>
          <w:szCs w:val="24"/>
        </w:rPr>
        <w:fldChar w:fldCharType="separate"/>
      </w:r>
      <w:r>
        <w:rPr>
          <w:rFonts w:hint="eastAsia" w:ascii="宋体" w:hAnsi="宋体" w:eastAsia="宋体" w:cs="宋体"/>
          <w:sz w:val="24"/>
          <w:szCs w:val="24"/>
        </w:rPr>
        <w:t>31</w:t>
      </w:r>
      <w:r>
        <w:rPr>
          <w:rFonts w:hint="eastAsia" w:ascii="宋体" w:hAnsi="宋体" w:eastAsia="宋体" w:cs="宋体"/>
          <w:sz w:val="24"/>
          <w:szCs w:val="24"/>
        </w:rPr>
        <w:fldChar w:fldCharType="end"/>
      </w:r>
      <w:r>
        <w:rPr>
          <w:rFonts w:hint="eastAsia" w:ascii="宋体" w:hAnsi="宋体" w:eastAsia="宋体" w:cs="宋体"/>
          <w:bCs/>
          <w:kern w:val="2"/>
          <w:sz w:val="24"/>
          <w:szCs w:val="24"/>
          <w:highlight w:val="none"/>
          <w:lang w:val="en-US" w:eastAsia="zh-CN" w:bidi="ar-SA"/>
        </w:rPr>
        <w:fldChar w:fldCharType="end"/>
      </w:r>
    </w:p>
    <w:p w14:paraId="6790B308">
      <w:pPr>
        <w:pStyle w:val="21"/>
        <w:tabs>
          <w:tab w:val="right" w:leader="dot" w:pos="8929"/>
        </w:tabs>
        <w:rPr>
          <w:rFonts w:hint="eastAsia" w:ascii="宋体" w:hAnsi="宋体" w:eastAsia="宋体" w:cs="宋体"/>
          <w:sz w:val="24"/>
          <w:szCs w:val="24"/>
        </w:rPr>
      </w:pPr>
      <w:r>
        <w:rPr>
          <w:rFonts w:hint="eastAsia" w:ascii="宋体" w:hAnsi="宋体" w:eastAsia="宋体" w:cs="宋体"/>
          <w:bCs/>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_Toc26259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bCs/>
          <w:sz w:val="24"/>
          <w:szCs w:val="24"/>
          <w:highlight w:val="none"/>
          <w:lang w:val="en-US" w:eastAsia="zh-CN"/>
        </w:rPr>
        <w:t>二、符合性评审表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_Toc26259 \h </w:instrText>
      </w:r>
      <w:r>
        <w:rPr>
          <w:rFonts w:hint="eastAsia" w:ascii="宋体" w:hAnsi="宋体" w:eastAsia="宋体" w:cs="宋体"/>
          <w:sz w:val="24"/>
          <w:szCs w:val="24"/>
        </w:rPr>
        <w:fldChar w:fldCharType="separate"/>
      </w:r>
      <w:r>
        <w:rPr>
          <w:rFonts w:hint="eastAsia" w:ascii="宋体" w:hAnsi="宋体" w:eastAsia="宋体" w:cs="宋体"/>
          <w:sz w:val="24"/>
          <w:szCs w:val="24"/>
        </w:rPr>
        <w:t>32</w:t>
      </w:r>
      <w:r>
        <w:rPr>
          <w:rFonts w:hint="eastAsia" w:ascii="宋体" w:hAnsi="宋体" w:eastAsia="宋体" w:cs="宋体"/>
          <w:sz w:val="24"/>
          <w:szCs w:val="24"/>
        </w:rPr>
        <w:fldChar w:fldCharType="end"/>
      </w:r>
      <w:r>
        <w:rPr>
          <w:rFonts w:hint="eastAsia" w:ascii="宋体" w:hAnsi="宋体" w:eastAsia="宋体" w:cs="宋体"/>
          <w:bCs/>
          <w:kern w:val="2"/>
          <w:sz w:val="24"/>
          <w:szCs w:val="24"/>
          <w:highlight w:val="none"/>
          <w:lang w:val="en-US" w:eastAsia="zh-CN" w:bidi="ar-SA"/>
        </w:rPr>
        <w:fldChar w:fldCharType="end"/>
      </w:r>
    </w:p>
    <w:p w14:paraId="26A1C440">
      <w:pPr>
        <w:pStyle w:val="21"/>
        <w:tabs>
          <w:tab w:val="right" w:leader="dot" w:pos="8929"/>
        </w:tabs>
        <w:rPr>
          <w:rFonts w:hint="eastAsia" w:ascii="宋体" w:hAnsi="宋体" w:eastAsia="宋体" w:cs="宋体"/>
          <w:sz w:val="24"/>
          <w:szCs w:val="24"/>
        </w:rPr>
      </w:pPr>
      <w:r>
        <w:rPr>
          <w:rFonts w:hint="eastAsia" w:ascii="宋体" w:hAnsi="宋体" w:eastAsia="宋体" w:cs="宋体"/>
          <w:bCs/>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_Toc27479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bCs/>
          <w:sz w:val="24"/>
          <w:szCs w:val="24"/>
          <w:highlight w:val="none"/>
          <w:lang w:val="en-US" w:eastAsia="zh-CN"/>
        </w:rPr>
        <w:t>三</w:t>
      </w:r>
      <w:r>
        <w:rPr>
          <w:rFonts w:hint="eastAsia" w:ascii="宋体" w:hAnsi="宋体" w:eastAsia="宋体" w:cs="宋体"/>
          <w:bCs/>
          <w:sz w:val="24"/>
          <w:szCs w:val="24"/>
          <w:highlight w:val="none"/>
        </w:rPr>
        <w:t>、详细评审</w:t>
      </w:r>
      <w:r>
        <w:rPr>
          <w:rFonts w:hint="eastAsia" w:ascii="宋体" w:hAnsi="宋体" w:eastAsia="宋体" w:cs="宋体"/>
          <w:bCs/>
          <w:sz w:val="24"/>
          <w:szCs w:val="24"/>
          <w:highlight w:val="none"/>
          <w:lang w:val="en-US" w:eastAsia="zh-CN"/>
        </w:rPr>
        <w:t>表</w:t>
      </w:r>
      <w:r>
        <w:rPr>
          <w:rFonts w:hint="eastAsia" w:ascii="宋体" w:hAnsi="宋体" w:eastAsia="宋体" w:cs="宋体"/>
          <w:bCs/>
          <w:sz w:val="24"/>
          <w:szCs w:val="24"/>
          <w:highlight w:val="none"/>
        </w:rPr>
        <w:t>（满分100分）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_Toc27479 \h </w:instrText>
      </w:r>
      <w:r>
        <w:rPr>
          <w:rFonts w:hint="eastAsia" w:ascii="宋体" w:hAnsi="宋体" w:eastAsia="宋体" w:cs="宋体"/>
          <w:sz w:val="24"/>
          <w:szCs w:val="24"/>
        </w:rPr>
        <w:fldChar w:fldCharType="separate"/>
      </w:r>
      <w:r>
        <w:rPr>
          <w:rFonts w:hint="eastAsia" w:ascii="宋体" w:hAnsi="宋体" w:eastAsia="宋体" w:cs="宋体"/>
          <w:sz w:val="24"/>
          <w:szCs w:val="24"/>
        </w:rPr>
        <w:t>33</w:t>
      </w:r>
      <w:r>
        <w:rPr>
          <w:rFonts w:hint="eastAsia" w:ascii="宋体" w:hAnsi="宋体" w:eastAsia="宋体" w:cs="宋体"/>
          <w:sz w:val="24"/>
          <w:szCs w:val="24"/>
        </w:rPr>
        <w:fldChar w:fldCharType="end"/>
      </w:r>
      <w:r>
        <w:rPr>
          <w:rFonts w:hint="eastAsia" w:ascii="宋体" w:hAnsi="宋体" w:eastAsia="宋体" w:cs="宋体"/>
          <w:bCs/>
          <w:kern w:val="2"/>
          <w:sz w:val="24"/>
          <w:szCs w:val="24"/>
          <w:highlight w:val="none"/>
          <w:lang w:val="en-US" w:eastAsia="zh-CN" w:bidi="ar-SA"/>
        </w:rPr>
        <w:fldChar w:fldCharType="end"/>
      </w:r>
    </w:p>
    <w:p w14:paraId="32E77FAD">
      <w:pPr>
        <w:pStyle w:val="21"/>
        <w:tabs>
          <w:tab w:val="right" w:leader="dot" w:pos="8929"/>
        </w:tabs>
        <w:rPr>
          <w:rFonts w:hint="eastAsia" w:ascii="宋体" w:hAnsi="宋体" w:eastAsia="宋体" w:cs="宋体"/>
          <w:sz w:val="24"/>
          <w:szCs w:val="24"/>
        </w:rPr>
      </w:pPr>
      <w:r>
        <w:rPr>
          <w:rFonts w:hint="eastAsia" w:ascii="宋体" w:hAnsi="宋体" w:eastAsia="宋体" w:cs="宋体"/>
          <w:bCs/>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_Toc28948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bCs/>
          <w:sz w:val="24"/>
          <w:szCs w:val="24"/>
          <w:highlight w:val="none"/>
          <w:lang w:val="en-US" w:eastAsia="zh-CN"/>
        </w:rPr>
        <w:t>四</w:t>
      </w:r>
      <w:r>
        <w:rPr>
          <w:rFonts w:hint="eastAsia" w:ascii="宋体" w:hAnsi="宋体" w:eastAsia="宋体" w:cs="宋体"/>
          <w:bCs/>
          <w:sz w:val="24"/>
          <w:szCs w:val="24"/>
          <w:highlight w:val="none"/>
        </w:rPr>
        <w:t>、评标办法（综合评分法）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_Toc28948 \h </w:instrText>
      </w:r>
      <w:r>
        <w:rPr>
          <w:rFonts w:hint="eastAsia" w:ascii="宋体" w:hAnsi="宋体" w:eastAsia="宋体" w:cs="宋体"/>
          <w:sz w:val="24"/>
          <w:szCs w:val="24"/>
        </w:rPr>
        <w:fldChar w:fldCharType="separate"/>
      </w:r>
      <w:r>
        <w:rPr>
          <w:rFonts w:hint="eastAsia" w:ascii="宋体" w:hAnsi="宋体" w:eastAsia="宋体" w:cs="宋体"/>
          <w:sz w:val="24"/>
          <w:szCs w:val="24"/>
        </w:rPr>
        <w:t>38</w:t>
      </w:r>
      <w:r>
        <w:rPr>
          <w:rFonts w:hint="eastAsia" w:ascii="宋体" w:hAnsi="宋体" w:eastAsia="宋体" w:cs="宋体"/>
          <w:sz w:val="24"/>
          <w:szCs w:val="24"/>
        </w:rPr>
        <w:fldChar w:fldCharType="end"/>
      </w:r>
      <w:r>
        <w:rPr>
          <w:rFonts w:hint="eastAsia" w:ascii="宋体" w:hAnsi="宋体" w:eastAsia="宋体" w:cs="宋体"/>
          <w:bCs/>
          <w:kern w:val="2"/>
          <w:sz w:val="24"/>
          <w:szCs w:val="24"/>
          <w:highlight w:val="none"/>
          <w:lang w:val="en-US" w:eastAsia="zh-CN" w:bidi="ar-SA"/>
        </w:rPr>
        <w:fldChar w:fldCharType="end"/>
      </w:r>
    </w:p>
    <w:p w14:paraId="678AD2D0">
      <w:pPr>
        <w:pStyle w:val="20"/>
        <w:tabs>
          <w:tab w:val="right" w:leader="dot" w:pos="8929"/>
          <w:tab w:val="clear" w:pos="9060"/>
        </w:tabs>
        <w:rPr>
          <w:rFonts w:hint="eastAsia" w:ascii="宋体" w:hAnsi="宋体" w:eastAsia="宋体" w:cs="宋体"/>
          <w:sz w:val="24"/>
          <w:szCs w:val="24"/>
        </w:rPr>
      </w:pPr>
      <w:r>
        <w:rPr>
          <w:rFonts w:hint="eastAsia" w:ascii="宋体" w:hAnsi="宋体" w:eastAsia="宋体" w:cs="宋体"/>
          <w:bCs/>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_Toc18677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sz w:val="24"/>
          <w:szCs w:val="24"/>
        </w:rPr>
        <w:t>第四章项目要求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_Toc18677 \h </w:instrText>
      </w:r>
      <w:r>
        <w:rPr>
          <w:rFonts w:hint="eastAsia" w:ascii="宋体" w:hAnsi="宋体" w:eastAsia="宋体" w:cs="宋体"/>
          <w:sz w:val="24"/>
          <w:szCs w:val="24"/>
        </w:rPr>
        <w:fldChar w:fldCharType="separate"/>
      </w:r>
      <w:r>
        <w:rPr>
          <w:rFonts w:hint="eastAsia" w:ascii="宋体" w:hAnsi="宋体" w:eastAsia="宋体" w:cs="宋体"/>
          <w:sz w:val="24"/>
          <w:szCs w:val="24"/>
        </w:rPr>
        <w:t>40</w:t>
      </w:r>
      <w:r>
        <w:rPr>
          <w:rFonts w:hint="eastAsia" w:ascii="宋体" w:hAnsi="宋体" w:eastAsia="宋体" w:cs="宋体"/>
          <w:sz w:val="24"/>
          <w:szCs w:val="24"/>
        </w:rPr>
        <w:fldChar w:fldCharType="end"/>
      </w:r>
      <w:r>
        <w:rPr>
          <w:rFonts w:hint="eastAsia" w:ascii="宋体" w:hAnsi="宋体" w:eastAsia="宋体" w:cs="宋体"/>
          <w:bCs/>
          <w:kern w:val="2"/>
          <w:sz w:val="24"/>
          <w:szCs w:val="24"/>
          <w:highlight w:val="none"/>
          <w:lang w:val="en-US" w:eastAsia="zh-CN" w:bidi="ar-SA"/>
        </w:rPr>
        <w:fldChar w:fldCharType="end"/>
      </w:r>
    </w:p>
    <w:p w14:paraId="7D578F3A">
      <w:pPr>
        <w:pStyle w:val="20"/>
        <w:tabs>
          <w:tab w:val="right" w:leader="dot" w:pos="8929"/>
          <w:tab w:val="clear" w:pos="9060"/>
        </w:tabs>
        <w:rPr>
          <w:rFonts w:hint="eastAsia" w:ascii="宋体" w:hAnsi="宋体" w:eastAsia="宋体" w:cs="宋体"/>
          <w:sz w:val="24"/>
          <w:szCs w:val="24"/>
        </w:rPr>
      </w:pPr>
      <w:r>
        <w:rPr>
          <w:rFonts w:hint="eastAsia" w:ascii="宋体" w:hAnsi="宋体" w:eastAsia="宋体" w:cs="宋体"/>
          <w:bCs/>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_Toc22133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sz w:val="24"/>
          <w:szCs w:val="24"/>
        </w:rPr>
        <w:t>第五章采购合同</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_Toc22133 \h </w:instrText>
      </w:r>
      <w:r>
        <w:rPr>
          <w:rFonts w:hint="eastAsia" w:ascii="宋体" w:hAnsi="宋体" w:eastAsia="宋体" w:cs="宋体"/>
          <w:sz w:val="24"/>
          <w:szCs w:val="24"/>
        </w:rPr>
        <w:fldChar w:fldCharType="separate"/>
      </w:r>
      <w:r>
        <w:rPr>
          <w:rFonts w:hint="eastAsia" w:ascii="宋体" w:hAnsi="宋体" w:eastAsia="宋体" w:cs="宋体"/>
          <w:sz w:val="24"/>
          <w:szCs w:val="24"/>
        </w:rPr>
        <w:t>51</w:t>
      </w:r>
      <w:r>
        <w:rPr>
          <w:rFonts w:hint="eastAsia" w:ascii="宋体" w:hAnsi="宋体" w:eastAsia="宋体" w:cs="宋体"/>
          <w:sz w:val="24"/>
          <w:szCs w:val="24"/>
        </w:rPr>
        <w:fldChar w:fldCharType="end"/>
      </w:r>
      <w:r>
        <w:rPr>
          <w:rFonts w:hint="eastAsia" w:ascii="宋体" w:hAnsi="宋体" w:eastAsia="宋体" w:cs="宋体"/>
          <w:bCs/>
          <w:kern w:val="2"/>
          <w:sz w:val="24"/>
          <w:szCs w:val="24"/>
          <w:highlight w:val="none"/>
          <w:lang w:val="en-US" w:eastAsia="zh-CN" w:bidi="ar-SA"/>
        </w:rPr>
        <w:fldChar w:fldCharType="end"/>
      </w:r>
    </w:p>
    <w:p w14:paraId="27E37055">
      <w:pPr>
        <w:pStyle w:val="20"/>
        <w:tabs>
          <w:tab w:val="right" w:leader="dot" w:pos="8929"/>
          <w:tab w:val="clear" w:pos="9060"/>
        </w:tabs>
        <w:rPr>
          <w:rFonts w:hint="eastAsia" w:ascii="宋体" w:hAnsi="宋体" w:eastAsia="宋体" w:cs="宋体"/>
          <w:sz w:val="24"/>
          <w:szCs w:val="24"/>
        </w:rPr>
      </w:pPr>
      <w:r>
        <w:rPr>
          <w:rFonts w:hint="eastAsia" w:ascii="宋体" w:hAnsi="宋体" w:eastAsia="宋体" w:cs="宋体"/>
          <w:bCs/>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_Toc15673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sz w:val="24"/>
          <w:szCs w:val="24"/>
        </w:rPr>
        <w:t>第六章投标文件格式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_Toc15673 \h </w:instrText>
      </w:r>
      <w:r>
        <w:rPr>
          <w:rFonts w:hint="eastAsia" w:ascii="宋体" w:hAnsi="宋体" w:eastAsia="宋体" w:cs="宋体"/>
          <w:sz w:val="24"/>
          <w:szCs w:val="24"/>
        </w:rPr>
        <w:fldChar w:fldCharType="separate"/>
      </w:r>
      <w:r>
        <w:rPr>
          <w:rFonts w:hint="eastAsia" w:ascii="宋体" w:hAnsi="宋体" w:eastAsia="宋体" w:cs="宋体"/>
          <w:sz w:val="24"/>
          <w:szCs w:val="24"/>
        </w:rPr>
        <w:t>60</w:t>
      </w:r>
      <w:r>
        <w:rPr>
          <w:rFonts w:hint="eastAsia" w:ascii="宋体" w:hAnsi="宋体" w:eastAsia="宋体" w:cs="宋体"/>
          <w:sz w:val="24"/>
          <w:szCs w:val="24"/>
        </w:rPr>
        <w:fldChar w:fldCharType="end"/>
      </w:r>
      <w:r>
        <w:rPr>
          <w:rFonts w:hint="eastAsia" w:ascii="宋体" w:hAnsi="宋体" w:eastAsia="宋体" w:cs="宋体"/>
          <w:bCs/>
          <w:kern w:val="2"/>
          <w:sz w:val="24"/>
          <w:szCs w:val="24"/>
          <w:highlight w:val="none"/>
          <w:lang w:val="en-US" w:eastAsia="zh-CN" w:bidi="ar-SA"/>
        </w:rPr>
        <w:fldChar w:fldCharType="end"/>
      </w:r>
    </w:p>
    <w:p w14:paraId="35D0F1CA">
      <w:pPr>
        <w:pStyle w:val="21"/>
        <w:tabs>
          <w:tab w:val="right" w:leader="dot" w:pos="8929"/>
        </w:tabs>
        <w:rPr>
          <w:rFonts w:hint="eastAsia" w:ascii="宋体" w:hAnsi="宋体" w:eastAsia="宋体" w:cs="宋体"/>
          <w:sz w:val="24"/>
          <w:szCs w:val="24"/>
        </w:rPr>
      </w:pPr>
      <w:r>
        <w:rPr>
          <w:rFonts w:hint="eastAsia" w:ascii="宋体" w:hAnsi="宋体" w:eastAsia="宋体" w:cs="宋体"/>
          <w:bCs/>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_Toc12049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bCs w:val="0"/>
          <w:sz w:val="24"/>
          <w:szCs w:val="24"/>
          <w:lang w:val="en-US" w:eastAsia="zh-CN"/>
        </w:rPr>
        <w:t>第一部分</w:t>
      </w:r>
      <w:r>
        <w:rPr>
          <w:rFonts w:hint="eastAsia" w:ascii="宋体" w:hAnsi="宋体" w:eastAsia="宋体" w:cs="宋体"/>
          <w:bCs w:val="0"/>
          <w:sz w:val="24"/>
          <w:szCs w:val="24"/>
        </w:rPr>
        <w:t>商务标部分</w:t>
      </w:r>
      <w:r>
        <w:rPr>
          <w:rFonts w:hint="eastAsia" w:ascii="宋体" w:hAnsi="宋体" w:eastAsia="宋体" w:cs="宋体"/>
          <w:bCs w:val="0"/>
          <w:sz w:val="24"/>
          <w:szCs w:val="24"/>
          <w:lang w:eastAsia="zh-CN"/>
        </w:rPr>
        <w:t>（</w:t>
      </w:r>
      <w:r>
        <w:rPr>
          <w:rFonts w:hint="eastAsia" w:ascii="宋体" w:hAnsi="宋体" w:eastAsia="宋体" w:cs="宋体"/>
          <w:bCs w:val="0"/>
          <w:sz w:val="24"/>
          <w:szCs w:val="24"/>
          <w:lang w:val="en-US" w:eastAsia="zh-CN"/>
        </w:rPr>
        <w:t>明标</w:t>
      </w:r>
      <w:r>
        <w:rPr>
          <w:rFonts w:hint="eastAsia" w:ascii="宋体" w:hAnsi="宋体" w:eastAsia="宋体" w:cs="宋体"/>
          <w:bCs w:val="0"/>
          <w:sz w:val="24"/>
          <w:szCs w:val="24"/>
          <w:lang w:eastAsia="zh-CN"/>
        </w:rPr>
        <w:t>）</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_Toc12049 \h </w:instrText>
      </w:r>
      <w:r>
        <w:rPr>
          <w:rFonts w:hint="eastAsia" w:ascii="宋体" w:hAnsi="宋体" w:eastAsia="宋体" w:cs="宋体"/>
          <w:sz w:val="24"/>
          <w:szCs w:val="24"/>
        </w:rPr>
        <w:fldChar w:fldCharType="separate"/>
      </w:r>
      <w:r>
        <w:rPr>
          <w:rFonts w:hint="eastAsia" w:ascii="宋体" w:hAnsi="宋体" w:eastAsia="宋体" w:cs="宋体"/>
          <w:sz w:val="24"/>
          <w:szCs w:val="24"/>
        </w:rPr>
        <w:t>62</w:t>
      </w:r>
      <w:r>
        <w:rPr>
          <w:rFonts w:hint="eastAsia" w:ascii="宋体" w:hAnsi="宋体" w:eastAsia="宋体" w:cs="宋体"/>
          <w:sz w:val="24"/>
          <w:szCs w:val="24"/>
        </w:rPr>
        <w:fldChar w:fldCharType="end"/>
      </w:r>
      <w:r>
        <w:rPr>
          <w:rFonts w:hint="eastAsia" w:ascii="宋体" w:hAnsi="宋体" w:eastAsia="宋体" w:cs="宋体"/>
          <w:bCs/>
          <w:kern w:val="2"/>
          <w:sz w:val="24"/>
          <w:szCs w:val="24"/>
          <w:highlight w:val="none"/>
          <w:lang w:val="en-US" w:eastAsia="zh-CN" w:bidi="ar-SA"/>
        </w:rPr>
        <w:fldChar w:fldCharType="end"/>
      </w:r>
    </w:p>
    <w:p w14:paraId="58C25F48">
      <w:pPr>
        <w:pStyle w:val="21"/>
        <w:tabs>
          <w:tab w:val="right" w:leader="dot" w:pos="8929"/>
        </w:tabs>
        <w:rPr>
          <w:rFonts w:hint="eastAsia" w:ascii="宋体" w:hAnsi="宋体" w:eastAsia="宋体" w:cs="宋体"/>
          <w:sz w:val="24"/>
          <w:szCs w:val="24"/>
        </w:rPr>
      </w:pPr>
      <w:r>
        <w:rPr>
          <w:rFonts w:hint="eastAsia" w:ascii="宋体" w:hAnsi="宋体" w:eastAsia="宋体" w:cs="宋体"/>
          <w:bCs/>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_Toc11087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sz w:val="24"/>
          <w:szCs w:val="24"/>
          <w:highlight w:val="none"/>
        </w:rPr>
        <w:t>目录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_Toc11087 \h </w:instrText>
      </w:r>
      <w:r>
        <w:rPr>
          <w:rFonts w:hint="eastAsia" w:ascii="宋体" w:hAnsi="宋体" w:eastAsia="宋体" w:cs="宋体"/>
          <w:sz w:val="24"/>
          <w:szCs w:val="24"/>
        </w:rPr>
        <w:fldChar w:fldCharType="separate"/>
      </w:r>
      <w:r>
        <w:rPr>
          <w:rFonts w:hint="eastAsia" w:ascii="宋体" w:hAnsi="宋体" w:eastAsia="宋体" w:cs="宋体"/>
          <w:sz w:val="24"/>
          <w:szCs w:val="24"/>
        </w:rPr>
        <w:t>62</w:t>
      </w:r>
      <w:r>
        <w:rPr>
          <w:rFonts w:hint="eastAsia" w:ascii="宋体" w:hAnsi="宋体" w:eastAsia="宋体" w:cs="宋体"/>
          <w:sz w:val="24"/>
          <w:szCs w:val="24"/>
        </w:rPr>
        <w:fldChar w:fldCharType="end"/>
      </w:r>
      <w:r>
        <w:rPr>
          <w:rFonts w:hint="eastAsia" w:ascii="宋体" w:hAnsi="宋体" w:eastAsia="宋体" w:cs="宋体"/>
          <w:bCs/>
          <w:kern w:val="2"/>
          <w:sz w:val="24"/>
          <w:szCs w:val="24"/>
          <w:highlight w:val="none"/>
          <w:lang w:val="en-US" w:eastAsia="zh-CN" w:bidi="ar-SA"/>
        </w:rPr>
        <w:fldChar w:fldCharType="end"/>
      </w:r>
    </w:p>
    <w:p w14:paraId="0AC2BD4B">
      <w:pPr>
        <w:pStyle w:val="14"/>
        <w:tabs>
          <w:tab w:val="right" w:leader="dot" w:pos="8929"/>
        </w:tabs>
        <w:rPr>
          <w:rFonts w:hint="eastAsia" w:ascii="宋体" w:hAnsi="宋体" w:eastAsia="宋体" w:cs="宋体"/>
          <w:sz w:val="24"/>
          <w:szCs w:val="24"/>
        </w:rPr>
      </w:pPr>
      <w:r>
        <w:rPr>
          <w:rFonts w:hint="eastAsia" w:ascii="宋体" w:hAnsi="宋体" w:eastAsia="宋体" w:cs="宋体"/>
          <w:bCs/>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_Toc13491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sz w:val="24"/>
          <w:szCs w:val="24"/>
        </w:rPr>
        <w:t>一、投标函</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_Toc13491 \h </w:instrText>
      </w:r>
      <w:r>
        <w:rPr>
          <w:rFonts w:hint="eastAsia" w:ascii="宋体" w:hAnsi="宋体" w:eastAsia="宋体" w:cs="宋体"/>
          <w:sz w:val="24"/>
          <w:szCs w:val="24"/>
        </w:rPr>
        <w:fldChar w:fldCharType="separate"/>
      </w:r>
      <w:r>
        <w:rPr>
          <w:rFonts w:hint="eastAsia" w:ascii="宋体" w:hAnsi="宋体" w:eastAsia="宋体" w:cs="宋体"/>
          <w:sz w:val="24"/>
          <w:szCs w:val="24"/>
        </w:rPr>
        <w:t>63</w:t>
      </w:r>
      <w:r>
        <w:rPr>
          <w:rFonts w:hint="eastAsia" w:ascii="宋体" w:hAnsi="宋体" w:eastAsia="宋体" w:cs="宋体"/>
          <w:sz w:val="24"/>
          <w:szCs w:val="24"/>
        </w:rPr>
        <w:fldChar w:fldCharType="end"/>
      </w:r>
      <w:r>
        <w:rPr>
          <w:rFonts w:hint="eastAsia" w:ascii="宋体" w:hAnsi="宋体" w:eastAsia="宋体" w:cs="宋体"/>
          <w:bCs/>
          <w:kern w:val="2"/>
          <w:sz w:val="24"/>
          <w:szCs w:val="24"/>
          <w:highlight w:val="none"/>
          <w:lang w:val="en-US" w:eastAsia="zh-CN" w:bidi="ar-SA"/>
        </w:rPr>
        <w:fldChar w:fldCharType="end"/>
      </w:r>
    </w:p>
    <w:p w14:paraId="2D0D87E1">
      <w:pPr>
        <w:pStyle w:val="14"/>
        <w:tabs>
          <w:tab w:val="right" w:leader="dot" w:pos="8929"/>
        </w:tabs>
        <w:rPr>
          <w:rFonts w:hint="eastAsia" w:ascii="宋体" w:hAnsi="宋体" w:eastAsia="宋体" w:cs="宋体"/>
          <w:sz w:val="24"/>
          <w:szCs w:val="24"/>
        </w:rPr>
      </w:pPr>
      <w:r>
        <w:rPr>
          <w:rFonts w:hint="eastAsia" w:ascii="宋体" w:hAnsi="宋体" w:eastAsia="宋体" w:cs="宋体"/>
          <w:bCs/>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_Toc989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sz w:val="24"/>
          <w:szCs w:val="24"/>
        </w:rPr>
        <w:t>二、报价部分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_Toc989 \h </w:instrText>
      </w:r>
      <w:r>
        <w:rPr>
          <w:rFonts w:hint="eastAsia" w:ascii="宋体" w:hAnsi="宋体" w:eastAsia="宋体" w:cs="宋体"/>
          <w:sz w:val="24"/>
          <w:szCs w:val="24"/>
        </w:rPr>
        <w:fldChar w:fldCharType="separate"/>
      </w:r>
      <w:r>
        <w:rPr>
          <w:rFonts w:hint="eastAsia" w:ascii="宋体" w:hAnsi="宋体" w:eastAsia="宋体" w:cs="宋体"/>
          <w:sz w:val="24"/>
          <w:szCs w:val="24"/>
        </w:rPr>
        <w:t>64</w:t>
      </w:r>
      <w:r>
        <w:rPr>
          <w:rFonts w:hint="eastAsia" w:ascii="宋体" w:hAnsi="宋体" w:eastAsia="宋体" w:cs="宋体"/>
          <w:sz w:val="24"/>
          <w:szCs w:val="24"/>
        </w:rPr>
        <w:fldChar w:fldCharType="end"/>
      </w:r>
      <w:r>
        <w:rPr>
          <w:rFonts w:hint="eastAsia" w:ascii="宋体" w:hAnsi="宋体" w:eastAsia="宋体" w:cs="宋体"/>
          <w:bCs/>
          <w:kern w:val="2"/>
          <w:sz w:val="24"/>
          <w:szCs w:val="24"/>
          <w:highlight w:val="none"/>
          <w:lang w:val="en-US" w:eastAsia="zh-CN" w:bidi="ar-SA"/>
        </w:rPr>
        <w:fldChar w:fldCharType="end"/>
      </w:r>
    </w:p>
    <w:p w14:paraId="5DE4F6F3">
      <w:pPr>
        <w:pStyle w:val="14"/>
        <w:tabs>
          <w:tab w:val="right" w:leader="dot" w:pos="8929"/>
        </w:tabs>
        <w:rPr>
          <w:rFonts w:hint="eastAsia" w:ascii="宋体" w:hAnsi="宋体" w:eastAsia="宋体" w:cs="宋体"/>
          <w:sz w:val="24"/>
          <w:szCs w:val="24"/>
        </w:rPr>
      </w:pPr>
      <w:r>
        <w:rPr>
          <w:rFonts w:hint="eastAsia" w:ascii="宋体" w:hAnsi="宋体" w:eastAsia="宋体" w:cs="宋体"/>
          <w:bCs/>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_Toc25420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sz w:val="24"/>
          <w:szCs w:val="24"/>
        </w:rPr>
        <w:t>三、法定代表人身份证明书</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_Toc25420 \h </w:instrText>
      </w:r>
      <w:r>
        <w:rPr>
          <w:rFonts w:hint="eastAsia" w:ascii="宋体" w:hAnsi="宋体" w:eastAsia="宋体" w:cs="宋体"/>
          <w:sz w:val="24"/>
          <w:szCs w:val="24"/>
        </w:rPr>
        <w:fldChar w:fldCharType="separate"/>
      </w:r>
      <w:r>
        <w:rPr>
          <w:rFonts w:hint="eastAsia" w:ascii="宋体" w:hAnsi="宋体" w:eastAsia="宋体" w:cs="宋体"/>
          <w:sz w:val="24"/>
          <w:szCs w:val="24"/>
        </w:rPr>
        <w:t>66</w:t>
      </w:r>
      <w:r>
        <w:rPr>
          <w:rFonts w:hint="eastAsia" w:ascii="宋体" w:hAnsi="宋体" w:eastAsia="宋体" w:cs="宋体"/>
          <w:sz w:val="24"/>
          <w:szCs w:val="24"/>
        </w:rPr>
        <w:fldChar w:fldCharType="end"/>
      </w:r>
      <w:r>
        <w:rPr>
          <w:rFonts w:hint="eastAsia" w:ascii="宋体" w:hAnsi="宋体" w:eastAsia="宋体" w:cs="宋体"/>
          <w:bCs/>
          <w:kern w:val="2"/>
          <w:sz w:val="24"/>
          <w:szCs w:val="24"/>
          <w:highlight w:val="none"/>
          <w:lang w:val="en-US" w:eastAsia="zh-CN" w:bidi="ar-SA"/>
        </w:rPr>
        <w:fldChar w:fldCharType="end"/>
      </w:r>
    </w:p>
    <w:p w14:paraId="4B770E11">
      <w:pPr>
        <w:pStyle w:val="14"/>
        <w:tabs>
          <w:tab w:val="right" w:leader="dot" w:pos="8929"/>
        </w:tabs>
        <w:rPr>
          <w:rFonts w:hint="eastAsia" w:ascii="宋体" w:hAnsi="宋体" w:eastAsia="宋体" w:cs="宋体"/>
          <w:sz w:val="24"/>
          <w:szCs w:val="24"/>
        </w:rPr>
      </w:pPr>
      <w:r>
        <w:rPr>
          <w:rFonts w:hint="eastAsia" w:ascii="宋体" w:hAnsi="宋体" w:eastAsia="宋体" w:cs="宋体"/>
          <w:bCs/>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_Toc29037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sz w:val="24"/>
          <w:szCs w:val="24"/>
        </w:rPr>
        <w:t>四、法定代表人授权书</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_Toc29037 \h </w:instrText>
      </w:r>
      <w:r>
        <w:rPr>
          <w:rFonts w:hint="eastAsia" w:ascii="宋体" w:hAnsi="宋体" w:eastAsia="宋体" w:cs="宋体"/>
          <w:sz w:val="24"/>
          <w:szCs w:val="24"/>
        </w:rPr>
        <w:fldChar w:fldCharType="separate"/>
      </w:r>
      <w:r>
        <w:rPr>
          <w:rFonts w:hint="eastAsia" w:ascii="宋体" w:hAnsi="宋体" w:eastAsia="宋体" w:cs="宋体"/>
          <w:sz w:val="24"/>
          <w:szCs w:val="24"/>
        </w:rPr>
        <w:t>67</w:t>
      </w:r>
      <w:r>
        <w:rPr>
          <w:rFonts w:hint="eastAsia" w:ascii="宋体" w:hAnsi="宋体" w:eastAsia="宋体" w:cs="宋体"/>
          <w:sz w:val="24"/>
          <w:szCs w:val="24"/>
        </w:rPr>
        <w:fldChar w:fldCharType="end"/>
      </w:r>
      <w:r>
        <w:rPr>
          <w:rFonts w:hint="eastAsia" w:ascii="宋体" w:hAnsi="宋体" w:eastAsia="宋体" w:cs="宋体"/>
          <w:bCs/>
          <w:kern w:val="2"/>
          <w:sz w:val="24"/>
          <w:szCs w:val="24"/>
          <w:highlight w:val="none"/>
          <w:lang w:val="en-US" w:eastAsia="zh-CN" w:bidi="ar-SA"/>
        </w:rPr>
        <w:fldChar w:fldCharType="end"/>
      </w:r>
    </w:p>
    <w:p w14:paraId="7B7DBC29">
      <w:pPr>
        <w:pStyle w:val="14"/>
        <w:tabs>
          <w:tab w:val="right" w:leader="dot" w:pos="8929"/>
        </w:tabs>
        <w:rPr>
          <w:rFonts w:hint="eastAsia" w:ascii="宋体" w:hAnsi="宋体" w:eastAsia="宋体" w:cs="宋体"/>
          <w:sz w:val="24"/>
          <w:szCs w:val="24"/>
        </w:rPr>
      </w:pPr>
      <w:r>
        <w:rPr>
          <w:rFonts w:hint="eastAsia" w:ascii="宋体" w:hAnsi="宋体" w:eastAsia="宋体" w:cs="宋体"/>
          <w:bCs/>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_Toc18477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sz w:val="24"/>
          <w:szCs w:val="24"/>
        </w:rPr>
        <w:t>五、投标承诺函</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_Toc18477 \h </w:instrText>
      </w:r>
      <w:r>
        <w:rPr>
          <w:rFonts w:hint="eastAsia" w:ascii="宋体" w:hAnsi="宋体" w:eastAsia="宋体" w:cs="宋体"/>
          <w:sz w:val="24"/>
          <w:szCs w:val="24"/>
        </w:rPr>
        <w:fldChar w:fldCharType="separate"/>
      </w:r>
      <w:r>
        <w:rPr>
          <w:rFonts w:hint="eastAsia" w:ascii="宋体" w:hAnsi="宋体" w:eastAsia="宋体" w:cs="宋体"/>
          <w:sz w:val="24"/>
          <w:szCs w:val="24"/>
        </w:rPr>
        <w:t>68</w:t>
      </w:r>
      <w:r>
        <w:rPr>
          <w:rFonts w:hint="eastAsia" w:ascii="宋体" w:hAnsi="宋体" w:eastAsia="宋体" w:cs="宋体"/>
          <w:sz w:val="24"/>
          <w:szCs w:val="24"/>
        </w:rPr>
        <w:fldChar w:fldCharType="end"/>
      </w:r>
      <w:r>
        <w:rPr>
          <w:rFonts w:hint="eastAsia" w:ascii="宋体" w:hAnsi="宋体" w:eastAsia="宋体" w:cs="宋体"/>
          <w:bCs/>
          <w:kern w:val="2"/>
          <w:sz w:val="24"/>
          <w:szCs w:val="24"/>
          <w:highlight w:val="none"/>
          <w:lang w:val="en-US" w:eastAsia="zh-CN" w:bidi="ar-SA"/>
        </w:rPr>
        <w:fldChar w:fldCharType="end"/>
      </w:r>
    </w:p>
    <w:p w14:paraId="5E8578FC">
      <w:pPr>
        <w:pStyle w:val="14"/>
        <w:tabs>
          <w:tab w:val="right" w:leader="dot" w:pos="8929"/>
        </w:tabs>
        <w:rPr>
          <w:rFonts w:hint="eastAsia" w:ascii="宋体" w:hAnsi="宋体" w:eastAsia="宋体" w:cs="宋体"/>
          <w:sz w:val="24"/>
          <w:szCs w:val="24"/>
        </w:rPr>
      </w:pPr>
      <w:r>
        <w:rPr>
          <w:rFonts w:hint="eastAsia" w:ascii="宋体" w:hAnsi="宋体" w:eastAsia="宋体" w:cs="宋体"/>
          <w:bCs/>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_Toc27955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sz w:val="24"/>
          <w:szCs w:val="24"/>
        </w:rPr>
        <w:t>六、资格证明文件部分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_Toc27955 \h </w:instrText>
      </w:r>
      <w:r>
        <w:rPr>
          <w:rFonts w:hint="eastAsia" w:ascii="宋体" w:hAnsi="宋体" w:eastAsia="宋体" w:cs="宋体"/>
          <w:sz w:val="24"/>
          <w:szCs w:val="24"/>
        </w:rPr>
        <w:fldChar w:fldCharType="separate"/>
      </w:r>
      <w:r>
        <w:rPr>
          <w:rFonts w:hint="eastAsia" w:ascii="宋体" w:hAnsi="宋体" w:eastAsia="宋体" w:cs="宋体"/>
          <w:sz w:val="24"/>
          <w:szCs w:val="24"/>
        </w:rPr>
        <w:t>69</w:t>
      </w:r>
      <w:r>
        <w:rPr>
          <w:rFonts w:hint="eastAsia" w:ascii="宋体" w:hAnsi="宋体" w:eastAsia="宋体" w:cs="宋体"/>
          <w:sz w:val="24"/>
          <w:szCs w:val="24"/>
        </w:rPr>
        <w:fldChar w:fldCharType="end"/>
      </w:r>
      <w:r>
        <w:rPr>
          <w:rFonts w:hint="eastAsia" w:ascii="宋体" w:hAnsi="宋体" w:eastAsia="宋体" w:cs="宋体"/>
          <w:bCs/>
          <w:kern w:val="2"/>
          <w:sz w:val="24"/>
          <w:szCs w:val="24"/>
          <w:highlight w:val="none"/>
          <w:lang w:val="en-US" w:eastAsia="zh-CN" w:bidi="ar-SA"/>
        </w:rPr>
        <w:fldChar w:fldCharType="end"/>
      </w:r>
    </w:p>
    <w:p w14:paraId="0023A93A">
      <w:pPr>
        <w:pStyle w:val="14"/>
        <w:tabs>
          <w:tab w:val="right" w:leader="dot" w:pos="8929"/>
        </w:tabs>
        <w:rPr>
          <w:rFonts w:hint="eastAsia" w:ascii="宋体" w:hAnsi="宋体" w:eastAsia="宋体" w:cs="宋体"/>
          <w:sz w:val="24"/>
          <w:szCs w:val="24"/>
        </w:rPr>
      </w:pPr>
      <w:r>
        <w:rPr>
          <w:rFonts w:hint="eastAsia" w:ascii="宋体" w:hAnsi="宋体" w:eastAsia="宋体" w:cs="宋体"/>
          <w:bCs/>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_Toc15423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sz w:val="24"/>
          <w:szCs w:val="24"/>
          <w:lang w:val="en-US" w:eastAsia="zh-CN"/>
        </w:rPr>
        <w:t>七、综合部分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_Toc15423 \h </w:instrText>
      </w:r>
      <w:r>
        <w:rPr>
          <w:rFonts w:hint="eastAsia" w:ascii="宋体" w:hAnsi="宋体" w:eastAsia="宋体" w:cs="宋体"/>
          <w:sz w:val="24"/>
          <w:szCs w:val="24"/>
        </w:rPr>
        <w:fldChar w:fldCharType="separate"/>
      </w:r>
      <w:r>
        <w:rPr>
          <w:rFonts w:hint="eastAsia" w:ascii="宋体" w:hAnsi="宋体" w:eastAsia="宋体" w:cs="宋体"/>
          <w:sz w:val="24"/>
          <w:szCs w:val="24"/>
        </w:rPr>
        <w:t>80</w:t>
      </w:r>
      <w:r>
        <w:rPr>
          <w:rFonts w:hint="eastAsia" w:ascii="宋体" w:hAnsi="宋体" w:eastAsia="宋体" w:cs="宋体"/>
          <w:sz w:val="24"/>
          <w:szCs w:val="24"/>
        </w:rPr>
        <w:fldChar w:fldCharType="end"/>
      </w:r>
      <w:r>
        <w:rPr>
          <w:rFonts w:hint="eastAsia" w:ascii="宋体" w:hAnsi="宋体" w:eastAsia="宋体" w:cs="宋体"/>
          <w:bCs/>
          <w:kern w:val="2"/>
          <w:sz w:val="24"/>
          <w:szCs w:val="24"/>
          <w:highlight w:val="none"/>
          <w:lang w:val="en-US" w:eastAsia="zh-CN" w:bidi="ar-SA"/>
        </w:rPr>
        <w:fldChar w:fldCharType="end"/>
      </w:r>
    </w:p>
    <w:p w14:paraId="3D85C66F">
      <w:pPr>
        <w:pStyle w:val="14"/>
        <w:tabs>
          <w:tab w:val="right" w:leader="dot" w:pos="8929"/>
        </w:tabs>
        <w:rPr>
          <w:rFonts w:hint="eastAsia" w:ascii="宋体" w:hAnsi="宋体" w:eastAsia="宋体" w:cs="宋体"/>
          <w:sz w:val="24"/>
          <w:szCs w:val="24"/>
        </w:rPr>
      </w:pPr>
      <w:r>
        <w:rPr>
          <w:rFonts w:hint="eastAsia" w:ascii="宋体" w:hAnsi="宋体" w:eastAsia="宋体" w:cs="宋体"/>
          <w:bCs/>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_Toc9968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sz w:val="24"/>
          <w:szCs w:val="24"/>
          <w:lang w:val="en-US" w:eastAsia="zh-CN"/>
        </w:rPr>
        <w:t>八、政府采购供应商质量保证承诺函</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_Toc9968 \h </w:instrText>
      </w:r>
      <w:r>
        <w:rPr>
          <w:rFonts w:hint="eastAsia" w:ascii="宋体" w:hAnsi="宋体" w:eastAsia="宋体" w:cs="宋体"/>
          <w:sz w:val="24"/>
          <w:szCs w:val="24"/>
        </w:rPr>
        <w:fldChar w:fldCharType="separate"/>
      </w:r>
      <w:r>
        <w:rPr>
          <w:rFonts w:hint="eastAsia" w:ascii="宋体" w:hAnsi="宋体" w:eastAsia="宋体" w:cs="宋体"/>
          <w:sz w:val="24"/>
          <w:szCs w:val="24"/>
        </w:rPr>
        <w:t>81</w:t>
      </w:r>
      <w:r>
        <w:rPr>
          <w:rFonts w:hint="eastAsia" w:ascii="宋体" w:hAnsi="宋体" w:eastAsia="宋体" w:cs="宋体"/>
          <w:sz w:val="24"/>
          <w:szCs w:val="24"/>
        </w:rPr>
        <w:fldChar w:fldCharType="end"/>
      </w:r>
      <w:r>
        <w:rPr>
          <w:rFonts w:hint="eastAsia" w:ascii="宋体" w:hAnsi="宋体" w:eastAsia="宋体" w:cs="宋体"/>
          <w:bCs/>
          <w:kern w:val="2"/>
          <w:sz w:val="24"/>
          <w:szCs w:val="24"/>
          <w:highlight w:val="none"/>
          <w:lang w:val="en-US" w:eastAsia="zh-CN" w:bidi="ar-SA"/>
        </w:rPr>
        <w:fldChar w:fldCharType="end"/>
      </w:r>
    </w:p>
    <w:p w14:paraId="17BA75AF">
      <w:pPr>
        <w:pStyle w:val="14"/>
        <w:tabs>
          <w:tab w:val="right" w:leader="dot" w:pos="8929"/>
        </w:tabs>
        <w:rPr>
          <w:rFonts w:hint="eastAsia" w:ascii="宋体" w:hAnsi="宋体" w:eastAsia="宋体" w:cs="宋体"/>
          <w:sz w:val="24"/>
          <w:szCs w:val="24"/>
        </w:rPr>
      </w:pPr>
      <w:r>
        <w:rPr>
          <w:rFonts w:hint="eastAsia" w:ascii="宋体" w:hAnsi="宋体" w:eastAsia="宋体" w:cs="宋体"/>
          <w:bCs/>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_Toc26832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sz w:val="24"/>
          <w:szCs w:val="24"/>
          <w:lang w:val="en-US" w:eastAsia="zh-CN"/>
        </w:rPr>
        <w:t>九</w:t>
      </w:r>
      <w:r>
        <w:rPr>
          <w:rFonts w:hint="eastAsia" w:ascii="宋体" w:hAnsi="宋体" w:eastAsia="宋体" w:cs="宋体"/>
          <w:sz w:val="24"/>
          <w:szCs w:val="24"/>
        </w:rPr>
        <w:t>、投标人认为有必要的其他材料</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_Toc26832 \h </w:instrText>
      </w:r>
      <w:r>
        <w:rPr>
          <w:rFonts w:hint="eastAsia" w:ascii="宋体" w:hAnsi="宋体" w:eastAsia="宋体" w:cs="宋体"/>
          <w:sz w:val="24"/>
          <w:szCs w:val="24"/>
        </w:rPr>
        <w:fldChar w:fldCharType="separate"/>
      </w:r>
      <w:r>
        <w:rPr>
          <w:rFonts w:hint="eastAsia" w:ascii="宋体" w:hAnsi="宋体" w:eastAsia="宋体" w:cs="宋体"/>
          <w:sz w:val="24"/>
          <w:szCs w:val="24"/>
        </w:rPr>
        <w:t>82</w:t>
      </w:r>
      <w:r>
        <w:rPr>
          <w:rFonts w:hint="eastAsia" w:ascii="宋体" w:hAnsi="宋体" w:eastAsia="宋体" w:cs="宋体"/>
          <w:sz w:val="24"/>
          <w:szCs w:val="24"/>
        </w:rPr>
        <w:fldChar w:fldCharType="end"/>
      </w:r>
      <w:r>
        <w:rPr>
          <w:rFonts w:hint="eastAsia" w:ascii="宋体" w:hAnsi="宋体" w:eastAsia="宋体" w:cs="宋体"/>
          <w:bCs/>
          <w:kern w:val="2"/>
          <w:sz w:val="24"/>
          <w:szCs w:val="24"/>
          <w:highlight w:val="none"/>
          <w:lang w:val="en-US" w:eastAsia="zh-CN" w:bidi="ar-SA"/>
        </w:rPr>
        <w:fldChar w:fldCharType="end"/>
      </w:r>
    </w:p>
    <w:p w14:paraId="4E376119">
      <w:pPr>
        <w:pStyle w:val="21"/>
        <w:tabs>
          <w:tab w:val="right" w:leader="dot" w:pos="8929"/>
        </w:tabs>
        <w:rPr>
          <w:rFonts w:hint="eastAsia" w:ascii="宋体" w:hAnsi="宋体" w:eastAsia="宋体" w:cs="宋体"/>
          <w:sz w:val="24"/>
          <w:szCs w:val="24"/>
        </w:rPr>
      </w:pPr>
      <w:r>
        <w:rPr>
          <w:rFonts w:hint="eastAsia" w:ascii="宋体" w:hAnsi="宋体" w:eastAsia="宋体" w:cs="宋体"/>
          <w:bCs/>
          <w:kern w:val="2"/>
          <w:sz w:val="24"/>
          <w:szCs w:val="24"/>
          <w:highlight w:val="none"/>
          <w:lang w:val="en-US" w:eastAsia="zh-CN" w:bidi="ar-SA"/>
        </w:rPr>
        <w:fldChar w:fldCharType="begin"/>
      </w:r>
      <w:r>
        <w:rPr>
          <w:rFonts w:hint="eastAsia" w:ascii="宋体" w:hAnsi="宋体" w:eastAsia="宋体" w:cs="宋体"/>
          <w:bCs/>
          <w:kern w:val="2"/>
          <w:sz w:val="24"/>
          <w:szCs w:val="24"/>
          <w:highlight w:val="none"/>
          <w:lang w:val="en-US" w:eastAsia="zh-CN" w:bidi="ar-SA"/>
        </w:rPr>
        <w:instrText xml:space="preserve"> HYPERLINK \l _Toc16641 </w:instrText>
      </w:r>
      <w:r>
        <w:rPr>
          <w:rFonts w:hint="eastAsia" w:ascii="宋体" w:hAnsi="宋体" w:eastAsia="宋体" w:cs="宋体"/>
          <w:bCs/>
          <w:kern w:val="2"/>
          <w:sz w:val="24"/>
          <w:szCs w:val="24"/>
          <w:highlight w:val="none"/>
          <w:lang w:val="en-US" w:eastAsia="zh-CN" w:bidi="ar-SA"/>
        </w:rPr>
        <w:fldChar w:fldCharType="separate"/>
      </w:r>
      <w:r>
        <w:rPr>
          <w:rFonts w:hint="eastAsia" w:ascii="宋体" w:hAnsi="宋体" w:eastAsia="宋体" w:cs="宋体"/>
          <w:bCs w:val="0"/>
          <w:sz w:val="24"/>
          <w:szCs w:val="24"/>
          <w:lang w:val="en-US" w:eastAsia="zh-CN"/>
        </w:rPr>
        <w:t>第二部分技术标部分（暗标）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_Toc16641 \h </w:instrText>
      </w:r>
      <w:r>
        <w:rPr>
          <w:rFonts w:hint="eastAsia" w:ascii="宋体" w:hAnsi="宋体" w:eastAsia="宋体" w:cs="宋体"/>
          <w:sz w:val="24"/>
          <w:szCs w:val="24"/>
        </w:rPr>
        <w:fldChar w:fldCharType="separate"/>
      </w:r>
      <w:r>
        <w:rPr>
          <w:rFonts w:hint="eastAsia" w:ascii="宋体" w:hAnsi="宋体" w:eastAsia="宋体" w:cs="宋体"/>
          <w:sz w:val="24"/>
          <w:szCs w:val="24"/>
        </w:rPr>
        <w:t>83</w:t>
      </w:r>
      <w:r>
        <w:rPr>
          <w:rFonts w:hint="eastAsia" w:ascii="宋体" w:hAnsi="宋体" w:eastAsia="宋体" w:cs="宋体"/>
          <w:sz w:val="24"/>
          <w:szCs w:val="24"/>
        </w:rPr>
        <w:fldChar w:fldCharType="end"/>
      </w:r>
      <w:r>
        <w:rPr>
          <w:rFonts w:hint="eastAsia" w:ascii="宋体" w:hAnsi="宋体" w:eastAsia="宋体" w:cs="宋体"/>
          <w:bCs/>
          <w:kern w:val="2"/>
          <w:sz w:val="24"/>
          <w:szCs w:val="24"/>
          <w:highlight w:val="none"/>
          <w:lang w:val="en-US" w:eastAsia="zh-CN" w:bidi="ar-SA"/>
        </w:rPr>
        <w:fldChar w:fldCharType="end"/>
      </w:r>
    </w:p>
    <w:p w14:paraId="5B5359D5">
      <w:pPr>
        <w:keepNext w:val="0"/>
        <w:keepLines w:val="0"/>
        <w:pageBreakBefore w:val="0"/>
        <w:widowControl/>
        <w:kinsoku/>
        <w:wordWrap/>
        <w:overflowPunct/>
        <w:topLinePunct w:val="0"/>
        <w:autoSpaceDE/>
        <w:autoSpaceDN/>
        <w:bidi w:val="0"/>
        <w:adjustRightInd/>
        <w:snapToGrid w:val="0"/>
        <w:spacing w:line="360" w:lineRule="exact"/>
        <w:ind w:right="0" w:rightChars="0" w:firstLine="0" w:firstLineChars="0"/>
        <w:jc w:val="center"/>
        <w:textAlignment w:val="auto"/>
        <w:outlineLvl w:val="9"/>
        <w:rPr>
          <w:rFonts w:hint="eastAsia" w:ascii="宋体" w:hAnsi="宋体" w:eastAsia="宋体" w:cs="宋体"/>
          <w:bCs/>
          <w:sz w:val="24"/>
          <w:szCs w:val="24"/>
          <w:highlight w:val="none"/>
        </w:rPr>
      </w:pPr>
      <w:r>
        <w:rPr>
          <w:rFonts w:hint="eastAsia" w:ascii="宋体" w:hAnsi="宋体" w:eastAsia="宋体" w:cs="宋体"/>
          <w:bCs/>
          <w:kern w:val="2"/>
          <w:sz w:val="24"/>
          <w:szCs w:val="24"/>
          <w:highlight w:val="none"/>
          <w:lang w:val="en-US" w:eastAsia="zh-CN" w:bidi="ar-SA"/>
        </w:rPr>
        <w:fldChar w:fldCharType="end"/>
      </w:r>
    </w:p>
    <w:p w14:paraId="0E0F4A26">
      <w:pPr>
        <w:widowControl/>
        <w:jc w:val="center"/>
        <w:rPr>
          <w:rFonts w:ascii="宋体" w:hAnsi="宋体" w:eastAsia="宋体" w:cs="宋体"/>
          <w:bCs/>
          <w:sz w:val="32"/>
          <w:szCs w:val="32"/>
          <w:highlight w:val="none"/>
        </w:rPr>
      </w:pPr>
    </w:p>
    <w:p w14:paraId="6FD391BA">
      <w:pPr>
        <w:widowControl/>
        <w:jc w:val="both"/>
        <w:rPr>
          <w:rFonts w:ascii="宋体" w:hAnsi="宋体" w:eastAsia="宋体" w:cs="宋体"/>
          <w:bCs/>
          <w:sz w:val="32"/>
          <w:szCs w:val="32"/>
          <w:highlight w:val="none"/>
        </w:rPr>
      </w:pPr>
    </w:p>
    <w:p w14:paraId="1E8CA9ED">
      <w:pPr>
        <w:widowControl/>
        <w:jc w:val="center"/>
        <w:rPr>
          <w:rFonts w:ascii="宋体" w:hAnsi="宋体" w:eastAsia="宋体" w:cs="宋体"/>
          <w:bCs/>
          <w:sz w:val="32"/>
          <w:szCs w:val="32"/>
          <w:highlight w:val="none"/>
        </w:rPr>
      </w:pPr>
    </w:p>
    <w:p w14:paraId="70F9D4DD">
      <w:pPr>
        <w:widowControl/>
        <w:jc w:val="center"/>
        <w:rPr>
          <w:rFonts w:ascii="宋体" w:hAnsi="宋体" w:eastAsia="宋体" w:cs="宋体"/>
          <w:bCs/>
          <w:sz w:val="32"/>
          <w:szCs w:val="32"/>
          <w:highlight w:val="none"/>
        </w:rPr>
        <w:sectPr>
          <w:footerReference r:id="rId5" w:type="default"/>
          <w:pgSz w:w="11906" w:h="16838"/>
          <w:pgMar w:top="1429" w:right="1497" w:bottom="1417" w:left="1480" w:header="0" w:footer="975" w:gutter="0"/>
          <w:pgNumType w:fmt="decimal" w:start="1"/>
          <w:cols w:space="0" w:num="1"/>
          <w:rtlGutter w:val="0"/>
          <w:docGrid w:linePitch="312" w:charSpace="0"/>
        </w:sectPr>
      </w:pPr>
    </w:p>
    <w:p w14:paraId="3DF04278">
      <w:pPr>
        <w:pStyle w:val="2"/>
      </w:pPr>
    </w:p>
    <w:p w14:paraId="7CB59276">
      <w:pPr>
        <w:widowControl/>
        <w:jc w:val="center"/>
        <w:rPr>
          <w:rFonts w:ascii="宋体" w:hAnsi="宋体" w:eastAsia="宋体" w:cs="宋体"/>
          <w:bCs/>
          <w:sz w:val="32"/>
          <w:szCs w:val="32"/>
          <w:highlight w:val="none"/>
        </w:rPr>
      </w:pPr>
    </w:p>
    <w:p w14:paraId="66BC47C0">
      <w:pPr>
        <w:widowControl/>
        <w:jc w:val="center"/>
        <w:rPr>
          <w:rFonts w:ascii="宋体" w:hAnsi="宋体" w:eastAsia="宋体" w:cs="宋体"/>
          <w:bCs/>
          <w:sz w:val="32"/>
          <w:szCs w:val="32"/>
          <w:highlight w:val="none"/>
        </w:rPr>
      </w:pPr>
    </w:p>
    <w:p w14:paraId="37FE8E7C">
      <w:pPr>
        <w:widowControl/>
        <w:jc w:val="center"/>
        <w:rPr>
          <w:rFonts w:ascii="宋体" w:hAnsi="宋体" w:eastAsia="宋体" w:cs="宋体"/>
          <w:bCs/>
          <w:sz w:val="32"/>
          <w:szCs w:val="32"/>
          <w:highlight w:val="none"/>
        </w:rPr>
      </w:pPr>
    </w:p>
    <w:p w14:paraId="53E58107">
      <w:pPr>
        <w:widowControl/>
        <w:jc w:val="center"/>
        <w:rPr>
          <w:rFonts w:ascii="宋体" w:hAnsi="宋体" w:eastAsia="宋体" w:cs="宋体"/>
          <w:bCs/>
          <w:sz w:val="32"/>
          <w:szCs w:val="32"/>
          <w:highlight w:val="none"/>
        </w:rPr>
      </w:pPr>
    </w:p>
    <w:p w14:paraId="735E1A7A">
      <w:pPr>
        <w:widowControl/>
        <w:jc w:val="center"/>
        <w:rPr>
          <w:rFonts w:ascii="宋体" w:hAnsi="宋体" w:eastAsia="宋体" w:cs="宋体"/>
          <w:bCs/>
          <w:sz w:val="32"/>
          <w:szCs w:val="32"/>
          <w:highlight w:val="none"/>
        </w:rPr>
      </w:pPr>
    </w:p>
    <w:p w14:paraId="71204837">
      <w:pPr>
        <w:pStyle w:val="2"/>
        <w:rPr>
          <w:rFonts w:ascii="宋体" w:hAnsi="宋体" w:eastAsia="宋体" w:cs="宋体"/>
          <w:bCs/>
          <w:sz w:val="32"/>
          <w:szCs w:val="32"/>
          <w:highlight w:val="none"/>
        </w:rPr>
      </w:pPr>
    </w:p>
    <w:p w14:paraId="3F339386">
      <w:pPr>
        <w:rPr>
          <w:rFonts w:ascii="宋体" w:hAnsi="宋体" w:eastAsia="宋体" w:cs="宋体"/>
          <w:bCs/>
          <w:sz w:val="32"/>
          <w:szCs w:val="32"/>
          <w:highlight w:val="none"/>
        </w:rPr>
      </w:pPr>
    </w:p>
    <w:p w14:paraId="4C6C4AF4">
      <w:pPr>
        <w:pStyle w:val="2"/>
        <w:rPr>
          <w:rFonts w:ascii="宋体" w:hAnsi="宋体" w:eastAsia="宋体" w:cs="宋体"/>
          <w:bCs/>
          <w:sz w:val="32"/>
          <w:szCs w:val="32"/>
          <w:highlight w:val="none"/>
        </w:rPr>
      </w:pPr>
    </w:p>
    <w:p w14:paraId="6BE65638">
      <w:pPr>
        <w:rPr>
          <w:rFonts w:ascii="宋体" w:hAnsi="宋体" w:eastAsia="宋体" w:cs="宋体"/>
          <w:bCs/>
          <w:sz w:val="32"/>
          <w:szCs w:val="32"/>
          <w:highlight w:val="none"/>
        </w:rPr>
      </w:pPr>
    </w:p>
    <w:p w14:paraId="6E0DA818">
      <w:pPr>
        <w:pStyle w:val="2"/>
      </w:pPr>
    </w:p>
    <w:p w14:paraId="2BD8632E">
      <w:pPr>
        <w:pStyle w:val="3"/>
        <w:jc w:val="center"/>
        <w:rPr>
          <w:sz w:val="48"/>
          <w:szCs w:val="48"/>
        </w:rPr>
      </w:pPr>
      <w:bookmarkStart w:id="0" w:name="_Toc17242"/>
      <w:r>
        <w:rPr>
          <w:rFonts w:hint="eastAsia"/>
          <w:sz w:val="48"/>
          <w:szCs w:val="48"/>
        </w:rPr>
        <w:t>第一章</w:t>
      </w:r>
      <w:r>
        <w:rPr>
          <w:rFonts w:hint="eastAsia"/>
          <w:sz w:val="48"/>
          <w:szCs w:val="48"/>
          <w:lang w:val="en-US" w:eastAsia="zh-CN"/>
        </w:rPr>
        <w:t xml:space="preserve">  </w:t>
      </w:r>
      <w:r>
        <w:rPr>
          <w:rFonts w:hint="eastAsia"/>
          <w:sz w:val="48"/>
          <w:szCs w:val="48"/>
        </w:rPr>
        <w:t>招标公告</w:t>
      </w:r>
      <w:bookmarkEnd w:id="0"/>
    </w:p>
    <w:p w14:paraId="7E153695">
      <w:pPr>
        <w:widowControl/>
        <w:jc w:val="center"/>
        <w:rPr>
          <w:rFonts w:ascii="宋体" w:hAnsi="宋体" w:eastAsia="宋体" w:cs="宋体"/>
          <w:bCs/>
          <w:sz w:val="32"/>
          <w:szCs w:val="32"/>
          <w:highlight w:val="none"/>
        </w:rPr>
      </w:pPr>
    </w:p>
    <w:p w14:paraId="49DED1EA">
      <w:pPr>
        <w:widowControl/>
        <w:jc w:val="left"/>
        <w:rPr>
          <w:rFonts w:ascii="宋体" w:hAnsi="宋体" w:eastAsia="宋体" w:cs="宋体"/>
          <w:bCs/>
          <w:sz w:val="32"/>
          <w:szCs w:val="32"/>
          <w:highlight w:val="none"/>
        </w:rPr>
      </w:pPr>
      <w:r>
        <w:rPr>
          <w:rFonts w:ascii="宋体" w:hAnsi="宋体" w:eastAsia="宋体" w:cs="宋体"/>
          <w:bCs/>
          <w:sz w:val="32"/>
          <w:szCs w:val="32"/>
          <w:highlight w:val="none"/>
        </w:rPr>
        <w:br w:type="page"/>
      </w:r>
    </w:p>
    <w:p w14:paraId="1BA35D85">
      <w:pPr>
        <w:spacing w:line="312" w:lineRule="auto"/>
        <w:jc w:val="center"/>
        <w:rPr>
          <w:rFonts w:hint="eastAsia" w:asciiTheme="minorEastAsia" w:hAnsiTheme="minorEastAsia" w:eastAsiaTheme="minorEastAsia" w:cstheme="minorEastAsia"/>
          <w:b/>
          <w:bCs/>
          <w:sz w:val="32"/>
          <w:szCs w:val="32"/>
          <w:highlight w:val="none"/>
        </w:rPr>
      </w:pPr>
      <w:r>
        <w:rPr>
          <w:rFonts w:hint="eastAsia" w:asciiTheme="minorEastAsia" w:hAnsiTheme="minorEastAsia" w:eastAsiaTheme="minorEastAsia" w:cstheme="minorEastAsia"/>
          <w:b/>
          <w:bCs/>
          <w:sz w:val="32"/>
          <w:szCs w:val="32"/>
          <w:highlight w:val="none"/>
        </w:rPr>
        <w:t>济源市人民医院保安服务采购项目</w:t>
      </w:r>
    </w:p>
    <w:p w14:paraId="207CABC5">
      <w:pPr>
        <w:spacing w:line="312" w:lineRule="auto"/>
        <w:jc w:val="center"/>
        <w:rPr>
          <w:rFonts w:hint="eastAsia" w:asciiTheme="minorEastAsia" w:hAnsiTheme="minorEastAsia" w:eastAsiaTheme="minorEastAsia" w:cstheme="minorEastAsia"/>
          <w:sz w:val="32"/>
          <w:szCs w:val="32"/>
          <w:highlight w:val="none"/>
        </w:rPr>
      </w:pPr>
      <w:r>
        <w:rPr>
          <w:rFonts w:hint="eastAsia" w:asciiTheme="minorEastAsia" w:hAnsiTheme="minorEastAsia" w:eastAsiaTheme="minorEastAsia" w:cstheme="minorEastAsia"/>
          <w:b/>
          <w:bCs/>
          <w:sz w:val="32"/>
          <w:szCs w:val="32"/>
          <w:highlight w:val="none"/>
        </w:rPr>
        <w:t>招标公告</w:t>
      </w:r>
    </w:p>
    <w:p w14:paraId="34D191F8">
      <w:pPr>
        <w:keepNext w:val="0"/>
        <w:keepLines w:val="0"/>
        <w:pageBreakBefore w:val="0"/>
        <w:widowControl w:val="0"/>
        <w:kinsoku/>
        <w:wordWrap w:val="0"/>
        <w:overflowPunct/>
        <w:topLinePunct/>
        <w:autoSpaceDE/>
        <w:autoSpaceDN/>
        <w:bidi w:val="0"/>
        <w:adjustRightInd/>
        <w:snapToGrid/>
        <w:spacing w:line="440" w:lineRule="exact"/>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sz w:val="24"/>
          <w:szCs w:val="24"/>
        </w:rPr>
        <w:t>项目概况</w:t>
      </w:r>
    </w:p>
    <w:p w14:paraId="3699607B">
      <w:pPr>
        <w:keepNext w:val="0"/>
        <w:keepLines w:val="0"/>
        <w:pageBreakBefore w:val="0"/>
        <w:widowControl w:val="0"/>
        <w:kinsoku/>
        <w:wordWrap w:val="0"/>
        <w:overflowPunct/>
        <w:topLinePunct/>
        <w:autoSpaceDE/>
        <w:autoSpaceDN/>
        <w:bidi w:val="0"/>
        <w:adjustRightInd/>
        <w:snapToGrid/>
        <w:spacing w:line="44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济源市人民医院保安服务采购项目的潜在供应商应在全国公共资源交易平台（河南省·济源市）获取招标文件，并于</w:t>
      </w:r>
      <w:r>
        <w:rPr>
          <w:rFonts w:hint="eastAsia" w:ascii="宋体" w:hAnsi="宋体" w:eastAsia="宋体" w:cs="宋体"/>
          <w:sz w:val="24"/>
          <w:szCs w:val="24"/>
          <w:lang w:eastAsia="zh-CN"/>
        </w:rPr>
        <w:t>202</w:t>
      </w: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年</w:t>
      </w:r>
      <w:r>
        <w:rPr>
          <w:rFonts w:hint="eastAsia" w:ascii="宋体" w:hAnsi="宋体" w:eastAsia="宋体" w:cs="宋体"/>
          <w:sz w:val="24"/>
          <w:szCs w:val="24"/>
          <w:lang w:val="en-US" w:eastAsia="zh-CN"/>
        </w:rPr>
        <w:t>08</w:t>
      </w:r>
      <w:r>
        <w:rPr>
          <w:rFonts w:hint="eastAsia" w:ascii="宋体" w:hAnsi="宋体" w:eastAsia="宋体" w:cs="宋体"/>
          <w:sz w:val="24"/>
          <w:szCs w:val="24"/>
          <w:lang w:eastAsia="zh-CN"/>
        </w:rPr>
        <w:t>月</w:t>
      </w:r>
      <w:r>
        <w:rPr>
          <w:rFonts w:hint="eastAsia" w:ascii="宋体" w:hAnsi="宋体" w:eastAsia="宋体" w:cs="宋体"/>
          <w:sz w:val="24"/>
          <w:szCs w:val="24"/>
          <w:lang w:val="en-US" w:eastAsia="zh-CN"/>
        </w:rPr>
        <w:t>03</w:t>
      </w:r>
      <w:r>
        <w:rPr>
          <w:rFonts w:hint="eastAsia" w:ascii="宋体" w:hAnsi="宋体" w:eastAsia="宋体" w:cs="宋体"/>
          <w:sz w:val="24"/>
          <w:szCs w:val="24"/>
          <w:lang w:eastAsia="zh-CN"/>
        </w:rPr>
        <w:t>日</w:t>
      </w:r>
      <w:r>
        <w:rPr>
          <w:rFonts w:hint="eastAsia" w:ascii="宋体" w:hAnsi="宋体" w:eastAsia="宋体" w:cs="宋体"/>
          <w:sz w:val="24"/>
          <w:szCs w:val="24"/>
          <w:lang w:val="en-US" w:eastAsia="zh-CN"/>
        </w:rPr>
        <w:t>09</w:t>
      </w:r>
      <w:r>
        <w:rPr>
          <w:rFonts w:hint="eastAsia" w:ascii="宋体" w:hAnsi="宋体" w:eastAsia="宋体" w:cs="宋体"/>
          <w:sz w:val="24"/>
          <w:szCs w:val="24"/>
        </w:rPr>
        <w:t>:</w:t>
      </w:r>
      <w:r>
        <w:rPr>
          <w:rFonts w:hint="eastAsia" w:ascii="宋体" w:hAnsi="宋体" w:eastAsia="宋体" w:cs="宋体"/>
          <w:sz w:val="24"/>
          <w:szCs w:val="24"/>
          <w:lang w:val="en-US" w:eastAsia="zh-CN"/>
        </w:rPr>
        <w:t>0</w:t>
      </w:r>
      <w:r>
        <w:rPr>
          <w:rFonts w:hint="eastAsia" w:ascii="宋体" w:hAnsi="宋体" w:eastAsia="宋体" w:cs="宋体"/>
          <w:sz w:val="24"/>
          <w:szCs w:val="24"/>
        </w:rPr>
        <w:t>0（北京时间）前提交投标文件。</w:t>
      </w:r>
    </w:p>
    <w:p w14:paraId="425A0767">
      <w:pPr>
        <w:keepNext w:val="0"/>
        <w:keepLines w:val="0"/>
        <w:pageBreakBefore w:val="0"/>
        <w:widowControl w:val="0"/>
        <w:kinsoku/>
        <w:wordWrap w:val="0"/>
        <w:overflowPunct/>
        <w:topLinePunct/>
        <w:autoSpaceDE/>
        <w:autoSpaceDN/>
        <w:bidi w:val="0"/>
        <w:adjustRightInd/>
        <w:snapToGrid/>
        <w:spacing w:line="440" w:lineRule="exact"/>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sz w:val="24"/>
          <w:szCs w:val="24"/>
        </w:rPr>
        <w:t>一、项目基本情况：</w:t>
      </w:r>
    </w:p>
    <w:p w14:paraId="3D38E722">
      <w:pPr>
        <w:keepNext w:val="0"/>
        <w:keepLines w:val="0"/>
        <w:pageBreakBefore w:val="0"/>
        <w:widowControl w:val="0"/>
        <w:kinsoku/>
        <w:wordWrap w:val="0"/>
        <w:overflowPunct/>
        <w:topLinePunct/>
        <w:autoSpaceDE/>
        <w:autoSpaceDN/>
        <w:bidi w:val="0"/>
        <w:adjustRightInd/>
        <w:snapToGrid/>
        <w:spacing w:line="440" w:lineRule="exact"/>
        <w:ind w:firstLine="480" w:firstLineChars="200"/>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rPr>
        <w:t>1、项目编号：</w:t>
      </w:r>
      <w:r>
        <w:rPr>
          <w:rFonts w:hint="eastAsia" w:ascii="宋体" w:hAnsi="宋体" w:eastAsia="宋体" w:cs="宋体"/>
          <w:color w:val="auto"/>
          <w:sz w:val="24"/>
          <w:szCs w:val="24"/>
        </w:rPr>
        <w:t>济源采购-202</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101</w:t>
      </w:r>
    </w:p>
    <w:p w14:paraId="42CB77CA">
      <w:pPr>
        <w:keepNext w:val="0"/>
        <w:keepLines w:val="0"/>
        <w:pageBreakBefore w:val="0"/>
        <w:widowControl w:val="0"/>
        <w:kinsoku/>
        <w:wordWrap w:val="0"/>
        <w:overflowPunct/>
        <w:topLinePunct/>
        <w:autoSpaceDE/>
        <w:autoSpaceDN/>
        <w:bidi w:val="0"/>
        <w:adjustRightInd/>
        <w:snapToGrid/>
        <w:spacing w:line="440" w:lineRule="exact"/>
        <w:ind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2、项目名称：济源市人民医院保安服务采购项目</w:t>
      </w:r>
    </w:p>
    <w:p w14:paraId="798C06CC">
      <w:pPr>
        <w:keepNext w:val="0"/>
        <w:keepLines w:val="0"/>
        <w:pageBreakBefore w:val="0"/>
        <w:widowControl w:val="0"/>
        <w:kinsoku/>
        <w:wordWrap w:val="0"/>
        <w:overflowPunct/>
        <w:topLinePunct/>
        <w:autoSpaceDE/>
        <w:autoSpaceDN/>
        <w:bidi w:val="0"/>
        <w:adjustRightInd/>
        <w:snapToGrid/>
        <w:spacing w:line="44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3、采购方式：公开招标</w:t>
      </w:r>
    </w:p>
    <w:p w14:paraId="1A4448EC">
      <w:pPr>
        <w:keepNext w:val="0"/>
        <w:keepLines w:val="0"/>
        <w:pageBreakBefore w:val="0"/>
        <w:widowControl w:val="0"/>
        <w:kinsoku/>
        <w:wordWrap w:val="0"/>
        <w:overflowPunct/>
        <w:topLinePunct/>
        <w:autoSpaceDE/>
        <w:autoSpaceDN/>
        <w:bidi w:val="0"/>
        <w:adjustRightInd/>
        <w:snapToGrid/>
        <w:spacing w:line="44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4、预算金额：</w:t>
      </w:r>
      <w:r>
        <w:rPr>
          <w:rFonts w:hint="default" w:ascii="宋体" w:hAnsi="宋体" w:eastAsia="宋体" w:cs="宋体"/>
          <w:sz w:val="24"/>
          <w:szCs w:val="24"/>
          <w:lang w:val="en-US" w:eastAsia="zh-CN"/>
        </w:rPr>
        <w:t>4536000</w:t>
      </w:r>
      <w:r>
        <w:rPr>
          <w:rFonts w:hint="eastAsia" w:ascii="宋体" w:hAnsi="宋体" w:eastAsia="宋体" w:cs="宋体"/>
          <w:sz w:val="24"/>
          <w:szCs w:val="24"/>
          <w:lang w:val="en-US" w:eastAsia="zh-CN"/>
        </w:rPr>
        <w:t>.00元，最高限价：</w:t>
      </w:r>
      <w:r>
        <w:rPr>
          <w:rFonts w:hint="default" w:ascii="宋体" w:hAnsi="宋体" w:eastAsia="宋体" w:cs="宋体"/>
          <w:sz w:val="24"/>
          <w:szCs w:val="24"/>
          <w:lang w:val="en-US" w:eastAsia="zh-CN"/>
        </w:rPr>
        <w:t>4536000</w:t>
      </w:r>
      <w:r>
        <w:rPr>
          <w:rFonts w:hint="eastAsia" w:ascii="宋体" w:hAnsi="宋体" w:eastAsia="宋体" w:cs="宋体"/>
          <w:sz w:val="24"/>
          <w:szCs w:val="24"/>
          <w:lang w:val="en-US" w:eastAsia="zh-CN"/>
        </w:rPr>
        <w:t>.00元</w:t>
      </w:r>
    </w:p>
    <w:tbl>
      <w:tblPr>
        <w:tblStyle w:val="26"/>
        <w:tblW w:w="96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530"/>
        <w:gridCol w:w="1296"/>
        <w:gridCol w:w="2232"/>
        <w:gridCol w:w="1488"/>
        <w:gridCol w:w="1476"/>
        <w:gridCol w:w="1212"/>
        <w:gridCol w:w="1440"/>
      </w:tblGrid>
      <w:tr w14:paraId="65163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382" w:hRule="atLeast"/>
        </w:trPr>
        <w:tc>
          <w:tcPr>
            <w:tcW w:w="530" w:type="dxa"/>
            <w:tcMar>
              <w:top w:w="0" w:type="dxa"/>
              <w:left w:w="108" w:type="dxa"/>
              <w:bottom w:w="0" w:type="dxa"/>
              <w:right w:w="108" w:type="dxa"/>
            </w:tcMar>
            <w:vAlign w:val="center"/>
          </w:tcPr>
          <w:p w14:paraId="4472DF99">
            <w:pPr>
              <w:adjustRightInd w:val="0"/>
              <w:snapToGrid w:val="0"/>
              <w:spacing w:line="500" w:lineRule="exact"/>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1296" w:type="dxa"/>
            <w:tcMar>
              <w:top w:w="0" w:type="dxa"/>
              <w:left w:w="108" w:type="dxa"/>
              <w:bottom w:w="0" w:type="dxa"/>
              <w:right w:w="108" w:type="dxa"/>
            </w:tcMar>
            <w:vAlign w:val="center"/>
          </w:tcPr>
          <w:p w14:paraId="128DF346">
            <w:pPr>
              <w:adjustRightInd w:val="0"/>
              <w:snapToGrid w:val="0"/>
              <w:spacing w:line="500" w:lineRule="exact"/>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包号</w:t>
            </w:r>
          </w:p>
        </w:tc>
        <w:tc>
          <w:tcPr>
            <w:tcW w:w="2232" w:type="dxa"/>
            <w:tcMar>
              <w:top w:w="0" w:type="dxa"/>
              <w:left w:w="108" w:type="dxa"/>
              <w:bottom w:w="0" w:type="dxa"/>
              <w:right w:w="108" w:type="dxa"/>
            </w:tcMar>
            <w:vAlign w:val="center"/>
          </w:tcPr>
          <w:p w14:paraId="1E940B25">
            <w:pPr>
              <w:adjustRightInd w:val="0"/>
              <w:snapToGrid w:val="0"/>
              <w:spacing w:line="500" w:lineRule="exact"/>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包名称</w:t>
            </w:r>
          </w:p>
        </w:tc>
        <w:tc>
          <w:tcPr>
            <w:tcW w:w="1488" w:type="dxa"/>
            <w:tcMar>
              <w:top w:w="0" w:type="dxa"/>
              <w:left w:w="108" w:type="dxa"/>
              <w:bottom w:w="0" w:type="dxa"/>
              <w:right w:w="108" w:type="dxa"/>
            </w:tcMar>
            <w:vAlign w:val="center"/>
          </w:tcPr>
          <w:p w14:paraId="50DC88E0">
            <w:pPr>
              <w:adjustRightInd w:val="0"/>
              <w:snapToGrid w:val="0"/>
              <w:spacing w:line="500" w:lineRule="exact"/>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包预算（元）</w:t>
            </w:r>
          </w:p>
        </w:tc>
        <w:tc>
          <w:tcPr>
            <w:tcW w:w="1476" w:type="dxa"/>
            <w:tcMar>
              <w:top w:w="0" w:type="dxa"/>
              <w:left w:w="108" w:type="dxa"/>
              <w:bottom w:w="0" w:type="dxa"/>
              <w:right w:w="108" w:type="dxa"/>
            </w:tcMar>
            <w:vAlign w:val="center"/>
          </w:tcPr>
          <w:p w14:paraId="380F31D1">
            <w:pPr>
              <w:adjustRightInd w:val="0"/>
              <w:snapToGrid w:val="0"/>
              <w:spacing w:line="500" w:lineRule="exact"/>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包最高限价（元）</w:t>
            </w:r>
          </w:p>
        </w:tc>
        <w:tc>
          <w:tcPr>
            <w:tcW w:w="1212" w:type="dxa"/>
            <w:tcMar>
              <w:top w:w="0" w:type="dxa"/>
              <w:left w:w="108" w:type="dxa"/>
              <w:bottom w:w="0" w:type="dxa"/>
              <w:right w:w="108" w:type="dxa"/>
            </w:tcMar>
            <w:vAlign w:val="center"/>
          </w:tcPr>
          <w:p w14:paraId="4A0D26FE">
            <w:pPr>
              <w:adjustRightInd w:val="0"/>
              <w:snapToGrid w:val="0"/>
              <w:spacing w:line="500" w:lineRule="exact"/>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是否专门面向中小企业</w:t>
            </w:r>
          </w:p>
        </w:tc>
        <w:tc>
          <w:tcPr>
            <w:tcW w:w="1440" w:type="dxa"/>
            <w:tcMar>
              <w:top w:w="0" w:type="dxa"/>
              <w:left w:w="108" w:type="dxa"/>
              <w:bottom w:w="0" w:type="dxa"/>
              <w:right w:w="108" w:type="dxa"/>
            </w:tcMar>
            <w:vAlign w:val="center"/>
          </w:tcPr>
          <w:p w14:paraId="691877AB">
            <w:pPr>
              <w:adjustRightInd w:val="0"/>
              <w:snapToGrid w:val="0"/>
              <w:spacing w:line="500" w:lineRule="exact"/>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采购预留金额（元）</w:t>
            </w:r>
          </w:p>
        </w:tc>
      </w:tr>
      <w:tr w14:paraId="53381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3" w:hRule="atLeast"/>
        </w:trPr>
        <w:tc>
          <w:tcPr>
            <w:tcW w:w="530" w:type="dxa"/>
            <w:tcMar>
              <w:top w:w="0" w:type="dxa"/>
              <w:left w:w="108" w:type="dxa"/>
              <w:bottom w:w="0" w:type="dxa"/>
              <w:right w:w="108" w:type="dxa"/>
            </w:tcMar>
            <w:vAlign w:val="center"/>
          </w:tcPr>
          <w:p w14:paraId="1702538A">
            <w:pPr>
              <w:adjustRightInd w:val="0"/>
              <w:snapToGrid w:val="0"/>
              <w:spacing w:line="500" w:lineRule="exact"/>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1296" w:type="dxa"/>
            <w:tcMar>
              <w:top w:w="0" w:type="dxa"/>
              <w:left w:w="108" w:type="dxa"/>
              <w:bottom w:w="0" w:type="dxa"/>
              <w:right w:w="108" w:type="dxa"/>
            </w:tcMar>
            <w:vAlign w:val="center"/>
          </w:tcPr>
          <w:p w14:paraId="00350486">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JGZJ-采购-202</w:t>
            </w:r>
            <w:r>
              <w:rPr>
                <w:rFonts w:hint="eastAsia" w:asciiTheme="minorEastAsia" w:hAnsiTheme="minorEastAsia" w:cstheme="minorEastAsia"/>
                <w:sz w:val="24"/>
                <w:szCs w:val="24"/>
                <w:highlight w:val="none"/>
                <w:lang w:val="en-US" w:eastAsia="zh-CN"/>
              </w:rPr>
              <w:t>6122001001</w:t>
            </w:r>
          </w:p>
        </w:tc>
        <w:tc>
          <w:tcPr>
            <w:tcW w:w="2232" w:type="dxa"/>
            <w:tcMar>
              <w:top w:w="0" w:type="dxa"/>
              <w:left w:w="108" w:type="dxa"/>
              <w:bottom w:w="0" w:type="dxa"/>
              <w:right w:w="108" w:type="dxa"/>
            </w:tcMar>
            <w:vAlign w:val="center"/>
          </w:tcPr>
          <w:p w14:paraId="7EA717EC">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Theme="minorEastAsia" w:hAnsiTheme="minorEastAsia" w:eastAsiaTheme="minorEastAsia" w:cstheme="minorEastAsia"/>
                <w:sz w:val="24"/>
                <w:szCs w:val="24"/>
                <w:highlight w:val="none"/>
                <w:lang w:eastAsia="zh-CN"/>
              </w:rPr>
            </w:pPr>
            <w:r>
              <w:rPr>
                <w:rFonts w:hint="eastAsia" w:ascii="宋体" w:hAnsi="宋体" w:eastAsia="宋体" w:cs="宋体"/>
                <w:sz w:val="24"/>
                <w:szCs w:val="24"/>
              </w:rPr>
              <w:t>济源市人民医院保安服务采购项目</w:t>
            </w:r>
          </w:p>
        </w:tc>
        <w:tc>
          <w:tcPr>
            <w:tcW w:w="1488" w:type="dxa"/>
            <w:tcMar>
              <w:top w:w="0" w:type="dxa"/>
              <w:left w:w="108" w:type="dxa"/>
              <w:bottom w:w="0" w:type="dxa"/>
              <w:right w:w="108" w:type="dxa"/>
            </w:tcMar>
            <w:vAlign w:val="center"/>
          </w:tcPr>
          <w:p w14:paraId="04CEF6CD">
            <w:pPr>
              <w:adjustRightInd w:val="0"/>
              <w:snapToGrid w:val="0"/>
              <w:spacing w:line="500" w:lineRule="exact"/>
              <w:jc w:val="center"/>
              <w:rPr>
                <w:rFonts w:hint="default" w:asciiTheme="minorEastAsia" w:hAnsiTheme="minorEastAsia" w:eastAsiaTheme="minorEastAsia" w:cstheme="minorEastAsia"/>
                <w:sz w:val="24"/>
                <w:szCs w:val="24"/>
                <w:highlight w:val="none"/>
                <w:lang w:val="en-US" w:eastAsia="zh-CN"/>
              </w:rPr>
            </w:pPr>
            <w:r>
              <w:rPr>
                <w:rFonts w:hint="default" w:ascii="宋体" w:hAnsi="宋体" w:eastAsia="宋体" w:cs="宋体"/>
                <w:sz w:val="24"/>
                <w:szCs w:val="24"/>
                <w:lang w:val="en-US" w:eastAsia="zh-CN"/>
              </w:rPr>
              <w:t>4536000</w:t>
            </w:r>
            <w:r>
              <w:rPr>
                <w:rFonts w:hint="eastAsia" w:ascii="宋体" w:hAnsi="宋体" w:eastAsia="宋体" w:cs="宋体"/>
                <w:sz w:val="24"/>
                <w:szCs w:val="24"/>
                <w:lang w:val="en-US" w:eastAsia="zh-CN"/>
              </w:rPr>
              <w:t>.00</w:t>
            </w:r>
          </w:p>
        </w:tc>
        <w:tc>
          <w:tcPr>
            <w:tcW w:w="1476" w:type="dxa"/>
            <w:tcMar>
              <w:top w:w="0" w:type="dxa"/>
              <w:left w:w="108" w:type="dxa"/>
              <w:bottom w:w="0" w:type="dxa"/>
              <w:right w:w="108" w:type="dxa"/>
            </w:tcMar>
            <w:vAlign w:val="center"/>
          </w:tcPr>
          <w:p w14:paraId="308166EE">
            <w:pPr>
              <w:adjustRightInd w:val="0"/>
              <w:snapToGrid w:val="0"/>
              <w:spacing w:line="500" w:lineRule="exact"/>
              <w:jc w:val="center"/>
              <w:rPr>
                <w:rFonts w:hint="default" w:asciiTheme="minorEastAsia" w:hAnsiTheme="minorEastAsia" w:eastAsiaTheme="minorEastAsia" w:cstheme="minorEastAsia"/>
                <w:b/>
                <w:bCs/>
                <w:sz w:val="24"/>
                <w:szCs w:val="24"/>
                <w:highlight w:val="none"/>
                <w:lang w:val="en-US" w:eastAsia="zh-CN"/>
              </w:rPr>
            </w:pPr>
            <w:r>
              <w:rPr>
                <w:rFonts w:hint="default" w:ascii="宋体" w:hAnsi="宋体" w:eastAsia="宋体" w:cs="宋体"/>
                <w:sz w:val="24"/>
                <w:szCs w:val="24"/>
                <w:lang w:val="en-US" w:eastAsia="zh-CN"/>
              </w:rPr>
              <w:t>4536000</w:t>
            </w:r>
            <w:r>
              <w:rPr>
                <w:rFonts w:hint="eastAsia" w:ascii="宋体" w:hAnsi="宋体" w:eastAsia="宋体" w:cs="宋体"/>
                <w:sz w:val="24"/>
                <w:szCs w:val="24"/>
                <w:lang w:val="en-US" w:eastAsia="zh-CN"/>
              </w:rPr>
              <w:t>.00</w:t>
            </w:r>
          </w:p>
        </w:tc>
        <w:tc>
          <w:tcPr>
            <w:tcW w:w="1212" w:type="dxa"/>
            <w:tcMar>
              <w:top w:w="0" w:type="dxa"/>
              <w:left w:w="108" w:type="dxa"/>
              <w:bottom w:w="0" w:type="dxa"/>
              <w:right w:w="108" w:type="dxa"/>
            </w:tcMar>
            <w:vAlign w:val="center"/>
          </w:tcPr>
          <w:p w14:paraId="157FF4CF">
            <w:pPr>
              <w:adjustRightInd w:val="0"/>
              <w:snapToGrid w:val="0"/>
              <w:spacing w:line="500" w:lineRule="exact"/>
              <w:jc w:val="center"/>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是</w:t>
            </w:r>
          </w:p>
        </w:tc>
        <w:tc>
          <w:tcPr>
            <w:tcW w:w="1440" w:type="dxa"/>
            <w:tcMar>
              <w:top w:w="0" w:type="dxa"/>
              <w:left w:w="108" w:type="dxa"/>
              <w:bottom w:w="0" w:type="dxa"/>
              <w:right w:w="108" w:type="dxa"/>
            </w:tcMar>
            <w:vAlign w:val="center"/>
          </w:tcPr>
          <w:p w14:paraId="6143D17C">
            <w:pPr>
              <w:adjustRightInd w:val="0"/>
              <w:snapToGrid w:val="0"/>
              <w:spacing w:line="500" w:lineRule="exact"/>
              <w:jc w:val="center"/>
              <w:rPr>
                <w:rFonts w:hint="default" w:asciiTheme="minorEastAsia" w:hAnsiTheme="minorEastAsia" w:eastAsiaTheme="minorEastAsia" w:cstheme="minorEastAsia"/>
                <w:sz w:val="24"/>
                <w:szCs w:val="24"/>
                <w:highlight w:val="none"/>
                <w:lang w:val="en-US" w:eastAsia="zh-CN"/>
              </w:rPr>
            </w:pPr>
            <w:r>
              <w:rPr>
                <w:rFonts w:hint="default" w:ascii="宋体" w:hAnsi="宋体" w:eastAsia="宋体" w:cs="宋体"/>
                <w:sz w:val="24"/>
                <w:szCs w:val="24"/>
                <w:lang w:val="en-US" w:eastAsia="zh-CN"/>
              </w:rPr>
              <w:t>4536000</w:t>
            </w:r>
            <w:r>
              <w:rPr>
                <w:rFonts w:hint="eastAsia" w:ascii="宋体" w:hAnsi="宋体" w:eastAsia="宋体" w:cs="宋体"/>
                <w:sz w:val="24"/>
                <w:szCs w:val="24"/>
                <w:lang w:val="en-US" w:eastAsia="zh-CN"/>
              </w:rPr>
              <w:t>.00</w:t>
            </w:r>
          </w:p>
        </w:tc>
      </w:tr>
    </w:tbl>
    <w:p w14:paraId="6E691BFC">
      <w:pPr>
        <w:keepNext w:val="0"/>
        <w:keepLines w:val="0"/>
        <w:pageBreakBefore w:val="0"/>
        <w:widowControl w:val="0"/>
        <w:kinsoku/>
        <w:wordWrap w:val="0"/>
        <w:overflowPunct/>
        <w:topLinePunct/>
        <w:autoSpaceDE/>
        <w:autoSpaceDN/>
        <w:bidi w:val="0"/>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5、采购需求（包括但不限于标的的名称、数量、简要技术需求或服务要求等）</w:t>
      </w:r>
    </w:p>
    <w:p w14:paraId="2761661D">
      <w:pPr>
        <w:keepNext w:val="0"/>
        <w:keepLines w:val="0"/>
        <w:pageBreakBefore w:val="0"/>
        <w:widowControl w:val="0"/>
        <w:kinsoku/>
        <w:wordWrap w:val="0"/>
        <w:overflowPunct/>
        <w:topLinePunct/>
        <w:autoSpaceDE/>
        <w:autoSpaceDN/>
        <w:bidi w:val="0"/>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项目内容：做好采购人指定区域的保安服务工作，主要负责人员来访登记、联系、证件检验，门卫、守护和巡逻，公共秩序维护，治安及其它突发事件处理，对出入车辆进行检查；采购人安排的其他工作任务，保安人员须保证每天24小时在岗。</w:t>
      </w:r>
    </w:p>
    <w:p w14:paraId="01CC0E6A">
      <w:pPr>
        <w:keepNext w:val="0"/>
        <w:keepLines w:val="0"/>
        <w:pageBreakBefore w:val="0"/>
        <w:widowControl w:val="0"/>
        <w:kinsoku/>
        <w:wordWrap w:val="0"/>
        <w:overflowPunct/>
        <w:topLinePunct/>
        <w:autoSpaceDE/>
        <w:autoSpaceDN/>
        <w:bidi w:val="0"/>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（2）服务标准：符合国家或行业规定的合格标准，满足采购人提出的技术标准及要求，按时按量保证完成服务内容</w:t>
      </w:r>
      <w:r>
        <w:rPr>
          <w:rFonts w:hint="eastAsia" w:ascii="宋体" w:hAnsi="宋体" w:eastAsia="宋体" w:cs="宋体"/>
          <w:color w:val="auto"/>
          <w:sz w:val="24"/>
          <w:szCs w:val="24"/>
          <w:highlight w:val="none"/>
          <w:lang w:eastAsia="zh-CN"/>
        </w:rPr>
        <w:t>。</w:t>
      </w:r>
    </w:p>
    <w:p w14:paraId="41038DB5">
      <w:pPr>
        <w:keepNext w:val="0"/>
        <w:keepLines w:val="0"/>
        <w:pageBreakBefore w:val="0"/>
        <w:widowControl w:val="0"/>
        <w:kinsoku/>
        <w:wordWrap w:val="0"/>
        <w:overflowPunct/>
        <w:topLinePunct/>
        <w:autoSpaceDE/>
        <w:autoSpaceDN/>
        <w:bidi w:val="0"/>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.合同履行期限：合同签订之日起三年</w:t>
      </w:r>
      <w:r>
        <w:rPr>
          <w:rFonts w:hint="eastAsia" w:ascii="宋体" w:hAnsi="宋体" w:eastAsia="宋体" w:cs="宋体"/>
          <w:color w:val="auto"/>
          <w:sz w:val="24"/>
          <w:szCs w:val="24"/>
          <w:highlight w:val="none"/>
          <w:lang w:val="en-US" w:eastAsia="zh-CN"/>
        </w:rPr>
        <w:t>。</w:t>
      </w:r>
    </w:p>
    <w:p w14:paraId="36C335DB">
      <w:pPr>
        <w:keepNext w:val="0"/>
        <w:keepLines w:val="0"/>
        <w:pageBreakBefore w:val="0"/>
        <w:widowControl w:val="0"/>
        <w:kinsoku/>
        <w:wordWrap w:val="0"/>
        <w:overflowPunct/>
        <w:topLinePunct/>
        <w:autoSpaceDE/>
        <w:autoSpaceDN/>
        <w:bidi w:val="0"/>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.本项目是否接受联合体</w:t>
      </w:r>
      <w:r>
        <w:rPr>
          <w:rFonts w:hint="eastAsia" w:ascii="宋体" w:hAnsi="宋体" w:eastAsia="宋体" w:cs="宋体"/>
          <w:color w:val="auto"/>
          <w:sz w:val="24"/>
          <w:szCs w:val="24"/>
          <w:highlight w:val="none"/>
          <w:lang w:val="en-US" w:eastAsia="zh-CN"/>
        </w:rPr>
        <w:t>投标</w:t>
      </w:r>
      <w:r>
        <w:rPr>
          <w:rFonts w:hint="eastAsia" w:ascii="宋体" w:hAnsi="宋体" w:eastAsia="宋体" w:cs="宋体"/>
          <w:color w:val="auto"/>
          <w:sz w:val="24"/>
          <w:szCs w:val="24"/>
          <w:highlight w:val="none"/>
        </w:rPr>
        <w:t>：否</w:t>
      </w:r>
    </w:p>
    <w:p w14:paraId="1B51CC8C">
      <w:pPr>
        <w:keepNext w:val="0"/>
        <w:keepLines w:val="0"/>
        <w:pageBreakBefore w:val="0"/>
        <w:widowControl w:val="0"/>
        <w:kinsoku/>
        <w:wordWrap w:val="0"/>
        <w:overflowPunct/>
        <w:topLinePunct/>
        <w:autoSpaceDE/>
        <w:autoSpaceDN/>
        <w:bidi w:val="0"/>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.是否接受进口产品：否</w:t>
      </w:r>
    </w:p>
    <w:p w14:paraId="66A46523">
      <w:pPr>
        <w:keepNext w:val="0"/>
        <w:keepLines w:val="0"/>
        <w:pageBreakBefore w:val="0"/>
        <w:widowControl w:val="0"/>
        <w:kinsoku/>
        <w:wordWrap w:val="0"/>
        <w:overflowPunct/>
        <w:topLinePunct/>
        <w:autoSpaceDE/>
        <w:autoSpaceDN/>
        <w:bidi w:val="0"/>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9.是否专门面向中小企业：是</w:t>
      </w:r>
    </w:p>
    <w:p w14:paraId="14C2B33F">
      <w:pPr>
        <w:keepNext w:val="0"/>
        <w:keepLines w:val="0"/>
        <w:pageBreakBefore w:val="0"/>
        <w:widowControl w:val="0"/>
        <w:kinsoku/>
        <w:wordWrap w:val="0"/>
        <w:overflowPunct/>
        <w:topLinePunct/>
        <w:autoSpaceDE/>
        <w:autoSpaceDN/>
        <w:bidi w:val="0"/>
        <w:adjustRightInd w:val="0"/>
        <w:snapToGrid w:val="0"/>
        <w:spacing w:line="440" w:lineRule="exact"/>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二、申请人资格要求：</w:t>
      </w:r>
    </w:p>
    <w:p w14:paraId="69E26469">
      <w:pPr>
        <w:keepNext w:val="0"/>
        <w:keepLines w:val="0"/>
        <w:pageBreakBefore w:val="0"/>
        <w:widowControl w:val="0"/>
        <w:kinsoku/>
        <w:wordWrap w:val="0"/>
        <w:overflowPunct/>
        <w:topLinePunct/>
        <w:autoSpaceDE/>
        <w:autoSpaceDN/>
        <w:bidi w:val="0"/>
        <w:adjustRightInd w:val="0"/>
        <w:snapToGrid w:val="0"/>
        <w:spacing w:line="440" w:lineRule="exact"/>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1、满足《中华人民共和国政府采购法》第二十二条规定</w:t>
      </w:r>
      <w:r>
        <w:rPr>
          <w:rFonts w:hint="eastAsia" w:ascii="宋体" w:hAnsi="宋体" w:eastAsia="宋体" w:cs="宋体"/>
          <w:sz w:val="24"/>
          <w:szCs w:val="24"/>
          <w:highlight w:val="none"/>
          <w:lang w:eastAsia="zh-CN"/>
        </w:rPr>
        <w:t>；</w:t>
      </w:r>
    </w:p>
    <w:p w14:paraId="17A82378">
      <w:pPr>
        <w:keepNext w:val="0"/>
        <w:keepLines w:val="0"/>
        <w:pageBreakBefore w:val="0"/>
        <w:widowControl w:val="0"/>
        <w:kinsoku/>
        <w:wordWrap w:val="0"/>
        <w:overflowPunct/>
        <w:topLinePunct/>
        <w:autoSpaceDE/>
        <w:autoSpaceDN/>
        <w:bidi w:val="0"/>
        <w:adjustRightInd w:val="0"/>
        <w:spacing w:line="44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2、落实政府采购政策需满足的资格要求：本项目专门面向中小企业采购，须提供中小企业声明函或者残疾人福利性单位声明函或者监狱企业证明材料。</w:t>
      </w:r>
    </w:p>
    <w:p w14:paraId="746A0248">
      <w:pPr>
        <w:keepNext w:val="0"/>
        <w:keepLines w:val="0"/>
        <w:pageBreakBefore w:val="0"/>
        <w:widowControl w:val="0"/>
        <w:kinsoku/>
        <w:wordWrap w:val="0"/>
        <w:overflowPunct/>
        <w:topLinePunct/>
        <w:autoSpaceDE/>
        <w:autoSpaceDN/>
        <w:bidi w:val="0"/>
        <w:adjustRightInd w:val="0"/>
        <w:snapToGrid w:val="0"/>
        <w:spacing w:line="440" w:lineRule="exact"/>
        <w:ind w:firstLine="482" w:firstLineChars="200"/>
        <w:textAlignment w:val="auto"/>
        <w:rPr>
          <w:rFonts w:hint="eastAsia" w:ascii="宋体" w:hAnsi="宋体" w:eastAsia="宋体" w:cs="宋体"/>
          <w:b/>
          <w:sz w:val="24"/>
          <w:szCs w:val="24"/>
          <w:highlight w:val="none"/>
          <w:lang w:eastAsia="zh-CN"/>
        </w:rPr>
      </w:pPr>
      <w:r>
        <w:rPr>
          <w:rFonts w:hint="eastAsia" w:ascii="宋体" w:hAnsi="宋体" w:eastAsia="宋体" w:cs="宋体"/>
          <w:b/>
          <w:sz w:val="24"/>
          <w:szCs w:val="24"/>
          <w:highlight w:val="none"/>
        </w:rPr>
        <w:t>3、本项目的特定资格要求：</w:t>
      </w:r>
    </w:p>
    <w:p w14:paraId="38173992">
      <w:pPr>
        <w:keepNext w:val="0"/>
        <w:keepLines w:val="0"/>
        <w:pageBreakBefore w:val="0"/>
        <w:widowControl w:val="0"/>
        <w:kinsoku/>
        <w:wordWrap w:val="0"/>
        <w:overflowPunct/>
        <w:topLinePunct/>
        <w:autoSpaceDE/>
        <w:autoSpaceDN/>
        <w:bidi w:val="0"/>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w:t>
      </w:r>
      <w:r>
        <w:rPr>
          <w:rFonts w:hint="default" w:ascii="宋体" w:hAnsi="宋体" w:eastAsia="宋体" w:cs="宋体"/>
          <w:color w:val="auto"/>
          <w:sz w:val="24"/>
          <w:szCs w:val="24"/>
          <w:highlight w:val="none"/>
          <w:lang w:val="en-US" w:eastAsia="zh-CN"/>
        </w:rPr>
        <w:t>供应商具有公安机关颁发的合法有效的《保安服务许可证》</w:t>
      </w:r>
      <w:r>
        <w:rPr>
          <w:rFonts w:hint="eastAsia" w:ascii="宋体" w:hAnsi="宋体" w:eastAsia="宋体" w:cs="宋体"/>
          <w:color w:val="auto"/>
          <w:sz w:val="24"/>
          <w:szCs w:val="24"/>
          <w:highlight w:val="none"/>
          <w:lang w:val="en-US" w:eastAsia="zh-CN"/>
        </w:rPr>
        <w:t>；</w:t>
      </w:r>
    </w:p>
    <w:p w14:paraId="156ADC22">
      <w:pPr>
        <w:keepNext w:val="0"/>
        <w:keepLines w:val="0"/>
        <w:pageBreakBefore w:val="0"/>
        <w:widowControl w:val="0"/>
        <w:kinsoku/>
        <w:wordWrap w:val="0"/>
        <w:overflowPunct/>
        <w:topLinePunct/>
        <w:autoSpaceDE/>
        <w:autoSpaceDN/>
        <w:bidi w:val="0"/>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3.2单位负责人为同一人或者存在直接控股、管理关系的不同供应商，不得同时参加本项目采购活动；</w:t>
      </w:r>
    </w:p>
    <w:p w14:paraId="4CF12AC2">
      <w:pPr>
        <w:keepNext w:val="0"/>
        <w:keepLines w:val="0"/>
        <w:pageBreakBefore w:val="0"/>
        <w:widowControl w:val="0"/>
        <w:kinsoku/>
        <w:wordWrap w:val="0"/>
        <w:overflowPunct/>
        <w:topLinePunct/>
        <w:autoSpaceDE/>
        <w:autoSpaceDN/>
        <w:bidi w:val="0"/>
        <w:spacing w:line="44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3.3根据《关于在政府采购活动中查询及使用信用记录有关问题的通知》（财库〔2016〕125号）的规定，对列入失信行为记录名单的供应商，拒绝参与本项目政府采购活动；（查询渠道：1.“信用中国网”，查询内容为：重大税收违法失信主体；2.“中国执行信息公开网”，查询内容为：失信被执行人；3.“中国政府采购网”，查询内容为：政府采购严重违法失信行为记录名单。查询时间：自招标公告发出之日起）。</w:t>
      </w:r>
    </w:p>
    <w:p w14:paraId="4EC4782D">
      <w:pPr>
        <w:keepNext w:val="0"/>
        <w:keepLines w:val="0"/>
        <w:pageBreakBefore w:val="0"/>
        <w:widowControl w:val="0"/>
        <w:kinsoku/>
        <w:wordWrap w:val="0"/>
        <w:overflowPunct/>
        <w:topLinePunct/>
        <w:autoSpaceDE/>
        <w:autoSpaceDN/>
        <w:bidi w:val="0"/>
        <w:adjustRightInd w:val="0"/>
        <w:snapToGrid w:val="0"/>
        <w:spacing w:line="440" w:lineRule="exact"/>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三、获取采购文件：</w:t>
      </w:r>
    </w:p>
    <w:p w14:paraId="5A76B7D0">
      <w:pPr>
        <w:keepNext w:val="0"/>
        <w:keepLines w:val="0"/>
        <w:pageBreakBefore w:val="0"/>
        <w:widowControl w:val="0"/>
        <w:kinsoku/>
        <w:wordWrap w:val="0"/>
        <w:overflowPunct/>
        <w:topLinePunct/>
        <w:autoSpaceDE/>
        <w:autoSpaceDN/>
        <w:bidi w:val="0"/>
        <w:adjustRightInd w:val="0"/>
        <w:snapToGrid w:val="0"/>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1、时间：</w:t>
      </w:r>
      <w:r>
        <w:rPr>
          <w:rFonts w:hint="eastAsia" w:ascii="宋体" w:hAnsi="宋体" w:eastAsia="宋体" w:cs="宋体"/>
          <w:color w:val="auto"/>
          <w:sz w:val="24"/>
          <w:szCs w:val="24"/>
          <w:highlight w:val="none"/>
        </w:rPr>
        <w:t>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07</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rPr>
        <w:t>日至</w:t>
      </w:r>
      <w:r>
        <w:rPr>
          <w:rFonts w:hint="eastAsia" w:ascii="宋体" w:hAnsi="宋体" w:eastAsia="宋体" w:cs="宋体"/>
          <w:color w:val="auto"/>
          <w:sz w:val="24"/>
          <w:szCs w:val="24"/>
          <w:highlight w:val="none"/>
          <w:lang w:eastAsia="zh-CN"/>
        </w:rPr>
        <w:t>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lang w:val="en-US" w:eastAsia="zh-CN"/>
        </w:rPr>
        <w:t>08</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lang w:val="en-US" w:eastAsia="zh-CN"/>
        </w:rPr>
        <w:t>02</w:t>
      </w:r>
      <w:r>
        <w:rPr>
          <w:rFonts w:hint="eastAsia" w:ascii="宋体" w:hAnsi="宋体" w:eastAsia="宋体" w:cs="宋体"/>
          <w:color w:val="auto"/>
          <w:sz w:val="24"/>
          <w:szCs w:val="24"/>
          <w:highlight w:val="none"/>
          <w:lang w:eastAsia="zh-CN"/>
        </w:rPr>
        <w:t>日</w:t>
      </w:r>
      <w:r>
        <w:rPr>
          <w:rFonts w:hint="eastAsia" w:ascii="宋体" w:hAnsi="宋体" w:eastAsia="宋体" w:cs="宋体"/>
          <w:sz w:val="24"/>
          <w:szCs w:val="24"/>
          <w:highlight w:val="none"/>
        </w:rPr>
        <w:t>，每天上午00:00至12:00，下午12:00至23:59（北京时间，法定节假日除外。）</w:t>
      </w:r>
    </w:p>
    <w:p w14:paraId="41FF5BFC">
      <w:pPr>
        <w:keepNext w:val="0"/>
        <w:keepLines w:val="0"/>
        <w:pageBreakBefore w:val="0"/>
        <w:widowControl w:val="0"/>
        <w:kinsoku/>
        <w:wordWrap w:val="0"/>
        <w:overflowPunct/>
        <w:topLinePunct/>
        <w:autoSpaceDE/>
        <w:autoSpaceDN/>
        <w:bidi w:val="0"/>
        <w:adjustRightInd w:val="0"/>
        <w:snapToGrid w:val="0"/>
        <w:spacing w:line="440" w:lineRule="exact"/>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2、地点：全国公共资源交易平台（河南省·济源市）；</w:t>
      </w:r>
    </w:p>
    <w:p w14:paraId="24F6B86C">
      <w:pPr>
        <w:keepNext w:val="0"/>
        <w:keepLines w:val="0"/>
        <w:pageBreakBefore w:val="0"/>
        <w:widowControl w:val="0"/>
        <w:kinsoku/>
        <w:wordWrap w:val="0"/>
        <w:overflowPunct/>
        <w:topLinePunct/>
        <w:autoSpaceDE/>
        <w:autoSpaceDN/>
        <w:bidi w:val="0"/>
        <w:adjustRightInd w:val="0"/>
        <w:snapToGrid w:val="0"/>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3、方式：本项目只接受网上报名，不接受其他的报名方式。</w:t>
      </w:r>
    </w:p>
    <w:p w14:paraId="188A2989">
      <w:pPr>
        <w:keepNext w:val="0"/>
        <w:keepLines w:val="0"/>
        <w:pageBreakBefore w:val="0"/>
        <w:widowControl w:val="0"/>
        <w:kinsoku/>
        <w:wordWrap w:val="0"/>
        <w:overflowPunct/>
        <w:topLinePunct/>
        <w:autoSpaceDE/>
        <w:autoSpaceDN/>
        <w:bidi w:val="0"/>
        <w:adjustRightInd w:val="0"/>
        <w:snapToGrid w:val="0"/>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凡有意参加本项目投标的供应商通过全国公共资源交易平台（河南省</w:t>
      </w:r>
      <w:r>
        <w:rPr>
          <w:rFonts w:hint="eastAsia" w:ascii="宋体" w:hAnsi="宋体" w:eastAsia="宋体" w:cs="宋体"/>
          <w:snapToGrid/>
          <w:color w:val="auto"/>
          <w:kern w:val="2"/>
          <w:sz w:val="24"/>
          <w:szCs w:val="24"/>
          <w:highlight w:val="none"/>
          <w:lang w:val="en-US" w:eastAsia="zh-CN" w:bidi="ar-SA"/>
        </w:rPr>
        <w:t>·</w:t>
      </w:r>
      <w:r>
        <w:rPr>
          <w:rFonts w:hint="eastAsia" w:ascii="宋体" w:hAnsi="宋体" w:eastAsia="宋体" w:cs="宋体"/>
          <w:sz w:val="24"/>
          <w:szCs w:val="24"/>
          <w:highlight w:val="none"/>
        </w:rPr>
        <w:t>济源市）“交易主体登录”后获取招标文件。如果是初次参加采购活动的，需先在全国公共资源交易平台（河南省</w:t>
      </w:r>
      <w:r>
        <w:rPr>
          <w:rFonts w:hint="eastAsia" w:ascii="宋体" w:hAnsi="宋体" w:eastAsia="宋体" w:cs="宋体"/>
          <w:snapToGrid/>
          <w:color w:val="auto"/>
          <w:kern w:val="2"/>
          <w:sz w:val="24"/>
          <w:szCs w:val="24"/>
          <w:highlight w:val="none"/>
          <w:lang w:val="en-US" w:eastAsia="zh-CN" w:bidi="ar-SA"/>
        </w:rPr>
        <w:t>·</w:t>
      </w:r>
      <w:r>
        <w:rPr>
          <w:rFonts w:hint="eastAsia" w:ascii="宋体" w:hAnsi="宋体" w:eastAsia="宋体" w:cs="宋体"/>
          <w:sz w:val="24"/>
          <w:szCs w:val="24"/>
          <w:highlight w:val="none"/>
        </w:rPr>
        <w:t>济源市）点击“交易主体登录”界面进行会员注册（详见网站首页→重要通知栏目→关于济源市公共资源交易中心新交易平台系统上线运行的通知（查看交易主体入库操作手册））。</w:t>
      </w:r>
    </w:p>
    <w:p w14:paraId="08B5B3DA">
      <w:pPr>
        <w:keepNext w:val="0"/>
        <w:keepLines w:val="0"/>
        <w:pageBreakBefore w:val="0"/>
        <w:widowControl w:val="0"/>
        <w:kinsoku/>
        <w:wordWrap w:val="0"/>
        <w:overflowPunct/>
        <w:topLinePunct/>
        <w:autoSpaceDE/>
        <w:autoSpaceDN/>
        <w:bidi w:val="0"/>
        <w:adjustRightInd w:val="0"/>
        <w:snapToGrid w:val="0"/>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4、售价：0元。</w:t>
      </w:r>
    </w:p>
    <w:p w14:paraId="172F1ED1">
      <w:pPr>
        <w:keepNext w:val="0"/>
        <w:keepLines w:val="0"/>
        <w:pageBreakBefore w:val="0"/>
        <w:widowControl w:val="0"/>
        <w:kinsoku/>
        <w:wordWrap w:val="0"/>
        <w:overflowPunct/>
        <w:topLinePunct/>
        <w:autoSpaceDE/>
        <w:autoSpaceDN/>
        <w:bidi w:val="0"/>
        <w:adjustRightInd w:val="0"/>
        <w:snapToGrid w:val="0"/>
        <w:spacing w:line="440" w:lineRule="exact"/>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四、投标截止时间及地点</w:t>
      </w:r>
    </w:p>
    <w:p w14:paraId="0B9C69C2">
      <w:pPr>
        <w:keepNext w:val="0"/>
        <w:keepLines w:val="0"/>
        <w:pageBreakBefore w:val="0"/>
        <w:widowControl w:val="0"/>
        <w:kinsoku/>
        <w:wordWrap w:val="0"/>
        <w:overflowPunct/>
        <w:topLinePunct/>
        <w:autoSpaceDE/>
        <w:autoSpaceDN/>
        <w:bidi w:val="0"/>
        <w:adjustRightInd/>
        <w:snapToGrid/>
        <w:spacing w:line="440" w:lineRule="exact"/>
        <w:ind w:right="0" w:rightChars="0"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1.时间：</w:t>
      </w:r>
      <w:r>
        <w:rPr>
          <w:rFonts w:hint="eastAsia" w:ascii="宋体" w:hAnsi="宋体" w:eastAsia="宋体" w:cs="宋体"/>
          <w:sz w:val="24"/>
          <w:szCs w:val="24"/>
          <w:highlight w:val="none"/>
          <w:lang w:eastAsia="zh-CN"/>
        </w:rPr>
        <w:t>202</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lang w:eastAsia="zh-CN"/>
        </w:rPr>
        <w:t>年</w:t>
      </w:r>
      <w:r>
        <w:rPr>
          <w:rFonts w:hint="eastAsia" w:ascii="宋体" w:hAnsi="宋体" w:eastAsia="宋体" w:cs="宋体"/>
          <w:sz w:val="24"/>
          <w:szCs w:val="24"/>
          <w:lang w:val="en-US" w:eastAsia="zh-CN"/>
        </w:rPr>
        <w:t>08</w:t>
      </w:r>
      <w:r>
        <w:rPr>
          <w:rFonts w:hint="eastAsia" w:ascii="宋体" w:hAnsi="宋体" w:eastAsia="宋体" w:cs="宋体"/>
          <w:sz w:val="24"/>
          <w:szCs w:val="24"/>
          <w:lang w:eastAsia="zh-CN"/>
        </w:rPr>
        <w:t>月</w:t>
      </w:r>
      <w:r>
        <w:rPr>
          <w:rFonts w:hint="eastAsia" w:ascii="宋体" w:hAnsi="宋体" w:eastAsia="宋体" w:cs="宋体"/>
          <w:sz w:val="24"/>
          <w:szCs w:val="24"/>
          <w:lang w:val="en-US" w:eastAsia="zh-CN"/>
        </w:rPr>
        <w:t>03</w:t>
      </w:r>
      <w:r>
        <w:rPr>
          <w:rFonts w:hint="eastAsia" w:ascii="宋体" w:hAnsi="宋体" w:eastAsia="宋体" w:cs="宋体"/>
          <w:sz w:val="24"/>
          <w:szCs w:val="24"/>
          <w:lang w:eastAsia="zh-CN"/>
        </w:rPr>
        <w:t>日</w:t>
      </w:r>
      <w:r>
        <w:rPr>
          <w:rFonts w:hint="eastAsia" w:ascii="宋体" w:hAnsi="宋体" w:eastAsia="宋体" w:cs="宋体"/>
          <w:sz w:val="24"/>
          <w:szCs w:val="24"/>
          <w:highlight w:val="none"/>
        </w:rPr>
        <w:t>0</w:t>
      </w:r>
      <w:r>
        <w:rPr>
          <w:rFonts w:hint="eastAsia" w:ascii="宋体" w:hAnsi="宋体" w:eastAsia="宋体" w:cs="宋体"/>
          <w:sz w:val="24"/>
          <w:szCs w:val="24"/>
          <w:highlight w:val="none"/>
          <w:lang w:val="en-US" w:eastAsia="zh-CN"/>
        </w:rPr>
        <w:t>9</w:t>
      </w:r>
      <w:r>
        <w:rPr>
          <w:rFonts w:hint="eastAsia" w:ascii="宋体" w:hAnsi="宋体" w:eastAsia="宋体" w:cs="宋体"/>
          <w:sz w:val="24"/>
          <w:szCs w:val="24"/>
          <w:highlight w:val="none"/>
        </w:rPr>
        <w:t>时</w:t>
      </w:r>
      <w:r>
        <w:rPr>
          <w:rFonts w:hint="eastAsia" w:ascii="宋体" w:hAnsi="宋体" w:eastAsia="宋体" w:cs="宋体"/>
          <w:sz w:val="24"/>
          <w:szCs w:val="24"/>
          <w:highlight w:val="none"/>
          <w:lang w:val="en-US" w:eastAsia="zh-CN"/>
        </w:rPr>
        <w:t>0</w:t>
      </w:r>
      <w:r>
        <w:rPr>
          <w:rFonts w:hint="eastAsia" w:ascii="宋体" w:hAnsi="宋体" w:eastAsia="宋体" w:cs="宋体"/>
          <w:sz w:val="24"/>
          <w:szCs w:val="24"/>
          <w:highlight w:val="none"/>
        </w:rPr>
        <w:t>0分</w:t>
      </w:r>
      <w:r>
        <w:rPr>
          <w:rFonts w:hint="eastAsia" w:ascii="宋体" w:hAnsi="宋体" w:eastAsia="宋体" w:cs="宋体"/>
          <w:snapToGrid/>
          <w:color w:val="auto"/>
          <w:kern w:val="2"/>
          <w:sz w:val="24"/>
          <w:szCs w:val="24"/>
          <w:highlight w:val="none"/>
          <w:lang w:val="en-US" w:eastAsia="zh-CN" w:bidi="ar-SA"/>
        </w:rPr>
        <w:t>(北京时间)</w:t>
      </w:r>
    </w:p>
    <w:p w14:paraId="70D5D600">
      <w:pPr>
        <w:keepNext w:val="0"/>
        <w:keepLines w:val="0"/>
        <w:pageBreakBefore w:val="0"/>
        <w:widowControl w:val="0"/>
        <w:kinsoku/>
        <w:wordWrap w:val="0"/>
        <w:overflowPunct/>
        <w:topLinePunct/>
        <w:autoSpaceDE/>
        <w:autoSpaceDN/>
        <w:bidi w:val="0"/>
        <w:adjustRightInd w:val="0"/>
        <w:snapToGrid w:val="0"/>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2.地点：济源市电子招投标交易平台</w:t>
      </w:r>
    </w:p>
    <w:p w14:paraId="064ADAAE">
      <w:pPr>
        <w:keepNext w:val="0"/>
        <w:keepLines w:val="0"/>
        <w:pageBreakBefore w:val="0"/>
        <w:widowControl w:val="0"/>
        <w:kinsoku/>
        <w:wordWrap w:val="0"/>
        <w:overflowPunct/>
        <w:topLinePunct/>
        <w:autoSpaceDE/>
        <w:autoSpaceDN/>
        <w:bidi w:val="0"/>
        <w:adjustRightInd w:val="0"/>
        <w:snapToGrid w:val="0"/>
        <w:spacing w:line="440" w:lineRule="exact"/>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五、开标时间</w:t>
      </w:r>
      <w:r>
        <w:rPr>
          <w:rFonts w:hint="eastAsia" w:ascii="宋体" w:hAnsi="宋体" w:eastAsia="宋体" w:cs="宋体"/>
          <w:b/>
          <w:sz w:val="24"/>
          <w:szCs w:val="24"/>
          <w:highlight w:val="none"/>
          <w:lang w:val="en-US" w:eastAsia="zh-CN"/>
        </w:rPr>
        <w:t>及</w:t>
      </w:r>
      <w:r>
        <w:rPr>
          <w:rFonts w:hint="eastAsia" w:ascii="宋体" w:hAnsi="宋体" w:eastAsia="宋体" w:cs="宋体"/>
          <w:b/>
          <w:sz w:val="24"/>
          <w:szCs w:val="24"/>
          <w:highlight w:val="none"/>
        </w:rPr>
        <w:t>地点</w:t>
      </w:r>
    </w:p>
    <w:p w14:paraId="32F06FCA">
      <w:pPr>
        <w:keepNext w:val="0"/>
        <w:keepLines w:val="0"/>
        <w:pageBreakBefore w:val="0"/>
        <w:widowControl w:val="0"/>
        <w:kinsoku/>
        <w:wordWrap w:val="0"/>
        <w:overflowPunct/>
        <w:topLinePunct/>
        <w:autoSpaceDE/>
        <w:autoSpaceDN/>
        <w:bidi w:val="0"/>
        <w:adjustRightInd/>
        <w:snapToGrid/>
        <w:spacing w:line="440" w:lineRule="exact"/>
        <w:ind w:right="0" w:rightChars="0"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1.截止时间：</w:t>
      </w:r>
      <w:r>
        <w:rPr>
          <w:rFonts w:hint="eastAsia" w:ascii="宋体" w:hAnsi="宋体" w:eastAsia="宋体" w:cs="宋体"/>
          <w:sz w:val="24"/>
          <w:szCs w:val="24"/>
          <w:highlight w:val="none"/>
          <w:lang w:eastAsia="zh-CN"/>
        </w:rPr>
        <w:t>202</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lang w:eastAsia="zh-CN"/>
        </w:rPr>
        <w:t>年</w:t>
      </w:r>
      <w:r>
        <w:rPr>
          <w:rFonts w:hint="eastAsia" w:ascii="宋体" w:hAnsi="宋体" w:eastAsia="宋体" w:cs="宋体"/>
          <w:sz w:val="24"/>
          <w:szCs w:val="24"/>
          <w:lang w:val="en-US" w:eastAsia="zh-CN"/>
        </w:rPr>
        <w:t>08</w:t>
      </w:r>
      <w:r>
        <w:rPr>
          <w:rFonts w:hint="eastAsia" w:ascii="宋体" w:hAnsi="宋体" w:eastAsia="宋体" w:cs="宋体"/>
          <w:sz w:val="24"/>
          <w:szCs w:val="24"/>
          <w:lang w:eastAsia="zh-CN"/>
        </w:rPr>
        <w:t>月</w:t>
      </w:r>
      <w:r>
        <w:rPr>
          <w:rFonts w:hint="eastAsia" w:ascii="宋体" w:hAnsi="宋体" w:eastAsia="宋体" w:cs="宋体"/>
          <w:sz w:val="24"/>
          <w:szCs w:val="24"/>
          <w:lang w:val="en-US" w:eastAsia="zh-CN"/>
        </w:rPr>
        <w:t>03</w:t>
      </w:r>
      <w:r>
        <w:rPr>
          <w:rFonts w:hint="eastAsia" w:ascii="宋体" w:hAnsi="宋体" w:eastAsia="宋体" w:cs="宋体"/>
          <w:sz w:val="24"/>
          <w:szCs w:val="24"/>
          <w:lang w:eastAsia="zh-CN"/>
        </w:rPr>
        <w:t>日</w:t>
      </w:r>
      <w:r>
        <w:rPr>
          <w:rFonts w:hint="eastAsia" w:ascii="宋体" w:hAnsi="宋体" w:eastAsia="宋体" w:cs="宋体"/>
          <w:sz w:val="24"/>
          <w:szCs w:val="24"/>
          <w:highlight w:val="none"/>
        </w:rPr>
        <w:t>0</w:t>
      </w:r>
      <w:r>
        <w:rPr>
          <w:rFonts w:hint="eastAsia" w:ascii="宋体" w:hAnsi="宋体" w:eastAsia="宋体" w:cs="宋体"/>
          <w:sz w:val="24"/>
          <w:szCs w:val="24"/>
          <w:highlight w:val="none"/>
          <w:lang w:val="en-US" w:eastAsia="zh-CN"/>
        </w:rPr>
        <w:t>9</w:t>
      </w:r>
      <w:r>
        <w:rPr>
          <w:rFonts w:hint="eastAsia" w:ascii="宋体" w:hAnsi="宋体" w:eastAsia="宋体" w:cs="宋体"/>
          <w:sz w:val="24"/>
          <w:szCs w:val="24"/>
          <w:highlight w:val="none"/>
        </w:rPr>
        <w:t>时</w:t>
      </w:r>
      <w:r>
        <w:rPr>
          <w:rFonts w:hint="eastAsia" w:ascii="宋体" w:hAnsi="宋体" w:eastAsia="宋体" w:cs="宋体"/>
          <w:sz w:val="24"/>
          <w:szCs w:val="24"/>
          <w:highlight w:val="none"/>
          <w:lang w:val="en-US" w:eastAsia="zh-CN"/>
        </w:rPr>
        <w:t>0</w:t>
      </w:r>
      <w:r>
        <w:rPr>
          <w:rFonts w:hint="eastAsia" w:ascii="宋体" w:hAnsi="宋体" w:eastAsia="宋体" w:cs="宋体"/>
          <w:sz w:val="24"/>
          <w:szCs w:val="24"/>
          <w:highlight w:val="none"/>
        </w:rPr>
        <w:t>0分</w:t>
      </w:r>
      <w:r>
        <w:rPr>
          <w:rFonts w:hint="eastAsia" w:ascii="宋体" w:hAnsi="宋体" w:eastAsia="宋体" w:cs="宋体"/>
          <w:snapToGrid/>
          <w:color w:val="auto"/>
          <w:kern w:val="2"/>
          <w:sz w:val="24"/>
          <w:szCs w:val="24"/>
          <w:highlight w:val="none"/>
          <w:lang w:val="en-US" w:eastAsia="zh-CN" w:bidi="ar-SA"/>
        </w:rPr>
        <w:t>(北京时间)</w:t>
      </w:r>
    </w:p>
    <w:p w14:paraId="1B502E3E">
      <w:pPr>
        <w:keepNext w:val="0"/>
        <w:keepLines w:val="0"/>
        <w:pageBreakBefore w:val="0"/>
        <w:widowControl w:val="0"/>
        <w:kinsoku/>
        <w:wordWrap w:val="0"/>
        <w:overflowPunct/>
        <w:topLinePunct/>
        <w:autoSpaceDE/>
        <w:autoSpaceDN/>
        <w:bidi w:val="0"/>
        <w:adjustRightInd/>
        <w:snapToGrid/>
        <w:spacing w:line="440" w:lineRule="exact"/>
        <w:ind w:right="0" w:rightChars="0"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2.地点：济源市电子招投标交易平台</w:t>
      </w:r>
      <w:r>
        <w:rPr>
          <w:rFonts w:hint="eastAsia" w:ascii="宋体" w:hAnsi="宋体" w:eastAsia="宋体" w:cs="宋体"/>
          <w:snapToGrid/>
          <w:color w:val="auto"/>
          <w:kern w:val="2"/>
          <w:sz w:val="24"/>
          <w:szCs w:val="24"/>
          <w:highlight w:val="none"/>
          <w:lang w:val="en-US" w:eastAsia="zh-CN" w:bidi="ar-SA"/>
        </w:rPr>
        <w:t>【不见面开标大厅】</w:t>
      </w:r>
    </w:p>
    <w:p w14:paraId="30E280E5">
      <w:pPr>
        <w:keepNext w:val="0"/>
        <w:keepLines w:val="0"/>
        <w:pageBreakBefore w:val="0"/>
        <w:widowControl w:val="0"/>
        <w:kinsoku/>
        <w:wordWrap w:val="0"/>
        <w:overflowPunct/>
        <w:topLinePunct/>
        <w:autoSpaceDE/>
        <w:autoSpaceDN/>
        <w:bidi w:val="0"/>
        <w:adjustRightInd w:val="0"/>
        <w:snapToGrid w:val="0"/>
        <w:spacing w:line="440" w:lineRule="exact"/>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六、发布的公告媒介及公告期限</w:t>
      </w:r>
    </w:p>
    <w:p w14:paraId="0934D885">
      <w:pPr>
        <w:keepNext w:val="0"/>
        <w:keepLines w:val="0"/>
        <w:pageBreakBefore w:val="0"/>
        <w:widowControl w:val="0"/>
        <w:kinsoku/>
        <w:wordWrap w:val="0"/>
        <w:overflowPunct/>
        <w:topLinePunct/>
        <w:autoSpaceDE/>
        <w:autoSpaceDN/>
        <w:bidi w:val="0"/>
        <w:adjustRightInd/>
        <w:snapToGrid/>
        <w:spacing w:line="440" w:lineRule="exact"/>
        <w:ind w:right="0" w:rightChars="0" w:firstLine="480" w:firstLineChars="200"/>
        <w:jc w:val="both"/>
        <w:textAlignment w:val="auto"/>
        <w:rPr>
          <w:rFonts w:hint="eastAsia" w:ascii="宋体" w:hAnsi="宋体" w:eastAsia="宋体" w:cs="宋体"/>
          <w:snapToGrid/>
          <w:color w:val="auto"/>
          <w:kern w:val="2"/>
          <w:sz w:val="24"/>
          <w:szCs w:val="24"/>
          <w:highlight w:val="none"/>
          <w:lang w:val="en-US" w:eastAsia="zh-CN" w:bidi="ar-SA"/>
        </w:rPr>
      </w:pPr>
      <w:r>
        <w:rPr>
          <w:rFonts w:hint="eastAsia" w:ascii="宋体" w:hAnsi="宋体" w:eastAsia="宋体" w:cs="宋体"/>
          <w:snapToGrid/>
          <w:color w:val="auto"/>
          <w:kern w:val="2"/>
          <w:sz w:val="24"/>
          <w:szCs w:val="24"/>
          <w:highlight w:val="none"/>
          <w:lang w:val="en-US" w:eastAsia="zh-CN" w:bidi="ar-SA"/>
        </w:rPr>
        <w:t>本次招标公告在《河南省政府采购网》、《全国公共资源交易平台</w:t>
      </w:r>
      <w:r>
        <w:rPr>
          <w:rFonts w:hint="eastAsia" w:ascii="宋体" w:hAnsi="宋体" w:eastAsia="宋体" w:cs="宋体"/>
          <w:sz w:val="24"/>
          <w:szCs w:val="24"/>
          <w:highlight w:val="none"/>
        </w:rPr>
        <w:t>（河南省</w:t>
      </w:r>
      <w:r>
        <w:rPr>
          <w:rFonts w:hint="eastAsia" w:ascii="宋体" w:hAnsi="宋体" w:eastAsia="宋体" w:cs="宋体"/>
          <w:snapToGrid/>
          <w:color w:val="auto"/>
          <w:kern w:val="2"/>
          <w:sz w:val="24"/>
          <w:szCs w:val="24"/>
          <w:highlight w:val="none"/>
          <w:lang w:val="en-US" w:eastAsia="zh-CN" w:bidi="ar-SA"/>
        </w:rPr>
        <w:t>·</w:t>
      </w:r>
      <w:r>
        <w:rPr>
          <w:rFonts w:hint="eastAsia" w:ascii="宋体" w:hAnsi="宋体" w:eastAsia="宋体" w:cs="宋体"/>
          <w:sz w:val="24"/>
          <w:szCs w:val="24"/>
          <w:highlight w:val="none"/>
        </w:rPr>
        <w:t>济源</w:t>
      </w:r>
      <w:r>
        <w:rPr>
          <w:rFonts w:hint="eastAsia" w:ascii="宋体" w:hAnsi="宋体" w:eastAsia="宋体" w:cs="宋体"/>
          <w:color w:val="auto"/>
          <w:sz w:val="24"/>
          <w:szCs w:val="24"/>
          <w:highlight w:val="none"/>
        </w:rPr>
        <w:t>市）</w:t>
      </w:r>
      <w:r>
        <w:rPr>
          <w:rFonts w:hint="eastAsia" w:ascii="宋体" w:hAnsi="宋体" w:eastAsia="宋体" w:cs="宋体"/>
          <w:snapToGrid/>
          <w:color w:val="auto"/>
          <w:kern w:val="2"/>
          <w:sz w:val="24"/>
          <w:szCs w:val="24"/>
          <w:highlight w:val="none"/>
          <w:lang w:val="en-US" w:eastAsia="zh-CN" w:bidi="ar-SA"/>
        </w:rPr>
        <w:t>》、</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eastAsia="zh-CN"/>
        </w:rPr>
        <w:t>济源市人民医院网</w:t>
      </w:r>
      <w:r>
        <w:rPr>
          <w:rFonts w:hint="eastAsia" w:ascii="宋体" w:hAnsi="宋体" w:eastAsia="宋体" w:cs="宋体"/>
          <w:color w:val="auto"/>
          <w:kern w:val="0"/>
          <w:sz w:val="24"/>
          <w:highlight w:val="none"/>
        </w:rPr>
        <w:t>》</w:t>
      </w:r>
      <w:r>
        <w:rPr>
          <w:rFonts w:hint="eastAsia" w:ascii="宋体" w:hAnsi="宋体" w:eastAsia="宋体" w:cs="宋体"/>
          <w:snapToGrid/>
          <w:color w:val="auto"/>
          <w:kern w:val="2"/>
          <w:sz w:val="24"/>
          <w:szCs w:val="24"/>
          <w:highlight w:val="none"/>
          <w:lang w:val="en-US" w:eastAsia="zh-CN" w:bidi="ar-SA"/>
        </w:rPr>
        <w:t>上发布。招标公告期限为五个工作日。</w:t>
      </w:r>
    </w:p>
    <w:p w14:paraId="21045AEB">
      <w:pPr>
        <w:keepNext w:val="0"/>
        <w:keepLines w:val="0"/>
        <w:pageBreakBefore w:val="0"/>
        <w:widowControl w:val="0"/>
        <w:kinsoku/>
        <w:wordWrap w:val="0"/>
        <w:overflowPunct/>
        <w:topLinePunct/>
        <w:autoSpaceDE/>
        <w:autoSpaceDN/>
        <w:bidi w:val="0"/>
        <w:adjustRightInd w:val="0"/>
        <w:snapToGrid w:val="0"/>
        <w:spacing w:line="440" w:lineRule="exact"/>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七、其它补充事宜</w:t>
      </w:r>
    </w:p>
    <w:p w14:paraId="6A59C09B">
      <w:pPr>
        <w:keepNext w:val="0"/>
        <w:keepLines w:val="0"/>
        <w:pageBreakBefore w:val="0"/>
        <w:widowControl w:val="0"/>
        <w:kinsoku/>
        <w:wordWrap w:val="0"/>
        <w:overflowPunct/>
        <w:topLinePunct/>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1、本项目采购文件中的申请人等同于投标人（潜在投标人）、供应商。</w:t>
      </w:r>
    </w:p>
    <w:p w14:paraId="57850ABF">
      <w:pPr>
        <w:keepNext w:val="0"/>
        <w:keepLines w:val="0"/>
        <w:pageBreakBefore w:val="0"/>
        <w:widowControl w:val="0"/>
        <w:kinsoku/>
        <w:wordWrap w:val="0"/>
        <w:overflowPunct/>
        <w:topLinePunct/>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2、本项目执行的政府采购政策：财库〔2020〕46号文件、财库〔2014〕68号文件、财库〔2017〕141号文件及其他相关政府采购政策功能。</w:t>
      </w:r>
    </w:p>
    <w:p w14:paraId="5EE94EB7">
      <w:pPr>
        <w:keepNext w:val="0"/>
        <w:keepLines w:val="0"/>
        <w:pageBreakBefore w:val="0"/>
        <w:widowControl w:val="0"/>
        <w:kinsoku/>
        <w:wordWrap w:val="0"/>
        <w:overflowPunct/>
        <w:topLinePunct/>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3、投标文件递交方式：</w:t>
      </w:r>
    </w:p>
    <w:p w14:paraId="12831D71">
      <w:pPr>
        <w:keepNext w:val="0"/>
        <w:keepLines w:val="0"/>
        <w:pageBreakBefore w:val="0"/>
        <w:widowControl w:val="0"/>
        <w:kinsoku/>
        <w:wordWrap w:val="0"/>
        <w:overflowPunct/>
        <w:topLinePunct/>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3.1本项目采用“远程不见面”交易模式，供应商可自行选择采用电子营业执照或CA数字证书或标证通方式递交投标文件参与采购活动，详见详见招标文件（第四章）。</w:t>
      </w:r>
    </w:p>
    <w:p w14:paraId="0EB16C7E">
      <w:pPr>
        <w:keepNext w:val="0"/>
        <w:keepLines w:val="0"/>
        <w:pageBreakBefore w:val="0"/>
        <w:widowControl w:val="0"/>
        <w:kinsoku/>
        <w:wordWrap w:val="0"/>
        <w:overflowPunct/>
        <w:topLinePunct/>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3.2相关软件下载及操作手册</w:t>
      </w:r>
    </w:p>
    <w:p w14:paraId="3FB3EAB4">
      <w:pPr>
        <w:keepNext w:val="0"/>
        <w:keepLines w:val="0"/>
        <w:pageBreakBefore w:val="0"/>
        <w:widowControl w:val="0"/>
        <w:kinsoku/>
        <w:wordWrap w:val="0"/>
        <w:overflowPunct/>
        <w:topLinePunct/>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3.2.1电子标操作手册请到全国公共资源交易平台（河南省</w:t>
      </w:r>
      <w:r>
        <w:rPr>
          <w:rFonts w:hint="eastAsia" w:ascii="宋体" w:hAnsi="宋体" w:eastAsia="宋体" w:cs="宋体"/>
          <w:snapToGrid/>
          <w:color w:val="auto"/>
          <w:kern w:val="2"/>
          <w:sz w:val="24"/>
          <w:szCs w:val="24"/>
          <w:highlight w:val="none"/>
          <w:lang w:val="en-US" w:eastAsia="zh-CN" w:bidi="ar-SA"/>
        </w:rPr>
        <w:t>·</w:t>
      </w:r>
      <w:r>
        <w:rPr>
          <w:rFonts w:hint="eastAsia" w:ascii="宋体" w:hAnsi="宋体" w:eastAsia="宋体" w:cs="宋体"/>
          <w:sz w:val="24"/>
          <w:szCs w:val="24"/>
          <w:highlight w:val="none"/>
        </w:rPr>
        <w:t>济源市）网站→下载中心→招标代理投标单位操作手册→交易乙方（投标单位）操作手册。</w:t>
      </w:r>
    </w:p>
    <w:p w14:paraId="386743E5">
      <w:pPr>
        <w:keepNext w:val="0"/>
        <w:keepLines w:val="0"/>
        <w:pageBreakBefore w:val="0"/>
        <w:widowControl w:val="0"/>
        <w:kinsoku/>
        <w:wordWrap w:val="0"/>
        <w:overflowPunct/>
        <w:topLinePunct/>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3.2.2投标文件制作工具请到全国公共资源交易平台（河南省</w:t>
      </w:r>
      <w:r>
        <w:rPr>
          <w:rFonts w:hint="eastAsia" w:ascii="宋体" w:hAnsi="宋体" w:eastAsia="宋体" w:cs="宋体"/>
          <w:snapToGrid/>
          <w:color w:val="auto"/>
          <w:kern w:val="2"/>
          <w:sz w:val="24"/>
          <w:szCs w:val="24"/>
          <w:highlight w:val="none"/>
          <w:lang w:val="en-US" w:eastAsia="zh-CN" w:bidi="ar-SA"/>
        </w:rPr>
        <w:t>·</w:t>
      </w:r>
      <w:r>
        <w:rPr>
          <w:rFonts w:hint="eastAsia" w:ascii="宋体" w:hAnsi="宋体" w:eastAsia="宋体" w:cs="宋体"/>
          <w:sz w:val="24"/>
          <w:szCs w:val="24"/>
          <w:highlight w:val="none"/>
        </w:rPr>
        <w:t>济源市）网站→下载中心→电子标相关软件下载。</w:t>
      </w:r>
    </w:p>
    <w:p w14:paraId="62483C81">
      <w:pPr>
        <w:keepNext w:val="0"/>
        <w:keepLines w:val="0"/>
        <w:pageBreakBefore w:val="0"/>
        <w:widowControl w:val="0"/>
        <w:kinsoku/>
        <w:wordWrap w:val="0"/>
        <w:overflowPunct/>
        <w:topLinePunct/>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3.2.3标证通及CA数字证书办理方式及价格详见：全国公共资源交易平台（河南省</w:t>
      </w:r>
      <w:r>
        <w:rPr>
          <w:rFonts w:hint="eastAsia" w:ascii="宋体" w:hAnsi="宋体" w:eastAsia="宋体" w:cs="宋体"/>
          <w:snapToGrid/>
          <w:color w:val="auto"/>
          <w:kern w:val="2"/>
          <w:sz w:val="24"/>
          <w:szCs w:val="24"/>
          <w:highlight w:val="none"/>
          <w:lang w:val="en-US" w:eastAsia="zh-CN" w:bidi="ar-SA"/>
        </w:rPr>
        <w:t>·</w:t>
      </w:r>
      <w:r>
        <w:rPr>
          <w:rFonts w:hint="eastAsia" w:ascii="宋体" w:hAnsi="宋体" w:eastAsia="宋体" w:cs="宋体"/>
          <w:sz w:val="24"/>
          <w:szCs w:val="24"/>
          <w:highlight w:val="none"/>
        </w:rPr>
        <w:t>济源市）网站。</w:t>
      </w:r>
    </w:p>
    <w:p w14:paraId="0D0BABB2">
      <w:pPr>
        <w:keepNext w:val="0"/>
        <w:keepLines w:val="0"/>
        <w:pageBreakBefore w:val="0"/>
        <w:widowControl w:val="0"/>
        <w:kinsoku/>
        <w:wordWrap w:val="0"/>
        <w:overflowPunct/>
        <w:topLinePunct/>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3.2.4电子营业执照办理流程及操作手册请到全国公共资源交易平台（河南省</w:t>
      </w:r>
      <w:r>
        <w:rPr>
          <w:rFonts w:hint="eastAsia" w:ascii="宋体" w:hAnsi="宋体" w:eastAsia="宋体" w:cs="宋体"/>
          <w:snapToGrid/>
          <w:color w:val="auto"/>
          <w:kern w:val="2"/>
          <w:sz w:val="24"/>
          <w:szCs w:val="24"/>
          <w:highlight w:val="none"/>
          <w:lang w:val="en-US" w:eastAsia="zh-CN" w:bidi="ar-SA"/>
        </w:rPr>
        <w:t>·</w:t>
      </w:r>
      <w:r>
        <w:rPr>
          <w:rFonts w:hint="eastAsia" w:ascii="宋体" w:hAnsi="宋体" w:eastAsia="宋体" w:cs="宋体"/>
          <w:sz w:val="24"/>
          <w:szCs w:val="24"/>
          <w:highlight w:val="none"/>
        </w:rPr>
        <w:t>济源市）网站→下载中心→下载《电子营业执照--电子投标支撑服务相关功能使用手册》。</w:t>
      </w:r>
    </w:p>
    <w:p w14:paraId="6CB034F2">
      <w:pPr>
        <w:keepNext w:val="0"/>
        <w:keepLines w:val="0"/>
        <w:pageBreakBefore w:val="0"/>
        <w:widowControl w:val="0"/>
        <w:kinsoku/>
        <w:wordWrap w:val="0"/>
        <w:overflowPunct/>
        <w:topLinePunct/>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3.2.5本项目采用“双盲”评审，评审专家随机抽取实现评审专家盲抽，投标文件的技术标暗标实现盲评。供应商应按照招标文件要求将商务部分和技术部分分开编制。</w:t>
      </w:r>
    </w:p>
    <w:p w14:paraId="52E7E4DB">
      <w:pPr>
        <w:keepNext w:val="0"/>
        <w:keepLines w:val="0"/>
        <w:pageBreakBefore w:val="0"/>
        <w:widowControl w:val="0"/>
        <w:numPr>
          <w:ilvl w:val="0"/>
          <w:numId w:val="1"/>
        </w:numPr>
        <w:kinsoku/>
        <w:wordWrap w:val="0"/>
        <w:overflowPunct/>
        <w:topLinePunct/>
        <w:autoSpaceDE/>
        <w:autoSpaceDN/>
        <w:bidi w:val="0"/>
        <w:adjustRightInd/>
        <w:snapToGrid/>
        <w:spacing w:line="440" w:lineRule="exact"/>
        <w:ind w:firstLine="482" w:firstLineChars="200"/>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开标程序</w:t>
      </w:r>
    </w:p>
    <w:p w14:paraId="29A4BC22">
      <w:pPr>
        <w:keepNext w:val="0"/>
        <w:keepLines w:val="0"/>
        <w:pageBreakBefore w:val="0"/>
        <w:widowControl w:val="0"/>
        <w:numPr>
          <w:ilvl w:val="0"/>
          <w:numId w:val="0"/>
        </w:numPr>
        <w:kinsoku/>
        <w:wordWrap w:val="0"/>
        <w:overflowPunct/>
        <w:topLinePunct/>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项目采用远程不见面交易的模式，开标当日，投标人无需到开标现场参加开标会议，投标人应当在投标截止时间前，登录到济源市电子招投标交易平台，点击【不见面开标大厅】按钮进入，在线准时参加开标活动并进行投标文件解密等。因投标人原因未能解密、解密失败或解密超时的将被拒绝。请参照济源市公共资源交易中心首页-下载中心-招标代理投标单位操作手册-《交易乙方（投标单位）操作手册》；除电子投标文件外，投标时不再接受非必要的纸质文件、资料等。</w:t>
      </w:r>
    </w:p>
    <w:p w14:paraId="57293190">
      <w:pPr>
        <w:keepNext w:val="0"/>
        <w:keepLines w:val="0"/>
        <w:pageBreakBefore w:val="0"/>
        <w:widowControl w:val="0"/>
        <w:kinsoku/>
        <w:wordWrap w:val="0"/>
        <w:overflowPunct/>
        <w:topLinePunct/>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、变更</w:t>
      </w:r>
    </w:p>
    <w:p w14:paraId="413239D5">
      <w:pPr>
        <w:keepNext w:val="0"/>
        <w:keepLines w:val="0"/>
        <w:pageBreakBefore w:val="0"/>
        <w:widowControl w:val="0"/>
        <w:kinsoku/>
        <w:wordWrap w:val="0"/>
        <w:overflowPunct/>
        <w:topLinePunct/>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本项目如有变更，将在《河南省政府采购网》、《全国公共资源交易平台</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河南省·济源市）》、《</w:t>
      </w:r>
      <w:r>
        <w:rPr>
          <w:rFonts w:hint="eastAsia" w:ascii="宋体" w:hAnsi="宋体" w:eastAsia="宋体" w:cs="宋体"/>
          <w:sz w:val="24"/>
          <w:szCs w:val="24"/>
          <w:highlight w:val="none"/>
          <w:lang w:eastAsia="zh-CN"/>
        </w:rPr>
        <w:t>济源市人民医院网</w:t>
      </w:r>
      <w:r>
        <w:rPr>
          <w:rFonts w:hint="eastAsia" w:ascii="宋体" w:hAnsi="宋体" w:eastAsia="宋体" w:cs="宋体"/>
          <w:sz w:val="24"/>
          <w:szCs w:val="24"/>
          <w:highlight w:val="none"/>
        </w:rPr>
        <w:t>》相应栏目同时发布，不再另行通知，请投标人注意随时关注。</w:t>
      </w:r>
    </w:p>
    <w:p w14:paraId="49C493A2">
      <w:pPr>
        <w:keepNext w:val="0"/>
        <w:keepLines w:val="0"/>
        <w:pageBreakBefore w:val="0"/>
        <w:widowControl w:val="0"/>
        <w:kinsoku/>
        <w:wordWrap w:val="0"/>
        <w:overflowPunct/>
        <w:topLinePunct/>
        <w:autoSpaceDE/>
        <w:autoSpaceDN/>
        <w:bidi w:val="0"/>
        <w:spacing w:line="440" w:lineRule="exact"/>
        <w:ind w:firstLine="482" w:firstLineChars="200"/>
        <w:jc w:val="both"/>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6、特别提醒</w:t>
      </w:r>
    </w:p>
    <w:p w14:paraId="14ADE578">
      <w:pPr>
        <w:keepNext w:val="0"/>
        <w:keepLines w:val="0"/>
        <w:pageBreakBefore w:val="0"/>
        <w:widowControl w:val="0"/>
        <w:kinsoku/>
        <w:wordWrap w:val="0"/>
        <w:overflowPunct/>
        <w:topLinePunct/>
        <w:autoSpaceDE/>
        <w:autoSpaceDN/>
        <w:bidi w:val="0"/>
        <w:spacing w:line="440" w:lineRule="exact"/>
        <w:ind w:firstLine="482" w:firstLineChars="200"/>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本项目采用“双盲”评审，投标文件的“技术标”采用暗标方式编制及评审。供应商应按照招标文件要求编制投标文件，商务标（投标正文模块）“明标”和技术标（技术标文件模块）“暗标”分开编制。</w:t>
      </w:r>
    </w:p>
    <w:p w14:paraId="75C84A9A">
      <w:pPr>
        <w:keepNext w:val="0"/>
        <w:keepLines w:val="0"/>
        <w:pageBreakBefore w:val="0"/>
        <w:widowControl w:val="0"/>
        <w:kinsoku/>
        <w:wordWrap w:val="0"/>
        <w:overflowPunct/>
        <w:topLinePunct/>
        <w:autoSpaceDE/>
        <w:autoSpaceDN/>
        <w:bidi w:val="0"/>
        <w:adjustRightInd w:val="0"/>
        <w:snapToGrid w:val="0"/>
        <w:spacing w:line="440" w:lineRule="exact"/>
        <w:ind w:firstLine="482" w:firstLineChars="200"/>
        <w:textAlignment w:val="auto"/>
        <w:rPr>
          <w:rFonts w:hint="eastAsia" w:ascii="宋体" w:hAnsi="宋体" w:eastAsia="宋体" w:cs="宋体"/>
          <w:b/>
          <w:sz w:val="24"/>
          <w:szCs w:val="24"/>
          <w:highlight w:val="none"/>
          <w:lang w:eastAsia="zh-CN"/>
        </w:rPr>
      </w:pPr>
      <w:r>
        <w:rPr>
          <w:rFonts w:hint="eastAsia" w:ascii="宋体" w:hAnsi="宋体" w:eastAsia="宋体" w:cs="宋体"/>
          <w:b/>
          <w:sz w:val="24"/>
          <w:szCs w:val="24"/>
          <w:highlight w:val="none"/>
        </w:rPr>
        <w:t>八、凡对本次招标提出询问，请按以下方式联系：</w:t>
      </w:r>
    </w:p>
    <w:p w14:paraId="2F1F1ABD">
      <w:pPr>
        <w:keepNext w:val="0"/>
        <w:keepLines w:val="0"/>
        <w:pageBreakBefore w:val="0"/>
        <w:widowControl w:val="0"/>
        <w:kinsoku/>
        <w:wordWrap w:val="0"/>
        <w:overflowPunct/>
        <w:topLinePunct/>
        <w:autoSpaceDE/>
        <w:autoSpaceDN/>
        <w:bidi w:val="0"/>
        <w:adjustRightInd w:val="0"/>
        <w:snapToGrid w:val="0"/>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1.采购人信息</w:t>
      </w:r>
    </w:p>
    <w:p w14:paraId="13292362">
      <w:pPr>
        <w:keepNext w:val="0"/>
        <w:keepLines w:val="0"/>
        <w:pageBreakBefore w:val="0"/>
        <w:widowControl w:val="0"/>
        <w:kinsoku/>
        <w:wordWrap w:val="0"/>
        <w:overflowPunct/>
        <w:topLinePunct/>
        <w:autoSpaceDE/>
        <w:autoSpaceDN/>
        <w:bidi w:val="0"/>
        <w:adjustRightInd w:val="0"/>
        <w:snapToGrid w:val="0"/>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名称：济源市人民医院</w:t>
      </w:r>
    </w:p>
    <w:p w14:paraId="372B6D13">
      <w:pPr>
        <w:keepNext w:val="0"/>
        <w:keepLines w:val="0"/>
        <w:pageBreakBefore w:val="0"/>
        <w:widowControl w:val="0"/>
        <w:kinsoku/>
        <w:wordWrap w:val="0"/>
        <w:overflowPunct/>
        <w:topLinePunct/>
        <w:autoSpaceDE/>
        <w:autoSpaceDN/>
        <w:bidi w:val="0"/>
        <w:adjustRightInd w:val="0"/>
        <w:snapToGrid w:val="0"/>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地址：济源市健康路58号</w:t>
      </w:r>
    </w:p>
    <w:p w14:paraId="42BF8160">
      <w:pPr>
        <w:keepNext w:val="0"/>
        <w:keepLines w:val="0"/>
        <w:pageBreakBefore w:val="0"/>
        <w:widowControl w:val="0"/>
        <w:kinsoku/>
        <w:wordWrap w:val="0"/>
        <w:overflowPunct/>
        <w:topLinePunct/>
        <w:autoSpaceDE/>
        <w:autoSpaceDN/>
        <w:bidi w:val="0"/>
        <w:adjustRightInd w:val="0"/>
        <w:snapToGrid w:val="0"/>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联系人：杨昆</w:t>
      </w:r>
    </w:p>
    <w:p w14:paraId="7121424F">
      <w:pPr>
        <w:keepNext w:val="0"/>
        <w:keepLines w:val="0"/>
        <w:pageBreakBefore w:val="0"/>
        <w:widowControl w:val="0"/>
        <w:kinsoku/>
        <w:wordWrap w:val="0"/>
        <w:overflowPunct/>
        <w:topLinePunct/>
        <w:autoSpaceDE/>
        <w:autoSpaceDN/>
        <w:bidi w:val="0"/>
        <w:adjustRightInd w:val="0"/>
        <w:snapToGrid w:val="0"/>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联系方式：0391-6658700</w:t>
      </w:r>
    </w:p>
    <w:p w14:paraId="384BA2AA">
      <w:pPr>
        <w:keepNext w:val="0"/>
        <w:keepLines w:val="0"/>
        <w:pageBreakBefore w:val="0"/>
        <w:widowControl w:val="0"/>
        <w:kinsoku/>
        <w:wordWrap w:val="0"/>
        <w:overflowPunct/>
        <w:topLinePunct/>
        <w:autoSpaceDE/>
        <w:autoSpaceDN/>
        <w:bidi w:val="0"/>
        <w:adjustRightInd w:val="0"/>
        <w:snapToGrid w:val="0"/>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2.采购代理机构信息</w:t>
      </w:r>
    </w:p>
    <w:p w14:paraId="3A7FA09C">
      <w:pPr>
        <w:keepNext w:val="0"/>
        <w:keepLines w:val="0"/>
        <w:pageBreakBefore w:val="0"/>
        <w:widowControl w:val="0"/>
        <w:kinsoku/>
        <w:wordWrap w:val="0"/>
        <w:overflowPunct/>
        <w:topLinePunct/>
        <w:autoSpaceDE/>
        <w:autoSpaceDN/>
        <w:bidi w:val="0"/>
        <w:adjustRightInd w:val="0"/>
        <w:snapToGrid w:val="0"/>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名称：济源市公共资源交易中心</w:t>
      </w:r>
    </w:p>
    <w:p w14:paraId="4C2392C4">
      <w:pPr>
        <w:keepNext w:val="0"/>
        <w:keepLines w:val="0"/>
        <w:pageBreakBefore w:val="0"/>
        <w:widowControl w:val="0"/>
        <w:kinsoku/>
        <w:wordWrap w:val="0"/>
        <w:overflowPunct/>
        <w:topLinePunct/>
        <w:autoSpaceDE/>
        <w:autoSpaceDN/>
        <w:bidi w:val="0"/>
        <w:adjustRightInd w:val="0"/>
        <w:snapToGrid w:val="0"/>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地址：济源市民之家A区5楼</w:t>
      </w:r>
    </w:p>
    <w:p w14:paraId="214C2B3F">
      <w:pPr>
        <w:keepNext w:val="0"/>
        <w:keepLines w:val="0"/>
        <w:pageBreakBefore w:val="0"/>
        <w:widowControl w:val="0"/>
        <w:kinsoku/>
        <w:wordWrap w:val="0"/>
        <w:overflowPunct/>
        <w:topLinePunct/>
        <w:autoSpaceDE/>
        <w:autoSpaceDN/>
        <w:bidi w:val="0"/>
        <w:adjustRightInd w:val="0"/>
        <w:snapToGrid w:val="0"/>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val="en-US" w:eastAsia="zh-CN"/>
        </w:rPr>
        <w:t>陈静</w:t>
      </w:r>
    </w:p>
    <w:p w14:paraId="0D95C9BB">
      <w:pPr>
        <w:keepNext w:val="0"/>
        <w:keepLines w:val="0"/>
        <w:pageBreakBefore w:val="0"/>
        <w:widowControl w:val="0"/>
        <w:kinsoku/>
        <w:wordWrap w:val="0"/>
        <w:overflowPunct/>
        <w:topLinePunct/>
        <w:autoSpaceDE/>
        <w:autoSpaceDN/>
        <w:bidi w:val="0"/>
        <w:adjustRightInd w:val="0"/>
        <w:snapToGrid w:val="0"/>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联系方式：</w:t>
      </w:r>
      <w:bookmarkStart w:id="1" w:name="_Toc24996"/>
      <w:bookmarkStart w:id="2" w:name="_Toc8934"/>
      <w:bookmarkStart w:id="3" w:name="_Toc4849"/>
      <w:r>
        <w:rPr>
          <w:rFonts w:hint="eastAsia" w:ascii="宋体" w:hAnsi="宋体" w:eastAsia="宋体" w:cs="宋体"/>
          <w:sz w:val="24"/>
          <w:szCs w:val="24"/>
          <w:highlight w:val="none"/>
        </w:rPr>
        <w:t>0391-6969612</w:t>
      </w:r>
    </w:p>
    <w:p w14:paraId="7FDD694B">
      <w:pPr>
        <w:keepNext w:val="0"/>
        <w:keepLines w:val="0"/>
        <w:pageBreakBefore w:val="0"/>
        <w:widowControl w:val="0"/>
        <w:kinsoku/>
        <w:wordWrap w:val="0"/>
        <w:overflowPunct/>
        <w:topLinePunct/>
        <w:autoSpaceDE/>
        <w:autoSpaceDN/>
        <w:bidi w:val="0"/>
        <w:adjustRightInd w:val="0"/>
        <w:snapToGrid w:val="0"/>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3.项目联系方式</w:t>
      </w:r>
      <w:bookmarkEnd w:id="1"/>
      <w:bookmarkEnd w:id="2"/>
      <w:bookmarkEnd w:id="3"/>
    </w:p>
    <w:p w14:paraId="1459491D">
      <w:pPr>
        <w:keepNext w:val="0"/>
        <w:keepLines w:val="0"/>
        <w:pageBreakBefore w:val="0"/>
        <w:widowControl w:val="0"/>
        <w:kinsoku/>
        <w:wordWrap w:val="0"/>
        <w:overflowPunct/>
        <w:topLinePunct/>
        <w:autoSpaceDE/>
        <w:autoSpaceDN/>
        <w:bidi w:val="0"/>
        <w:adjustRightInd w:val="0"/>
        <w:snapToGrid w:val="0"/>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联系人：杨昆</w:t>
      </w:r>
    </w:p>
    <w:p w14:paraId="0B5BDC27">
      <w:pPr>
        <w:keepNext w:val="0"/>
        <w:keepLines w:val="0"/>
        <w:pageBreakBefore w:val="0"/>
        <w:widowControl w:val="0"/>
        <w:kinsoku/>
        <w:wordWrap w:val="0"/>
        <w:overflowPunct/>
        <w:topLinePunct/>
        <w:autoSpaceDE/>
        <w:autoSpaceDN/>
        <w:bidi w:val="0"/>
        <w:adjustRightInd w:val="0"/>
        <w:snapToGrid w:val="0"/>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联系方式：0391-6658700</w:t>
      </w:r>
    </w:p>
    <w:p w14:paraId="7C99BE48">
      <w:pPr>
        <w:spacing w:line="540" w:lineRule="exact"/>
        <w:ind w:firstLine="480" w:firstLineChars="200"/>
        <w:jc w:val="right"/>
        <w:rPr>
          <w:rFonts w:hint="eastAsia" w:asciiTheme="minorEastAsia" w:hAnsiTheme="minorEastAsia" w:eastAsiaTheme="minorEastAsia" w:cstheme="minorEastAsia"/>
          <w:kern w:val="0"/>
          <w:sz w:val="24"/>
          <w:szCs w:val="24"/>
          <w:highlight w:val="none"/>
          <w:lang w:bidi="ar"/>
        </w:rPr>
      </w:pPr>
    </w:p>
    <w:p w14:paraId="782BD97C">
      <w:pPr>
        <w:widowControl/>
        <w:jc w:val="left"/>
        <w:rPr>
          <w:rFonts w:ascii="宋体" w:hAnsi="宋体" w:eastAsia="宋体" w:cs="宋体"/>
          <w:sz w:val="24"/>
          <w:szCs w:val="24"/>
          <w:highlight w:val="none"/>
        </w:rPr>
      </w:pPr>
      <w:r>
        <w:rPr>
          <w:rFonts w:ascii="宋体" w:hAnsi="宋体" w:eastAsia="宋体" w:cs="宋体"/>
          <w:sz w:val="24"/>
          <w:szCs w:val="24"/>
          <w:highlight w:val="none"/>
        </w:rPr>
        <w:br w:type="page"/>
      </w:r>
    </w:p>
    <w:p w14:paraId="3900EDD0">
      <w:pPr>
        <w:adjustRightInd w:val="0"/>
        <w:snapToGrid w:val="0"/>
        <w:spacing w:line="500" w:lineRule="exact"/>
        <w:jc w:val="right"/>
        <w:rPr>
          <w:rFonts w:ascii="宋体" w:hAnsi="宋体" w:eastAsia="宋体" w:cs="宋体"/>
          <w:bCs/>
          <w:sz w:val="32"/>
          <w:szCs w:val="32"/>
          <w:highlight w:val="none"/>
        </w:rPr>
      </w:pPr>
    </w:p>
    <w:p w14:paraId="3B65D565">
      <w:pPr>
        <w:adjustRightInd w:val="0"/>
        <w:snapToGrid w:val="0"/>
        <w:spacing w:line="500" w:lineRule="exact"/>
        <w:jc w:val="right"/>
        <w:rPr>
          <w:rFonts w:ascii="宋体" w:hAnsi="宋体" w:eastAsia="宋体" w:cs="宋体"/>
          <w:bCs/>
          <w:sz w:val="32"/>
          <w:szCs w:val="32"/>
          <w:highlight w:val="none"/>
        </w:rPr>
      </w:pPr>
    </w:p>
    <w:p w14:paraId="5A2C89F2">
      <w:pPr>
        <w:adjustRightInd w:val="0"/>
        <w:snapToGrid w:val="0"/>
        <w:spacing w:line="500" w:lineRule="exact"/>
        <w:jc w:val="right"/>
        <w:rPr>
          <w:rFonts w:ascii="宋体" w:hAnsi="宋体" w:eastAsia="宋体" w:cs="宋体"/>
          <w:bCs/>
          <w:sz w:val="32"/>
          <w:szCs w:val="32"/>
          <w:highlight w:val="none"/>
        </w:rPr>
      </w:pPr>
    </w:p>
    <w:p w14:paraId="7B001724">
      <w:pPr>
        <w:adjustRightInd w:val="0"/>
        <w:snapToGrid w:val="0"/>
        <w:spacing w:line="500" w:lineRule="exact"/>
        <w:jc w:val="right"/>
        <w:rPr>
          <w:rFonts w:ascii="宋体" w:hAnsi="宋体" w:eastAsia="宋体" w:cs="宋体"/>
          <w:bCs/>
          <w:sz w:val="32"/>
          <w:szCs w:val="32"/>
          <w:highlight w:val="none"/>
        </w:rPr>
      </w:pPr>
    </w:p>
    <w:p w14:paraId="3AE535CC">
      <w:pPr>
        <w:adjustRightInd w:val="0"/>
        <w:snapToGrid w:val="0"/>
        <w:spacing w:line="500" w:lineRule="exact"/>
        <w:jc w:val="right"/>
        <w:rPr>
          <w:rFonts w:ascii="宋体" w:hAnsi="宋体" w:eastAsia="宋体" w:cs="宋体"/>
          <w:bCs/>
          <w:sz w:val="32"/>
          <w:szCs w:val="32"/>
          <w:highlight w:val="none"/>
        </w:rPr>
      </w:pPr>
    </w:p>
    <w:p w14:paraId="407DE94E">
      <w:pPr>
        <w:adjustRightInd w:val="0"/>
        <w:snapToGrid w:val="0"/>
        <w:spacing w:line="500" w:lineRule="exact"/>
        <w:jc w:val="right"/>
        <w:rPr>
          <w:rFonts w:ascii="宋体" w:hAnsi="宋体" w:eastAsia="宋体" w:cs="宋体"/>
          <w:bCs/>
          <w:sz w:val="32"/>
          <w:szCs w:val="32"/>
          <w:highlight w:val="none"/>
        </w:rPr>
      </w:pPr>
    </w:p>
    <w:p w14:paraId="485C8B2C">
      <w:pPr>
        <w:adjustRightInd w:val="0"/>
        <w:snapToGrid w:val="0"/>
        <w:spacing w:line="500" w:lineRule="exact"/>
        <w:jc w:val="right"/>
        <w:rPr>
          <w:rFonts w:ascii="宋体" w:hAnsi="宋体" w:eastAsia="宋体" w:cs="宋体"/>
          <w:bCs/>
          <w:sz w:val="32"/>
          <w:szCs w:val="32"/>
          <w:highlight w:val="none"/>
        </w:rPr>
      </w:pPr>
    </w:p>
    <w:p w14:paraId="2958A59F">
      <w:pPr>
        <w:adjustRightInd w:val="0"/>
        <w:snapToGrid w:val="0"/>
        <w:spacing w:line="500" w:lineRule="exact"/>
        <w:jc w:val="right"/>
        <w:rPr>
          <w:rFonts w:ascii="宋体" w:hAnsi="宋体" w:eastAsia="宋体" w:cs="宋体"/>
          <w:bCs/>
          <w:sz w:val="32"/>
          <w:szCs w:val="32"/>
          <w:highlight w:val="none"/>
        </w:rPr>
      </w:pPr>
    </w:p>
    <w:p w14:paraId="454071E6">
      <w:pPr>
        <w:bidi w:val="0"/>
      </w:pPr>
    </w:p>
    <w:p w14:paraId="4497D321">
      <w:pPr>
        <w:pStyle w:val="3"/>
        <w:jc w:val="center"/>
        <w:rPr>
          <w:sz w:val="48"/>
          <w:szCs w:val="48"/>
        </w:rPr>
      </w:pPr>
      <w:bookmarkStart w:id="4" w:name="_Toc20580"/>
      <w:bookmarkStart w:id="5" w:name="_Toc7921"/>
      <w:bookmarkStart w:id="6" w:name="_Toc31120"/>
      <w:bookmarkStart w:id="7" w:name="_Toc25279"/>
      <w:r>
        <w:rPr>
          <w:rFonts w:hint="eastAsia"/>
          <w:sz w:val="48"/>
          <w:szCs w:val="48"/>
        </w:rPr>
        <w:t>第二章</w:t>
      </w:r>
      <w:r>
        <w:rPr>
          <w:rFonts w:hint="eastAsia"/>
          <w:sz w:val="48"/>
          <w:szCs w:val="48"/>
          <w:lang w:val="en-US" w:eastAsia="zh-CN"/>
        </w:rPr>
        <w:t xml:space="preserve">  </w:t>
      </w:r>
      <w:r>
        <w:rPr>
          <w:rFonts w:hint="eastAsia"/>
          <w:sz w:val="48"/>
          <w:szCs w:val="48"/>
        </w:rPr>
        <w:t>投标人须知</w:t>
      </w:r>
      <w:bookmarkEnd w:id="4"/>
      <w:bookmarkEnd w:id="5"/>
      <w:bookmarkEnd w:id="6"/>
      <w:bookmarkEnd w:id="7"/>
    </w:p>
    <w:p w14:paraId="62F74CE5">
      <w:pPr>
        <w:adjustRightInd w:val="0"/>
        <w:snapToGrid w:val="0"/>
        <w:spacing w:line="500" w:lineRule="exact"/>
        <w:jc w:val="right"/>
        <w:rPr>
          <w:rFonts w:ascii="宋体" w:hAnsi="宋体" w:eastAsia="宋体" w:cs="宋体"/>
          <w:b/>
          <w:bCs/>
          <w:sz w:val="48"/>
          <w:szCs w:val="48"/>
          <w:highlight w:val="none"/>
        </w:rPr>
      </w:pPr>
    </w:p>
    <w:p w14:paraId="3E716A7F">
      <w:pPr>
        <w:adjustRightInd w:val="0"/>
        <w:snapToGrid w:val="0"/>
        <w:spacing w:line="500" w:lineRule="exact"/>
        <w:jc w:val="right"/>
        <w:rPr>
          <w:rFonts w:ascii="宋体" w:hAnsi="宋体" w:eastAsia="宋体" w:cs="宋体"/>
          <w:b/>
          <w:bCs/>
          <w:sz w:val="48"/>
          <w:szCs w:val="48"/>
          <w:highlight w:val="none"/>
        </w:rPr>
      </w:pPr>
    </w:p>
    <w:p w14:paraId="6CFC7640">
      <w:pPr>
        <w:widowControl/>
        <w:jc w:val="left"/>
        <w:rPr>
          <w:rFonts w:ascii="宋体" w:hAnsi="宋体" w:eastAsia="宋体" w:cs="宋体"/>
          <w:bCs/>
          <w:sz w:val="32"/>
          <w:szCs w:val="32"/>
          <w:highlight w:val="none"/>
        </w:rPr>
      </w:pPr>
      <w:r>
        <w:rPr>
          <w:rFonts w:ascii="宋体" w:hAnsi="宋体" w:eastAsia="宋体" w:cs="宋体"/>
          <w:bCs/>
          <w:sz w:val="32"/>
          <w:szCs w:val="32"/>
          <w:highlight w:val="none"/>
        </w:rPr>
        <w:br w:type="page"/>
      </w:r>
    </w:p>
    <w:p w14:paraId="37AB37B3">
      <w:pPr>
        <w:pStyle w:val="4"/>
        <w:keepNext/>
        <w:keepLines/>
        <w:pageBreakBefore w:val="0"/>
        <w:widowControl w:val="0"/>
        <w:kinsoku/>
        <w:wordWrap/>
        <w:overflowPunct/>
        <w:topLinePunct w:val="0"/>
        <w:autoSpaceDE/>
        <w:autoSpaceDN/>
        <w:bidi w:val="0"/>
        <w:adjustRightInd/>
        <w:snapToGrid/>
        <w:spacing w:before="260" w:after="200" w:line="500" w:lineRule="exact"/>
        <w:ind w:left="0" w:leftChars="0" w:right="0" w:rightChars="0" w:firstLine="0" w:firstLineChars="0"/>
        <w:jc w:val="center"/>
        <w:textAlignment w:val="auto"/>
        <w:outlineLvl w:val="1"/>
        <w:rPr>
          <w:b/>
          <w:bCs w:val="0"/>
        </w:rPr>
      </w:pPr>
      <w:bookmarkStart w:id="8" w:name="_Toc20186"/>
      <w:bookmarkStart w:id="9" w:name="_Toc31186"/>
      <w:bookmarkStart w:id="10" w:name="_Toc13709"/>
      <w:bookmarkStart w:id="11" w:name="_Toc17407"/>
      <w:r>
        <w:rPr>
          <w:rFonts w:hint="eastAsia"/>
          <w:b/>
          <w:bCs w:val="0"/>
        </w:rPr>
        <w:t>投标人须知前附表</w:t>
      </w:r>
      <w:bookmarkEnd w:id="8"/>
      <w:bookmarkEnd w:id="9"/>
      <w:bookmarkEnd w:id="10"/>
      <w:bookmarkEnd w:id="11"/>
    </w:p>
    <w:tbl>
      <w:tblPr>
        <w:tblStyle w:val="45"/>
        <w:tblW w:w="9188" w:type="dxa"/>
        <w:tblInd w:w="1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70" w:type="dxa"/>
          <w:bottom w:w="0" w:type="dxa"/>
          <w:right w:w="113" w:type="dxa"/>
        </w:tblCellMar>
      </w:tblPr>
      <w:tblGrid>
        <w:gridCol w:w="842"/>
        <w:gridCol w:w="8346"/>
      </w:tblGrid>
      <w:tr w14:paraId="53D12C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70" w:type="dxa"/>
            <w:bottom w:w="0" w:type="dxa"/>
            <w:right w:w="113" w:type="dxa"/>
          </w:tblCellMar>
        </w:tblPrEx>
        <w:trPr>
          <w:trHeight w:val="567" w:hRule="atLeast"/>
        </w:trPr>
        <w:tc>
          <w:tcPr>
            <w:tcW w:w="842" w:type="dxa"/>
            <w:tcBorders>
              <w:left w:val="single" w:color="000000" w:sz="10" w:space="0"/>
              <w:right w:val="single" w:color="000000" w:sz="4" w:space="0"/>
            </w:tcBorders>
            <w:vAlign w:val="center"/>
          </w:tcPr>
          <w:p w14:paraId="2097EF66">
            <w:pPr>
              <w:snapToGrid w:val="0"/>
              <w:spacing w:line="500" w:lineRule="exact"/>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序号</w:t>
            </w:r>
          </w:p>
        </w:tc>
        <w:tc>
          <w:tcPr>
            <w:tcW w:w="8346" w:type="dxa"/>
            <w:tcBorders>
              <w:left w:val="single" w:color="000000" w:sz="4" w:space="0"/>
              <w:right w:val="single" w:color="000000" w:sz="10" w:space="0"/>
            </w:tcBorders>
            <w:vAlign w:val="center"/>
          </w:tcPr>
          <w:p w14:paraId="5D40CF3F">
            <w:pPr>
              <w:snapToGrid w:val="0"/>
              <w:spacing w:line="500" w:lineRule="exact"/>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内容</w:t>
            </w:r>
          </w:p>
        </w:tc>
      </w:tr>
      <w:tr w14:paraId="6CEB18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70" w:type="dxa"/>
            <w:bottom w:w="0" w:type="dxa"/>
            <w:right w:w="113" w:type="dxa"/>
          </w:tblCellMar>
        </w:tblPrEx>
        <w:trPr>
          <w:trHeight w:val="1947" w:hRule="atLeast"/>
        </w:trPr>
        <w:tc>
          <w:tcPr>
            <w:tcW w:w="842" w:type="dxa"/>
            <w:tcBorders>
              <w:left w:val="single" w:color="000000" w:sz="10" w:space="0"/>
              <w:right w:val="single" w:color="000000" w:sz="4" w:space="0"/>
            </w:tcBorders>
            <w:vAlign w:val="center"/>
          </w:tcPr>
          <w:p w14:paraId="34F3184B">
            <w:pPr>
              <w:keepNext w:val="0"/>
              <w:keepLines w:val="0"/>
              <w:pageBreakBefore w:val="0"/>
              <w:kinsoku/>
              <w:wordWrap/>
              <w:overflowPunct/>
              <w:topLinePunct w:val="0"/>
              <w:autoSpaceDE/>
              <w:autoSpaceDN/>
              <w:bidi w:val="0"/>
              <w:adjustRightInd w:val="0"/>
              <w:snapToGrid w:val="0"/>
              <w:spacing w:line="500" w:lineRule="exact"/>
              <w:ind w:right="0" w:rightChars="0" w:firstLine="0" w:firstLineChars="0"/>
              <w:jc w:val="center"/>
              <w:textAlignment w:val="auto"/>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8346" w:type="dxa"/>
            <w:tcBorders>
              <w:left w:val="single" w:color="000000" w:sz="4" w:space="0"/>
              <w:right w:val="single" w:color="000000" w:sz="10" w:space="0"/>
            </w:tcBorders>
            <w:vAlign w:val="center"/>
          </w:tcPr>
          <w:p w14:paraId="03EAFA47">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采购人：济源市人民医院</w:t>
            </w:r>
          </w:p>
          <w:p w14:paraId="23B9C43A">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地址：济源市健康路58号</w:t>
            </w:r>
          </w:p>
          <w:p w14:paraId="79EAA889">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联系人：杨昆</w:t>
            </w:r>
          </w:p>
          <w:p w14:paraId="43D581E8">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联系方式：0391-6658700</w:t>
            </w:r>
          </w:p>
        </w:tc>
      </w:tr>
      <w:tr w14:paraId="406934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70" w:type="dxa"/>
            <w:bottom w:w="0" w:type="dxa"/>
            <w:right w:w="113" w:type="dxa"/>
          </w:tblCellMar>
        </w:tblPrEx>
        <w:trPr>
          <w:trHeight w:val="1964" w:hRule="atLeast"/>
        </w:trPr>
        <w:tc>
          <w:tcPr>
            <w:tcW w:w="842" w:type="dxa"/>
            <w:tcBorders>
              <w:left w:val="single" w:color="000000" w:sz="10" w:space="0"/>
              <w:right w:val="single" w:color="000000" w:sz="4" w:space="0"/>
            </w:tcBorders>
            <w:vAlign w:val="center"/>
          </w:tcPr>
          <w:p w14:paraId="010FEC81">
            <w:pPr>
              <w:keepNext w:val="0"/>
              <w:keepLines w:val="0"/>
              <w:pageBreakBefore w:val="0"/>
              <w:kinsoku/>
              <w:wordWrap/>
              <w:overflowPunct/>
              <w:topLinePunct w:val="0"/>
              <w:autoSpaceDE/>
              <w:autoSpaceDN/>
              <w:bidi w:val="0"/>
              <w:adjustRightInd w:val="0"/>
              <w:snapToGrid w:val="0"/>
              <w:spacing w:line="500" w:lineRule="exact"/>
              <w:ind w:right="0" w:rightChars="0" w:firstLine="0" w:firstLineChars="0"/>
              <w:jc w:val="center"/>
              <w:textAlignment w:val="auto"/>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w:t>
            </w:r>
          </w:p>
        </w:tc>
        <w:tc>
          <w:tcPr>
            <w:tcW w:w="8346" w:type="dxa"/>
            <w:tcBorders>
              <w:left w:val="single" w:color="000000" w:sz="4" w:space="0"/>
              <w:right w:val="single" w:color="000000" w:sz="10" w:space="0"/>
            </w:tcBorders>
            <w:vAlign w:val="center"/>
          </w:tcPr>
          <w:p w14:paraId="641F6336">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both"/>
              <w:textAlignment w:val="auto"/>
              <w:outlineLvl w:val="9"/>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代理机构：</w:t>
            </w:r>
            <w:r>
              <w:rPr>
                <w:rFonts w:hint="eastAsia" w:ascii="宋体" w:hAnsi="宋体" w:eastAsia="宋体" w:cs="宋体"/>
                <w:sz w:val="24"/>
                <w:szCs w:val="24"/>
                <w:highlight w:val="none"/>
                <w:lang w:eastAsia="zh-CN"/>
              </w:rPr>
              <w:t>济源市公共资源交易中心</w:t>
            </w:r>
          </w:p>
          <w:p w14:paraId="5CA2A7C4">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both"/>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地址：济源市民之家A区5楼</w:t>
            </w:r>
          </w:p>
          <w:p w14:paraId="6AE7C7CE">
            <w:pPr>
              <w:keepNext w:val="0"/>
              <w:keepLines w:val="0"/>
              <w:pageBreakBefore w:val="0"/>
              <w:widowControl w:val="0"/>
              <w:kinsoku/>
              <w:wordWrap w:val="0"/>
              <w:overflowPunct/>
              <w:topLinePunct/>
              <w:autoSpaceDE/>
              <w:autoSpaceDN/>
              <w:bidi w:val="0"/>
              <w:adjustRightInd w:val="0"/>
              <w:snapToGrid w:val="0"/>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val="en-US" w:eastAsia="zh-CN"/>
              </w:rPr>
              <w:t>陈静</w:t>
            </w:r>
          </w:p>
          <w:p w14:paraId="7345AF4E">
            <w:pPr>
              <w:keepNext w:val="0"/>
              <w:keepLines w:val="0"/>
              <w:pageBreakBefore w:val="0"/>
              <w:widowControl w:val="0"/>
              <w:kinsoku/>
              <w:wordWrap w:val="0"/>
              <w:overflowPunct/>
              <w:topLinePunct/>
              <w:autoSpaceDE/>
              <w:autoSpaceDN/>
              <w:bidi w:val="0"/>
              <w:adjustRightInd w:val="0"/>
              <w:snapToGrid w:val="0"/>
              <w:spacing w:line="44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联系方式：0391-6969612</w:t>
            </w:r>
          </w:p>
        </w:tc>
      </w:tr>
      <w:tr w14:paraId="5DBD7A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70" w:type="dxa"/>
            <w:bottom w:w="0" w:type="dxa"/>
            <w:right w:w="113" w:type="dxa"/>
          </w:tblCellMar>
        </w:tblPrEx>
        <w:trPr>
          <w:trHeight w:val="2689" w:hRule="atLeast"/>
        </w:trPr>
        <w:tc>
          <w:tcPr>
            <w:tcW w:w="842" w:type="dxa"/>
            <w:tcBorders>
              <w:left w:val="single" w:color="000000" w:sz="10" w:space="0"/>
              <w:right w:val="single" w:color="000000" w:sz="4" w:space="0"/>
            </w:tcBorders>
            <w:vAlign w:val="center"/>
          </w:tcPr>
          <w:p w14:paraId="4171C9CC">
            <w:pPr>
              <w:keepNext w:val="0"/>
              <w:keepLines w:val="0"/>
              <w:pageBreakBefore w:val="0"/>
              <w:kinsoku/>
              <w:wordWrap/>
              <w:overflowPunct/>
              <w:topLinePunct w:val="0"/>
              <w:autoSpaceDE/>
              <w:autoSpaceDN/>
              <w:bidi w:val="0"/>
              <w:adjustRightInd w:val="0"/>
              <w:snapToGrid w:val="0"/>
              <w:spacing w:line="500" w:lineRule="exact"/>
              <w:ind w:right="0" w:rightChars="0" w:firstLine="0" w:firstLineChars="0"/>
              <w:jc w:val="center"/>
              <w:textAlignment w:val="auto"/>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w:t>
            </w:r>
          </w:p>
        </w:tc>
        <w:tc>
          <w:tcPr>
            <w:tcW w:w="8346" w:type="dxa"/>
            <w:tcBorders>
              <w:left w:val="single" w:color="000000" w:sz="4" w:space="0"/>
              <w:right w:val="single" w:color="000000" w:sz="10" w:space="0"/>
            </w:tcBorders>
            <w:vAlign w:val="center"/>
          </w:tcPr>
          <w:p w14:paraId="538B8807">
            <w:pPr>
              <w:pStyle w:val="46"/>
              <w:keepNext w:val="0"/>
              <w:keepLines w:val="0"/>
              <w:pageBreakBefore w:val="0"/>
              <w:kinsoku/>
              <w:wordWrap w:val="0"/>
              <w:overflowPunct/>
              <w:topLinePunct/>
              <w:autoSpaceDE/>
              <w:autoSpaceDN/>
              <w:bidi w:val="0"/>
              <w:snapToGrid w:val="0"/>
              <w:spacing w:line="440" w:lineRule="exact"/>
              <w:ind w:right="0" w:rightChars="0" w:firstLine="0" w:firstLineChars="0"/>
              <w:jc w:val="both"/>
              <w:textAlignment w:val="auto"/>
              <w:outlineLvl w:val="9"/>
              <w:rPr>
                <w:rFonts w:hint="eastAsia" w:ascii="宋体" w:hAnsi="宋体" w:eastAsia="宋体" w:cs="宋体"/>
                <w:b/>
                <w:bCs/>
                <w:kern w:val="0"/>
                <w:sz w:val="24"/>
                <w:highlight w:val="none"/>
              </w:rPr>
            </w:pPr>
            <w:r>
              <w:rPr>
                <w:rFonts w:hint="eastAsia" w:ascii="宋体" w:hAnsi="宋体" w:eastAsia="宋体" w:cs="宋体"/>
                <w:b/>
                <w:bCs/>
                <w:kern w:val="0"/>
                <w:sz w:val="24"/>
                <w:highlight w:val="none"/>
              </w:rPr>
              <w:t>项目说明</w:t>
            </w:r>
          </w:p>
          <w:p w14:paraId="1A8174EB">
            <w:pPr>
              <w:pStyle w:val="46"/>
              <w:keepNext w:val="0"/>
              <w:keepLines w:val="0"/>
              <w:pageBreakBefore w:val="0"/>
              <w:kinsoku/>
              <w:wordWrap w:val="0"/>
              <w:overflowPunct/>
              <w:topLinePunct/>
              <w:autoSpaceDE/>
              <w:autoSpaceDN/>
              <w:bidi w:val="0"/>
              <w:snapToGrid w:val="0"/>
              <w:spacing w:line="440" w:lineRule="exact"/>
              <w:ind w:right="0" w:rightChars="0" w:firstLine="0" w:firstLineChars="0"/>
              <w:jc w:val="both"/>
              <w:textAlignment w:val="auto"/>
              <w:outlineLvl w:val="9"/>
              <w:rPr>
                <w:rFonts w:hint="eastAsia" w:ascii="宋体" w:hAnsi="宋体" w:eastAsia="宋体" w:cs="宋体"/>
                <w:kern w:val="0"/>
                <w:sz w:val="24"/>
                <w:highlight w:val="none"/>
                <w:lang w:eastAsia="zh-CN"/>
              </w:rPr>
            </w:pPr>
            <w:r>
              <w:rPr>
                <w:rFonts w:hint="eastAsia" w:ascii="宋体" w:hAnsi="宋体" w:eastAsia="宋体" w:cs="宋体"/>
                <w:b/>
                <w:bCs/>
                <w:kern w:val="0"/>
                <w:sz w:val="24"/>
                <w:highlight w:val="none"/>
              </w:rPr>
              <w:t>项目名称</w:t>
            </w:r>
            <w:r>
              <w:rPr>
                <w:rFonts w:hint="eastAsia" w:cs="宋体"/>
                <w:b/>
                <w:bCs/>
                <w:kern w:val="0"/>
                <w:sz w:val="24"/>
                <w:highlight w:val="none"/>
                <w:lang w:eastAsia="zh-CN"/>
              </w:rPr>
              <w:t>：</w:t>
            </w:r>
            <w:r>
              <w:rPr>
                <w:rFonts w:hint="eastAsia" w:cs="宋体"/>
                <w:kern w:val="0"/>
                <w:sz w:val="24"/>
                <w:highlight w:val="none"/>
                <w:lang w:val="en-US" w:eastAsia="zh-CN"/>
              </w:rPr>
              <w:t>济源市人民医院保安服务采购项目</w:t>
            </w:r>
          </w:p>
          <w:p w14:paraId="64EAF73C">
            <w:pPr>
              <w:keepNext w:val="0"/>
              <w:keepLines w:val="0"/>
              <w:pageBreakBefore w:val="0"/>
              <w:widowControl w:val="0"/>
              <w:numPr>
                <w:ilvl w:val="0"/>
                <w:numId w:val="0"/>
              </w:numPr>
              <w:kinsoku/>
              <w:wordWrap w:val="0"/>
              <w:overflowPunct/>
              <w:topLinePunct/>
              <w:autoSpaceDE/>
              <w:autoSpaceDN/>
              <w:bidi w:val="0"/>
              <w:adjustRightInd w:val="0"/>
              <w:snapToGrid w:val="0"/>
              <w:spacing w:line="440" w:lineRule="exact"/>
              <w:textAlignment w:val="auto"/>
              <w:rPr>
                <w:rFonts w:hint="eastAsia" w:ascii="宋体" w:hAnsi="宋体" w:eastAsia="宋体" w:cs="宋体"/>
                <w:snapToGrid/>
                <w:color w:val="auto"/>
                <w:kern w:val="2"/>
                <w:sz w:val="24"/>
                <w:szCs w:val="24"/>
                <w:highlight w:val="none"/>
                <w:lang w:val="en-US" w:eastAsia="zh-CN" w:bidi="ar-SA"/>
              </w:rPr>
            </w:pPr>
            <w:r>
              <w:rPr>
                <w:rFonts w:hint="eastAsia" w:ascii="宋体" w:hAnsi="宋体" w:eastAsia="宋体" w:cs="宋体"/>
                <w:b/>
                <w:bCs/>
                <w:kern w:val="0"/>
                <w:sz w:val="24"/>
                <w:highlight w:val="none"/>
              </w:rPr>
              <w:t>采购内容：</w:t>
            </w:r>
            <w:r>
              <w:rPr>
                <w:rFonts w:hint="eastAsia" w:ascii="宋体" w:hAnsi="宋体" w:eastAsia="宋体" w:cs="宋体"/>
                <w:color w:val="auto"/>
                <w:sz w:val="24"/>
                <w:szCs w:val="24"/>
                <w:highlight w:val="none"/>
              </w:rPr>
              <w:t>具体要求详见“第</w:t>
            </w:r>
            <w:r>
              <w:rPr>
                <w:rFonts w:hint="eastAsia" w:ascii="宋体" w:hAnsi="宋体" w:eastAsia="宋体" w:cs="宋体"/>
                <w:color w:val="auto"/>
                <w:sz w:val="24"/>
                <w:szCs w:val="24"/>
                <w:highlight w:val="none"/>
                <w:lang w:val="en-US" w:eastAsia="zh-CN"/>
              </w:rPr>
              <w:t>四</w:t>
            </w:r>
            <w:r>
              <w:rPr>
                <w:rFonts w:hint="eastAsia" w:ascii="宋体" w:hAnsi="宋体" w:eastAsia="宋体" w:cs="宋体"/>
                <w:color w:val="auto"/>
                <w:sz w:val="24"/>
                <w:szCs w:val="24"/>
                <w:highlight w:val="none"/>
              </w:rPr>
              <w:t>部分项目要求”。</w:t>
            </w:r>
          </w:p>
          <w:p w14:paraId="411CFD3C">
            <w:pPr>
              <w:keepNext w:val="0"/>
              <w:keepLines w:val="0"/>
              <w:pageBreakBefore w:val="0"/>
              <w:widowControl w:val="0"/>
              <w:kinsoku/>
              <w:wordWrap w:val="0"/>
              <w:overflowPunct/>
              <w:topLinePunct/>
              <w:autoSpaceDE/>
              <w:autoSpaceDN/>
              <w:bidi w:val="0"/>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kern w:val="0"/>
                <w:sz w:val="24"/>
                <w:highlight w:val="none"/>
              </w:rPr>
              <w:t>合同履行期限：</w:t>
            </w:r>
            <w:r>
              <w:rPr>
                <w:rFonts w:hint="eastAsia" w:ascii="宋体" w:hAnsi="宋体" w:eastAsia="宋体" w:cs="宋体"/>
                <w:color w:val="auto"/>
                <w:sz w:val="24"/>
                <w:szCs w:val="24"/>
                <w:highlight w:val="none"/>
              </w:rPr>
              <w:t>合同签订之日起三年</w:t>
            </w:r>
            <w:r>
              <w:rPr>
                <w:rFonts w:hint="eastAsia" w:ascii="宋体" w:hAnsi="宋体" w:eastAsia="宋体" w:cs="宋体"/>
                <w:color w:val="auto"/>
                <w:sz w:val="24"/>
                <w:szCs w:val="24"/>
                <w:highlight w:val="none"/>
                <w:lang w:val="en-US" w:eastAsia="zh-CN"/>
              </w:rPr>
              <w:t>。</w:t>
            </w:r>
          </w:p>
          <w:p w14:paraId="417667EA">
            <w:pPr>
              <w:pStyle w:val="15"/>
              <w:spacing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服务地点：</w:t>
            </w:r>
            <w:r>
              <w:rPr>
                <w:rFonts w:hint="eastAsia" w:ascii="宋体" w:hAnsi="宋体" w:eastAsia="宋体" w:cs="宋体"/>
                <w:color w:val="auto"/>
                <w:sz w:val="24"/>
                <w:szCs w:val="24"/>
                <w:highlight w:val="none"/>
                <w:lang w:val="en-US" w:eastAsia="zh-CN"/>
              </w:rPr>
              <w:t>采购人指定</w:t>
            </w:r>
            <w:r>
              <w:rPr>
                <w:rFonts w:hint="eastAsia" w:hAnsi="宋体" w:eastAsia="宋体" w:cs="宋体"/>
                <w:color w:val="auto"/>
                <w:sz w:val="24"/>
                <w:szCs w:val="24"/>
                <w:highlight w:val="none"/>
                <w:lang w:val="en-US" w:eastAsia="zh-CN"/>
              </w:rPr>
              <w:t>地点</w:t>
            </w:r>
          </w:p>
          <w:p w14:paraId="78F8D0D3">
            <w:pPr>
              <w:pStyle w:val="46"/>
              <w:keepNext w:val="0"/>
              <w:keepLines w:val="0"/>
              <w:pageBreakBefore w:val="0"/>
              <w:kinsoku/>
              <w:wordWrap w:val="0"/>
              <w:overflowPunct/>
              <w:topLinePunct/>
              <w:autoSpaceDE/>
              <w:autoSpaceDN/>
              <w:bidi w:val="0"/>
              <w:snapToGrid w:val="0"/>
              <w:spacing w:line="440" w:lineRule="exact"/>
              <w:ind w:right="0" w:rightChars="0" w:firstLine="0" w:firstLineChars="0"/>
              <w:jc w:val="both"/>
              <w:textAlignment w:val="auto"/>
              <w:outlineLvl w:val="9"/>
              <w:rPr>
                <w:rFonts w:hint="eastAsia" w:ascii="宋体" w:hAnsi="宋体" w:eastAsia="宋体" w:cs="宋体"/>
                <w:sz w:val="24"/>
                <w:highlight w:val="none"/>
              </w:rPr>
            </w:pPr>
            <w:r>
              <w:rPr>
                <w:rFonts w:hint="eastAsia" w:ascii="宋体" w:hAnsi="宋体" w:eastAsia="宋体" w:cs="宋体"/>
                <w:b/>
                <w:bCs/>
                <w:color w:val="auto"/>
                <w:sz w:val="24"/>
                <w:szCs w:val="24"/>
                <w:highlight w:val="none"/>
                <w:lang w:val="en-US" w:eastAsia="zh-CN"/>
              </w:rPr>
              <w:t>服务标准：</w:t>
            </w:r>
            <w:r>
              <w:rPr>
                <w:rFonts w:hint="eastAsia" w:ascii="宋体" w:hAnsi="宋体" w:eastAsia="宋体" w:cs="宋体"/>
                <w:color w:val="auto"/>
                <w:sz w:val="24"/>
                <w:szCs w:val="24"/>
                <w:highlight w:val="none"/>
                <w:lang w:val="en-US" w:eastAsia="zh-CN"/>
              </w:rPr>
              <w:t>符合国家或行业规定的合格标准，满足采购人提出的技术标准及要求，按时按量保证完成服务内容</w:t>
            </w:r>
            <w:r>
              <w:rPr>
                <w:rFonts w:hint="eastAsia" w:ascii="宋体" w:hAnsi="宋体" w:eastAsia="宋体" w:cs="宋体"/>
                <w:color w:val="auto"/>
                <w:sz w:val="24"/>
                <w:szCs w:val="24"/>
                <w:highlight w:val="none"/>
                <w:lang w:eastAsia="zh-CN"/>
              </w:rPr>
              <w:t>。</w:t>
            </w:r>
          </w:p>
        </w:tc>
      </w:tr>
      <w:tr w14:paraId="3E5720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70" w:type="dxa"/>
            <w:bottom w:w="0" w:type="dxa"/>
            <w:right w:w="113" w:type="dxa"/>
          </w:tblCellMar>
        </w:tblPrEx>
        <w:trPr>
          <w:trHeight w:val="567" w:hRule="atLeast"/>
        </w:trPr>
        <w:tc>
          <w:tcPr>
            <w:tcW w:w="842" w:type="dxa"/>
            <w:tcBorders>
              <w:left w:val="single" w:color="000000" w:sz="10" w:space="0"/>
              <w:right w:val="single" w:color="000000" w:sz="4" w:space="0"/>
            </w:tcBorders>
            <w:vAlign w:val="center"/>
          </w:tcPr>
          <w:p w14:paraId="73213D64">
            <w:pPr>
              <w:keepNext w:val="0"/>
              <w:keepLines w:val="0"/>
              <w:pageBreakBefore w:val="0"/>
              <w:kinsoku/>
              <w:wordWrap/>
              <w:overflowPunct/>
              <w:topLinePunct w:val="0"/>
              <w:autoSpaceDE/>
              <w:autoSpaceDN/>
              <w:bidi w:val="0"/>
              <w:adjustRightInd w:val="0"/>
              <w:snapToGrid w:val="0"/>
              <w:spacing w:line="500" w:lineRule="exact"/>
              <w:ind w:right="0" w:rightChars="0" w:firstLine="0" w:firstLineChars="0"/>
              <w:jc w:val="center"/>
              <w:textAlignment w:val="auto"/>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w:t>
            </w:r>
          </w:p>
        </w:tc>
        <w:tc>
          <w:tcPr>
            <w:tcW w:w="8346" w:type="dxa"/>
            <w:tcBorders>
              <w:left w:val="single" w:color="000000" w:sz="4" w:space="0"/>
              <w:right w:val="single" w:color="000000" w:sz="10" w:space="0"/>
            </w:tcBorders>
            <w:vAlign w:val="center"/>
          </w:tcPr>
          <w:p w14:paraId="19AE9567">
            <w:pPr>
              <w:keepNext w:val="0"/>
              <w:keepLines w:val="0"/>
              <w:pageBreakBefore w:val="0"/>
              <w:kinsoku/>
              <w:wordWrap w:val="0"/>
              <w:overflowPunct/>
              <w:topLinePunct/>
              <w:autoSpaceDE/>
              <w:autoSpaceDN/>
              <w:bidi w:val="0"/>
              <w:adjustRightInd/>
              <w:snapToGrid w:val="0"/>
              <w:spacing w:line="440" w:lineRule="exact"/>
              <w:ind w:right="0" w:rightChars="0" w:firstLine="0" w:firstLineChars="0"/>
              <w:textAlignment w:val="auto"/>
              <w:outlineLvl w:val="9"/>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sz w:val="24"/>
                <w:szCs w:val="24"/>
                <w:highlight w:val="none"/>
                <w:lang w:val="en-US" w:eastAsia="zh-CN" w:bidi="zh-CN"/>
              </w:rPr>
              <w:t>采购预算：人民币4536000.00元，最高投标限价：人民币4536000.00元；高于最高投标限价的投标为无效投标。</w:t>
            </w:r>
          </w:p>
          <w:p w14:paraId="7DF135AF">
            <w:pPr>
              <w:keepNext w:val="0"/>
              <w:keepLines w:val="0"/>
              <w:pageBreakBefore w:val="0"/>
              <w:widowControl/>
              <w:suppressLineNumbers w:val="0"/>
              <w:kinsoku/>
              <w:overflowPunct/>
              <w:autoSpaceDE/>
              <w:autoSpaceDN/>
              <w:bidi w:val="0"/>
              <w:adjustRightInd/>
              <w:spacing w:line="440" w:lineRule="exact"/>
              <w:jc w:val="left"/>
              <w:textAlignment w:val="auto"/>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b/>
                <w:bCs/>
                <w:color w:val="auto"/>
                <w:kern w:val="2"/>
                <w:sz w:val="24"/>
                <w:szCs w:val="24"/>
                <w:highlight w:val="none"/>
                <w:lang w:val="en-US" w:eastAsia="zh-CN" w:bidi="zh-CN"/>
              </w:rPr>
              <w:t>投标报价为服务费全包价，供应商报价中包含人工、餐饮、住宿、交通、材料工具、管理、服装费、装备费、保险费、培训费、利润及税费等产生的所有费用。采购人不承担服务费以外的其它任何费用。</w:t>
            </w:r>
          </w:p>
        </w:tc>
      </w:tr>
      <w:tr w14:paraId="50EDF9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70" w:type="dxa"/>
            <w:bottom w:w="0" w:type="dxa"/>
            <w:right w:w="113" w:type="dxa"/>
          </w:tblCellMar>
        </w:tblPrEx>
        <w:trPr>
          <w:trHeight w:val="567" w:hRule="atLeast"/>
        </w:trPr>
        <w:tc>
          <w:tcPr>
            <w:tcW w:w="842" w:type="dxa"/>
            <w:tcBorders>
              <w:left w:val="single" w:color="000000" w:sz="10" w:space="0"/>
              <w:right w:val="single" w:color="000000" w:sz="4" w:space="0"/>
            </w:tcBorders>
            <w:vAlign w:val="center"/>
          </w:tcPr>
          <w:p w14:paraId="1DEA71DA">
            <w:pPr>
              <w:keepNext w:val="0"/>
              <w:keepLines w:val="0"/>
              <w:pageBreakBefore w:val="0"/>
              <w:kinsoku/>
              <w:wordWrap/>
              <w:overflowPunct/>
              <w:topLinePunct w:val="0"/>
              <w:autoSpaceDE/>
              <w:autoSpaceDN/>
              <w:bidi w:val="0"/>
              <w:adjustRightInd w:val="0"/>
              <w:snapToGrid w:val="0"/>
              <w:spacing w:line="500" w:lineRule="exact"/>
              <w:ind w:right="0" w:rightChars="0" w:firstLine="0" w:firstLineChars="0"/>
              <w:jc w:val="center"/>
              <w:textAlignment w:val="auto"/>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w:t>
            </w:r>
          </w:p>
        </w:tc>
        <w:tc>
          <w:tcPr>
            <w:tcW w:w="8346" w:type="dxa"/>
            <w:tcBorders>
              <w:left w:val="single" w:color="000000" w:sz="4" w:space="0"/>
              <w:right w:val="single" w:color="000000" w:sz="10" w:space="0"/>
            </w:tcBorders>
            <w:vAlign w:val="center"/>
          </w:tcPr>
          <w:p w14:paraId="75FBBCDB">
            <w:pPr>
              <w:keepNext w:val="0"/>
              <w:keepLines w:val="0"/>
              <w:pageBreakBefore w:val="0"/>
              <w:kinsoku/>
              <w:wordWrap w:val="0"/>
              <w:overflowPunct/>
              <w:topLinePunct/>
              <w:autoSpaceDE/>
              <w:autoSpaceDN/>
              <w:bidi w:val="0"/>
              <w:adjustRightInd/>
              <w:snapToGrid w:val="0"/>
              <w:spacing w:line="440" w:lineRule="exact"/>
              <w:ind w:right="0" w:rightChars="0" w:firstLine="0" w:firstLineChars="0"/>
              <w:textAlignment w:val="auto"/>
              <w:outlineLvl w:val="9"/>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sz w:val="24"/>
                <w:szCs w:val="24"/>
                <w:highlight w:val="none"/>
                <w:lang w:val="en-US" w:eastAsia="zh-CN" w:bidi="zh-CN"/>
              </w:rPr>
              <w:t>资金来源：财政资金</w:t>
            </w:r>
          </w:p>
        </w:tc>
      </w:tr>
      <w:tr w14:paraId="645000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70" w:type="dxa"/>
            <w:bottom w:w="0" w:type="dxa"/>
            <w:right w:w="113" w:type="dxa"/>
          </w:tblCellMar>
        </w:tblPrEx>
        <w:trPr>
          <w:trHeight w:val="567" w:hRule="atLeast"/>
        </w:trPr>
        <w:tc>
          <w:tcPr>
            <w:tcW w:w="842" w:type="dxa"/>
            <w:tcBorders>
              <w:left w:val="single" w:color="000000" w:sz="10" w:space="0"/>
              <w:right w:val="single" w:color="000000" w:sz="4" w:space="0"/>
            </w:tcBorders>
            <w:vAlign w:val="center"/>
          </w:tcPr>
          <w:p w14:paraId="2ACD6743">
            <w:pPr>
              <w:keepNext w:val="0"/>
              <w:keepLines w:val="0"/>
              <w:pageBreakBefore w:val="0"/>
              <w:kinsoku/>
              <w:wordWrap/>
              <w:overflowPunct/>
              <w:topLinePunct w:val="0"/>
              <w:autoSpaceDE/>
              <w:autoSpaceDN/>
              <w:bidi w:val="0"/>
              <w:adjustRightInd w:val="0"/>
              <w:snapToGrid w:val="0"/>
              <w:spacing w:line="500" w:lineRule="exact"/>
              <w:ind w:right="0" w:rightChars="0" w:firstLine="0" w:firstLineChars="0"/>
              <w:jc w:val="center"/>
              <w:textAlignment w:val="auto"/>
              <w:outlineLvl w:val="9"/>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6</w:t>
            </w:r>
          </w:p>
        </w:tc>
        <w:tc>
          <w:tcPr>
            <w:tcW w:w="8346" w:type="dxa"/>
            <w:tcBorders>
              <w:left w:val="single" w:color="000000" w:sz="4" w:space="0"/>
              <w:right w:val="single" w:color="000000" w:sz="10" w:space="0"/>
            </w:tcBorders>
            <w:vAlign w:val="center"/>
          </w:tcPr>
          <w:p w14:paraId="5DBBEF7E">
            <w:pPr>
              <w:keepNext w:val="0"/>
              <w:keepLines w:val="0"/>
              <w:pageBreakBefore w:val="0"/>
              <w:kinsoku/>
              <w:wordWrap w:val="0"/>
              <w:overflowPunct/>
              <w:topLinePunct/>
              <w:autoSpaceDE/>
              <w:autoSpaceDN/>
              <w:bidi w:val="0"/>
              <w:adjustRightInd/>
              <w:snapToGrid w:val="0"/>
              <w:spacing w:line="440" w:lineRule="exact"/>
              <w:ind w:right="0" w:rightChars="0" w:firstLine="0" w:firstLineChars="0"/>
              <w:textAlignment w:val="auto"/>
              <w:outlineLvl w:val="9"/>
              <w:rPr>
                <w:rFonts w:hint="eastAsia" w:ascii="宋体" w:hAnsi="宋体" w:eastAsia="宋体" w:cs="宋体"/>
                <w:b/>
                <w:bCs/>
                <w:sz w:val="24"/>
                <w:szCs w:val="24"/>
                <w:highlight w:val="none"/>
              </w:rPr>
            </w:pPr>
            <w:r>
              <w:rPr>
                <w:rFonts w:hint="eastAsia" w:ascii="宋体" w:hAnsi="宋体" w:eastAsia="宋体" w:cs="宋体"/>
                <w:b/>
                <w:bCs/>
                <w:spacing w:val="-1"/>
                <w:sz w:val="24"/>
                <w:szCs w:val="24"/>
                <w:highlight w:val="none"/>
                <w:lang w:eastAsia="zh-CN"/>
              </w:rPr>
              <w:t>采购方式：</w:t>
            </w:r>
            <w:r>
              <w:rPr>
                <w:rFonts w:hint="eastAsia" w:ascii="宋体" w:hAnsi="宋体" w:eastAsia="宋体" w:cs="宋体"/>
                <w:spacing w:val="-1"/>
                <w:sz w:val="24"/>
                <w:szCs w:val="24"/>
                <w:highlight w:val="none"/>
                <w:lang w:eastAsia="zh-CN"/>
              </w:rPr>
              <w:t>公开招标</w:t>
            </w:r>
          </w:p>
        </w:tc>
      </w:tr>
      <w:tr w14:paraId="294838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70" w:type="dxa"/>
            <w:bottom w:w="0" w:type="dxa"/>
            <w:right w:w="113" w:type="dxa"/>
          </w:tblCellMar>
        </w:tblPrEx>
        <w:trPr>
          <w:trHeight w:val="567" w:hRule="atLeast"/>
        </w:trPr>
        <w:tc>
          <w:tcPr>
            <w:tcW w:w="842" w:type="dxa"/>
            <w:tcBorders>
              <w:left w:val="single" w:color="000000" w:sz="10" w:space="0"/>
              <w:right w:val="single" w:color="000000" w:sz="4" w:space="0"/>
            </w:tcBorders>
            <w:vAlign w:val="center"/>
          </w:tcPr>
          <w:p w14:paraId="2D8BDE42">
            <w:pPr>
              <w:keepNext w:val="0"/>
              <w:keepLines w:val="0"/>
              <w:pageBreakBefore w:val="0"/>
              <w:kinsoku/>
              <w:wordWrap/>
              <w:overflowPunct/>
              <w:topLinePunct w:val="0"/>
              <w:autoSpaceDE/>
              <w:autoSpaceDN/>
              <w:bidi w:val="0"/>
              <w:adjustRightInd w:val="0"/>
              <w:snapToGrid w:val="0"/>
              <w:spacing w:line="500" w:lineRule="exact"/>
              <w:ind w:right="0" w:rightChars="0" w:firstLine="0" w:firstLineChars="0"/>
              <w:jc w:val="center"/>
              <w:textAlignment w:val="auto"/>
              <w:outlineLvl w:val="9"/>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cstheme="minorEastAsia"/>
                <w:sz w:val="24"/>
                <w:szCs w:val="24"/>
                <w:highlight w:val="none"/>
                <w:lang w:val="en-US" w:eastAsia="zh-CN"/>
              </w:rPr>
              <w:t>7</w:t>
            </w:r>
          </w:p>
        </w:tc>
        <w:tc>
          <w:tcPr>
            <w:tcW w:w="8346" w:type="dxa"/>
            <w:tcBorders>
              <w:left w:val="single" w:color="000000" w:sz="4" w:space="0"/>
              <w:right w:val="single" w:color="000000" w:sz="10" w:space="0"/>
            </w:tcBorders>
            <w:vAlign w:val="center"/>
          </w:tcPr>
          <w:p w14:paraId="58326E16">
            <w:pPr>
              <w:keepNext w:val="0"/>
              <w:keepLines w:val="0"/>
              <w:pageBreakBefore w:val="0"/>
              <w:kinsoku/>
              <w:wordWrap w:val="0"/>
              <w:overflowPunct/>
              <w:topLinePunct/>
              <w:autoSpaceDE/>
              <w:autoSpaceDN/>
              <w:bidi w:val="0"/>
              <w:adjustRightInd/>
              <w:snapToGrid w:val="0"/>
              <w:spacing w:line="440" w:lineRule="exact"/>
              <w:ind w:left="0" w:leftChars="0" w:right="0" w:rightChars="0" w:firstLine="0" w:firstLineChars="0"/>
              <w:jc w:val="both"/>
              <w:textAlignment w:val="auto"/>
              <w:outlineLvl w:val="9"/>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一、申请人资格要求：</w:t>
            </w:r>
          </w:p>
          <w:p w14:paraId="7F276FC7">
            <w:pPr>
              <w:keepNext w:val="0"/>
              <w:keepLines w:val="0"/>
              <w:pageBreakBefore w:val="0"/>
              <w:widowControl w:val="0"/>
              <w:kinsoku/>
              <w:wordWrap w:val="0"/>
              <w:overflowPunct/>
              <w:topLinePunct/>
              <w:autoSpaceDE/>
              <w:autoSpaceDN/>
              <w:bidi w:val="0"/>
              <w:adjustRightInd w:val="0"/>
              <w:snapToGrid w:val="0"/>
              <w:spacing w:line="440" w:lineRule="exact"/>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1、满足《中华人民共和国政府采购法》第二十二条规定</w:t>
            </w:r>
            <w:r>
              <w:rPr>
                <w:rFonts w:hint="eastAsia" w:ascii="宋体" w:hAnsi="宋体" w:eastAsia="宋体" w:cs="宋体"/>
                <w:sz w:val="24"/>
                <w:szCs w:val="24"/>
                <w:highlight w:val="none"/>
                <w:lang w:eastAsia="zh-CN"/>
              </w:rPr>
              <w:t>；</w:t>
            </w:r>
          </w:p>
          <w:p w14:paraId="11D51B55">
            <w:pPr>
              <w:keepNext w:val="0"/>
              <w:keepLines w:val="0"/>
              <w:pageBreakBefore w:val="0"/>
              <w:widowControl w:val="0"/>
              <w:kinsoku/>
              <w:wordWrap w:val="0"/>
              <w:overflowPunct/>
              <w:topLinePunct/>
              <w:autoSpaceDE/>
              <w:autoSpaceDN/>
              <w:bidi w:val="0"/>
              <w:adjustRightInd w:val="0"/>
              <w:spacing w:line="44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落实政府采购政策需满足的资格要求：本项目为专门面向中小企业采购的项目,落实《政府采购促进中小企业发展管理办法》（财库[2020]46号）、《关于政府采购支持监狱企业发展有关问题的通知》（财库2014[68号]）、《关于促进残疾人就业政府采购正常的通知》（财库[2017]141号）等政策。</w:t>
            </w:r>
          </w:p>
          <w:p w14:paraId="69B2C5DC">
            <w:pPr>
              <w:keepNext w:val="0"/>
              <w:keepLines w:val="0"/>
              <w:pageBreakBefore w:val="0"/>
              <w:widowControl w:val="0"/>
              <w:kinsoku/>
              <w:wordWrap w:val="0"/>
              <w:overflowPunct/>
              <w:topLinePunct/>
              <w:autoSpaceDE/>
              <w:autoSpaceDN/>
              <w:bidi w:val="0"/>
              <w:adjustRightInd w:val="0"/>
              <w:snapToGrid w:val="0"/>
              <w:spacing w:line="440" w:lineRule="exact"/>
              <w:ind w:firstLine="482" w:firstLineChars="200"/>
              <w:textAlignment w:val="auto"/>
              <w:rPr>
                <w:rFonts w:hint="eastAsia" w:ascii="宋体" w:hAnsi="宋体" w:eastAsia="宋体" w:cs="宋体"/>
                <w:b/>
                <w:sz w:val="24"/>
                <w:szCs w:val="24"/>
                <w:highlight w:val="none"/>
                <w:lang w:eastAsia="zh-CN"/>
              </w:rPr>
            </w:pPr>
            <w:r>
              <w:rPr>
                <w:rFonts w:hint="eastAsia" w:ascii="宋体" w:hAnsi="宋体" w:eastAsia="宋体" w:cs="宋体"/>
                <w:b/>
                <w:sz w:val="24"/>
                <w:szCs w:val="24"/>
                <w:highlight w:val="none"/>
              </w:rPr>
              <w:t>3、本项目的特定资格要求：</w:t>
            </w:r>
          </w:p>
          <w:p w14:paraId="24182004">
            <w:pPr>
              <w:keepNext w:val="0"/>
              <w:keepLines w:val="0"/>
              <w:pageBreakBefore w:val="0"/>
              <w:widowControl w:val="0"/>
              <w:kinsoku/>
              <w:wordWrap w:val="0"/>
              <w:overflowPunct/>
              <w:topLinePunct/>
              <w:autoSpaceDE/>
              <w:autoSpaceDN/>
              <w:bidi w:val="0"/>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w:t>
            </w:r>
            <w:r>
              <w:rPr>
                <w:rFonts w:hint="default" w:ascii="宋体" w:hAnsi="宋体" w:eastAsia="宋体" w:cs="宋体"/>
                <w:color w:val="auto"/>
                <w:sz w:val="24"/>
                <w:szCs w:val="24"/>
                <w:highlight w:val="none"/>
                <w:lang w:val="en-US" w:eastAsia="zh-CN"/>
              </w:rPr>
              <w:t>供应商具有公安机关颁发的合法有效的《保安服务许可证》</w:t>
            </w:r>
            <w:r>
              <w:rPr>
                <w:rFonts w:hint="eastAsia" w:ascii="宋体" w:hAnsi="宋体" w:eastAsia="宋体" w:cs="宋体"/>
                <w:color w:val="auto"/>
                <w:sz w:val="24"/>
                <w:szCs w:val="24"/>
                <w:highlight w:val="none"/>
                <w:lang w:val="en-US" w:eastAsia="zh-CN"/>
              </w:rPr>
              <w:t>；</w:t>
            </w:r>
          </w:p>
          <w:p w14:paraId="64888719">
            <w:pPr>
              <w:keepNext w:val="0"/>
              <w:keepLines w:val="0"/>
              <w:pageBreakBefore w:val="0"/>
              <w:widowControl w:val="0"/>
              <w:kinsoku/>
              <w:wordWrap w:val="0"/>
              <w:overflowPunct/>
              <w:topLinePunct/>
              <w:autoSpaceDE/>
              <w:autoSpaceDN/>
              <w:bidi w:val="0"/>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3.2单位负责人为同一人或者存在直接控股、管理关系的不同供应商，不得同时参加本项目采购活动；</w:t>
            </w:r>
          </w:p>
          <w:p w14:paraId="2B3B42B8">
            <w:pPr>
              <w:keepNext w:val="0"/>
              <w:keepLines w:val="0"/>
              <w:pageBreakBefore w:val="0"/>
              <w:widowControl w:val="0"/>
              <w:kinsoku/>
              <w:wordWrap w:val="0"/>
              <w:overflowPunct/>
              <w:topLinePunct/>
              <w:autoSpaceDE/>
              <w:autoSpaceDN/>
              <w:bidi w:val="0"/>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lang w:val="en-US" w:eastAsia="zh-CN"/>
              </w:rPr>
              <w:t>3.3根据《关于在政府采购活动中查询及使用信用记录有关问题的通知》（财库〔2016〕125号）的规定，对列入失信行为记录名单的供应商，拒绝参与本项目政府采购活动；（查询渠道：1.“信用中国网”，查询内容为：重大税收违法失信主体；2.“中国执行信息公开网”，查询内容为：失信被执行人；3.“中国政府采购网”，查询内容为：政府采购严重违法失信行为记录名单。查询时间：自招标公告发出之日起）。</w:t>
            </w:r>
          </w:p>
        </w:tc>
      </w:tr>
      <w:tr w14:paraId="2FFA64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70" w:type="dxa"/>
            <w:bottom w:w="0" w:type="dxa"/>
            <w:right w:w="113" w:type="dxa"/>
          </w:tblCellMar>
        </w:tblPrEx>
        <w:trPr>
          <w:trHeight w:val="567" w:hRule="atLeast"/>
        </w:trPr>
        <w:tc>
          <w:tcPr>
            <w:tcW w:w="842" w:type="dxa"/>
            <w:tcBorders>
              <w:left w:val="single" w:color="000000" w:sz="10" w:space="0"/>
              <w:right w:val="single" w:color="000000" w:sz="4" w:space="0"/>
            </w:tcBorders>
            <w:vAlign w:val="center"/>
          </w:tcPr>
          <w:p w14:paraId="31BE78BD">
            <w:pPr>
              <w:keepNext w:val="0"/>
              <w:keepLines w:val="0"/>
              <w:pageBreakBefore w:val="0"/>
              <w:kinsoku/>
              <w:wordWrap/>
              <w:overflowPunct/>
              <w:topLinePunct w:val="0"/>
              <w:autoSpaceDE/>
              <w:autoSpaceDN/>
              <w:bidi w:val="0"/>
              <w:adjustRightInd w:val="0"/>
              <w:snapToGrid w:val="0"/>
              <w:spacing w:line="500" w:lineRule="exact"/>
              <w:ind w:right="0" w:rightChars="0" w:firstLine="0" w:firstLineChars="0"/>
              <w:jc w:val="center"/>
              <w:textAlignment w:val="auto"/>
              <w:outlineLvl w:val="9"/>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cstheme="minorEastAsia"/>
                <w:sz w:val="24"/>
                <w:szCs w:val="24"/>
                <w:highlight w:val="none"/>
                <w:lang w:val="en-US" w:eastAsia="zh-CN"/>
              </w:rPr>
              <w:t>8</w:t>
            </w:r>
          </w:p>
        </w:tc>
        <w:tc>
          <w:tcPr>
            <w:tcW w:w="8346" w:type="dxa"/>
            <w:tcBorders>
              <w:left w:val="single" w:color="000000" w:sz="4" w:space="0"/>
              <w:right w:val="single" w:color="000000" w:sz="10" w:space="0"/>
            </w:tcBorders>
            <w:vAlign w:val="center"/>
          </w:tcPr>
          <w:p w14:paraId="545D77BB">
            <w:pPr>
              <w:pStyle w:val="48"/>
              <w:spacing w:before="182" w:line="219" w:lineRule="auto"/>
              <w:ind w:left="21"/>
            </w:pPr>
            <w:r>
              <w:rPr>
                <w:b/>
                <w:bCs/>
                <w:spacing w:val="-3"/>
              </w:rPr>
              <w:t>政府采购活动中查询及使用信用记录说明：</w:t>
            </w:r>
          </w:p>
          <w:p w14:paraId="0F10D52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根据《关于在政府采购活动中查询及使用信用记录有关问题的通知》（财库〔2016〕125号）的规定，对列入失信被执行人、重大税收违法失信主体、政府采购严重违法失信行为记录名单及其他不符合《中华人民共和国政府采购法》第二十二条规定条件的供应商，拒绝参与本项目政府采购活动。</w:t>
            </w:r>
          </w:p>
          <w:p w14:paraId="7B94F30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1.信用查询渠道：①“信用中国网”查询内容为：重大税收违法失信主体；②“中国执行信息公开网”查询内容为：失信被执行人；③“中国政府采购网”查询内容为：政府采购严重违法失信行为记录名单。</w:t>
            </w:r>
          </w:p>
          <w:p w14:paraId="74CA1D0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2.查询截止时点：投标文件提交截止时间。</w:t>
            </w:r>
          </w:p>
          <w:p w14:paraId="24DD215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kern w:val="0"/>
                <w:szCs w:val="24"/>
                <w:highlight w:val="none"/>
              </w:rPr>
            </w:pPr>
            <w:r>
              <w:rPr>
                <w:rFonts w:hint="eastAsia" w:ascii="宋体" w:hAnsi="宋体" w:eastAsia="宋体" w:cs="宋体"/>
                <w:sz w:val="24"/>
                <w:szCs w:val="24"/>
                <w:lang w:val="en-US" w:eastAsia="zh-CN"/>
              </w:rPr>
              <w:t>3.信用信息查询记录和证据留存的具体方式：招标文件规定的查询渠道网页截图作为信用查询记录证据与其他文件一并保存。</w:t>
            </w:r>
          </w:p>
        </w:tc>
      </w:tr>
      <w:tr w14:paraId="47A6E9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70" w:type="dxa"/>
            <w:bottom w:w="0" w:type="dxa"/>
            <w:right w:w="113" w:type="dxa"/>
          </w:tblCellMar>
        </w:tblPrEx>
        <w:trPr>
          <w:trHeight w:val="567" w:hRule="atLeast"/>
        </w:trPr>
        <w:tc>
          <w:tcPr>
            <w:tcW w:w="842" w:type="dxa"/>
            <w:tcBorders>
              <w:left w:val="single" w:color="000000" w:sz="10" w:space="0"/>
              <w:right w:val="single" w:color="000000" w:sz="4" w:space="0"/>
            </w:tcBorders>
            <w:vAlign w:val="center"/>
          </w:tcPr>
          <w:p w14:paraId="56455ABF">
            <w:pPr>
              <w:keepNext w:val="0"/>
              <w:keepLines w:val="0"/>
              <w:pageBreakBefore w:val="0"/>
              <w:kinsoku/>
              <w:wordWrap/>
              <w:overflowPunct/>
              <w:topLinePunct w:val="0"/>
              <w:autoSpaceDE/>
              <w:autoSpaceDN/>
              <w:bidi w:val="0"/>
              <w:adjustRightInd w:val="0"/>
              <w:snapToGrid w:val="0"/>
              <w:spacing w:line="500" w:lineRule="exact"/>
              <w:ind w:right="0" w:rightChars="0" w:firstLine="0" w:firstLineChars="0"/>
              <w:jc w:val="center"/>
              <w:textAlignment w:val="auto"/>
              <w:outlineLvl w:val="9"/>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9</w:t>
            </w:r>
          </w:p>
        </w:tc>
        <w:tc>
          <w:tcPr>
            <w:tcW w:w="8346" w:type="dxa"/>
            <w:tcBorders>
              <w:left w:val="single" w:color="000000" w:sz="4" w:space="0"/>
              <w:right w:val="single" w:color="000000" w:sz="10" w:space="0"/>
            </w:tcBorders>
            <w:vAlign w:val="center"/>
          </w:tcPr>
          <w:p w14:paraId="2C1F3A91">
            <w:pPr>
              <w:keepNext w:val="0"/>
              <w:keepLines w:val="0"/>
              <w:pageBreakBefore w:val="0"/>
              <w:kinsoku/>
              <w:wordWrap w:val="0"/>
              <w:overflowPunct/>
              <w:topLinePunct/>
              <w:autoSpaceDE/>
              <w:autoSpaceDN/>
              <w:bidi w:val="0"/>
              <w:snapToGrid w:val="0"/>
              <w:spacing w:line="440" w:lineRule="exact"/>
              <w:ind w:right="0" w:rightChars="0" w:firstLine="0" w:firstLineChars="0"/>
              <w:textAlignment w:val="auto"/>
              <w:outlineLvl w:val="9"/>
              <w:rPr>
                <w:rFonts w:hint="eastAsia" w:ascii="宋体" w:hAnsi="宋体" w:eastAsia="宋体" w:cs="宋体"/>
                <w:kern w:val="0"/>
                <w:sz w:val="24"/>
                <w:szCs w:val="24"/>
                <w:highlight w:val="none"/>
              </w:rPr>
            </w:pPr>
            <w:r>
              <w:rPr>
                <w:rFonts w:hint="eastAsia" w:ascii="宋体" w:hAnsi="宋体" w:eastAsia="宋体" w:cs="宋体"/>
                <w:b/>
                <w:bCs/>
                <w:kern w:val="0"/>
                <w:sz w:val="24"/>
                <w:szCs w:val="24"/>
                <w:highlight w:val="none"/>
              </w:rPr>
              <w:t>投标有效期：</w:t>
            </w:r>
            <w:r>
              <w:rPr>
                <w:rFonts w:hint="eastAsia" w:ascii="宋体" w:hAnsi="宋体" w:eastAsia="宋体" w:cs="宋体"/>
                <w:kern w:val="0"/>
                <w:sz w:val="24"/>
                <w:szCs w:val="24"/>
                <w:highlight w:val="none"/>
              </w:rPr>
              <w:t>递交投标文件截止之日起60日历天。</w:t>
            </w:r>
          </w:p>
        </w:tc>
      </w:tr>
      <w:tr w14:paraId="7371AC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70" w:type="dxa"/>
            <w:bottom w:w="0" w:type="dxa"/>
            <w:right w:w="113" w:type="dxa"/>
          </w:tblCellMar>
        </w:tblPrEx>
        <w:trPr>
          <w:trHeight w:val="567" w:hRule="atLeast"/>
        </w:trPr>
        <w:tc>
          <w:tcPr>
            <w:tcW w:w="842" w:type="dxa"/>
            <w:tcBorders>
              <w:left w:val="single" w:color="000000" w:sz="10" w:space="0"/>
              <w:right w:val="single" w:color="000000" w:sz="4" w:space="0"/>
            </w:tcBorders>
            <w:vAlign w:val="center"/>
          </w:tcPr>
          <w:p w14:paraId="428664BD">
            <w:pPr>
              <w:keepNext w:val="0"/>
              <w:keepLines w:val="0"/>
              <w:pageBreakBefore w:val="0"/>
              <w:kinsoku/>
              <w:wordWrap/>
              <w:overflowPunct/>
              <w:topLinePunct w:val="0"/>
              <w:autoSpaceDE/>
              <w:autoSpaceDN/>
              <w:bidi w:val="0"/>
              <w:adjustRightInd w:val="0"/>
              <w:snapToGrid w:val="0"/>
              <w:spacing w:line="500" w:lineRule="exact"/>
              <w:ind w:right="0" w:rightChars="0" w:firstLine="0" w:firstLineChars="0"/>
              <w:jc w:val="center"/>
              <w:textAlignment w:val="auto"/>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w:t>
            </w:r>
          </w:p>
        </w:tc>
        <w:tc>
          <w:tcPr>
            <w:tcW w:w="8346" w:type="dxa"/>
            <w:tcBorders>
              <w:left w:val="single" w:color="000000" w:sz="4" w:space="0"/>
              <w:right w:val="single" w:color="000000" w:sz="10" w:space="0"/>
            </w:tcBorders>
            <w:vAlign w:val="center"/>
          </w:tcPr>
          <w:p w14:paraId="44B8A323">
            <w:pPr>
              <w:keepNext w:val="0"/>
              <w:keepLines w:val="0"/>
              <w:pageBreakBefore w:val="0"/>
              <w:kinsoku/>
              <w:wordWrap w:val="0"/>
              <w:overflowPunct/>
              <w:topLinePunct/>
              <w:autoSpaceDE/>
              <w:autoSpaceDN/>
              <w:bidi w:val="0"/>
              <w:adjustRightInd w:val="0"/>
              <w:snapToGrid w:val="0"/>
              <w:spacing w:line="440" w:lineRule="exact"/>
              <w:ind w:right="0" w:rightChars="0" w:firstLine="0" w:firstLineChars="0"/>
              <w:textAlignment w:val="auto"/>
              <w:outlineLvl w:val="9"/>
              <w:rPr>
                <w:rFonts w:hint="eastAsia" w:ascii="宋体" w:hAnsi="宋体" w:eastAsia="宋体" w:cs="宋体"/>
                <w:sz w:val="24"/>
                <w:szCs w:val="24"/>
                <w:highlight w:val="none"/>
              </w:rPr>
            </w:pPr>
            <w:r>
              <w:rPr>
                <w:rFonts w:hint="eastAsia" w:ascii="宋体" w:hAnsi="宋体" w:eastAsia="宋体" w:cs="宋体"/>
                <w:b/>
                <w:sz w:val="24"/>
                <w:szCs w:val="24"/>
                <w:highlight w:val="none"/>
                <w:lang w:bidi="ar"/>
              </w:rPr>
              <w:t>投标承诺函：本项目须按照招标文件要求提交投标承诺函，内容详见投标文件格式《投标承诺函》，不提供或者提供不全的视为无效投标；不能按照投标承诺函履行的，视为放弃中标资格，并承担相关法律责任。</w:t>
            </w:r>
          </w:p>
        </w:tc>
      </w:tr>
      <w:tr w14:paraId="44432A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70" w:type="dxa"/>
            <w:bottom w:w="0" w:type="dxa"/>
            <w:right w:w="113" w:type="dxa"/>
          </w:tblCellMar>
        </w:tblPrEx>
        <w:trPr>
          <w:trHeight w:val="1423" w:hRule="atLeast"/>
        </w:trPr>
        <w:tc>
          <w:tcPr>
            <w:tcW w:w="842" w:type="dxa"/>
            <w:tcBorders>
              <w:left w:val="single" w:color="000000" w:sz="10" w:space="0"/>
              <w:right w:val="single" w:color="000000" w:sz="4" w:space="0"/>
            </w:tcBorders>
            <w:vAlign w:val="center"/>
          </w:tcPr>
          <w:p w14:paraId="34676222">
            <w:pPr>
              <w:keepNext w:val="0"/>
              <w:keepLines w:val="0"/>
              <w:pageBreakBefore w:val="0"/>
              <w:kinsoku/>
              <w:wordWrap/>
              <w:overflowPunct/>
              <w:topLinePunct w:val="0"/>
              <w:autoSpaceDE/>
              <w:autoSpaceDN/>
              <w:bidi w:val="0"/>
              <w:adjustRightInd w:val="0"/>
              <w:snapToGrid w:val="0"/>
              <w:spacing w:line="500" w:lineRule="exact"/>
              <w:ind w:right="0" w:rightChars="0" w:firstLine="0" w:firstLineChars="0"/>
              <w:jc w:val="center"/>
              <w:textAlignment w:val="auto"/>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w:t>
            </w:r>
          </w:p>
        </w:tc>
        <w:tc>
          <w:tcPr>
            <w:tcW w:w="8346" w:type="dxa"/>
            <w:tcBorders>
              <w:left w:val="single" w:color="000000" w:sz="4" w:space="0"/>
              <w:right w:val="single" w:color="000000" w:sz="10" w:space="0"/>
            </w:tcBorders>
            <w:vAlign w:val="center"/>
          </w:tcPr>
          <w:p w14:paraId="0BDAA3CF">
            <w:pPr>
              <w:keepNext w:val="0"/>
              <w:keepLines w:val="0"/>
              <w:pageBreakBefore w:val="0"/>
              <w:kinsoku/>
              <w:wordWrap w:val="0"/>
              <w:overflowPunct/>
              <w:topLinePunct/>
              <w:autoSpaceDE/>
              <w:autoSpaceDN/>
              <w:bidi w:val="0"/>
              <w:adjustRightInd w:val="0"/>
              <w:snapToGrid w:val="0"/>
              <w:spacing w:line="440" w:lineRule="exact"/>
              <w:ind w:right="0" w:rightChars="0" w:firstLine="0" w:firstLineChars="0"/>
              <w:textAlignment w:val="auto"/>
              <w:outlineLvl w:val="9"/>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质量保证承诺函：</w:t>
            </w:r>
            <w:r>
              <w:rPr>
                <w:rFonts w:hint="eastAsia" w:ascii="宋体" w:hAnsi="宋体" w:eastAsia="宋体" w:cs="宋体"/>
                <w:sz w:val="24"/>
                <w:szCs w:val="24"/>
                <w:highlight w:val="none"/>
              </w:rPr>
              <w:t>本项目须按照招标文件要求提交质量保证承诺函，内容详见投标文件格式《政府采购供应商质量保证承诺函》，</w:t>
            </w:r>
            <w:r>
              <w:rPr>
                <w:rFonts w:hint="eastAsia" w:ascii="宋体" w:hAnsi="宋体" w:eastAsia="宋体" w:cs="宋体"/>
                <w:b/>
                <w:bCs/>
                <w:sz w:val="24"/>
                <w:szCs w:val="24"/>
                <w:highlight w:val="none"/>
              </w:rPr>
              <w:t>不提供者视为无效投标；不能按照质量保证承诺函履行的，视为放弃中标资格，并承担相关法律责任。</w:t>
            </w:r>
          </w:p>
        </w:tc>
      </w:tr>
      <w:tr w14:paraId="334C68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70" w:type="dxa"/>
            <w:bottom w:w="0" w:type="dxa"/>
            <w:right w:w="113" w:type="dxa"/>
          </w:tblCellMar>
        </w:tblPrEx>
        <w:trPr>
          <w:trHeight w:val="567" w:hRule="atLeast"/>
        </w:trPr>
        <w:tc>
          <w:tcPr>
            <w:tcW w:w="842" w:type="dxa"/>
            <w:tcBorders>
              <w:left w:val="single" w:color="000000" w:sz="10" w:space="0"/>
              <w:right w:val="single" w:color="000000" w:sz="4" w:space="0"/>
            </w:tcBorders>
            <w:vAlign w:val="center"/>
          </w:tcPr>
          <w:p w14:paraId="3E2D19F1">
            <w:pPr>
              <w:keepNext w:val="0"/>
              <w:keepLines w:val="0"/>
              <w:pageBreakBefore w:val="0"/>
              <w:kinsoku/>
              <w:wordWrap/>
              <w:overflowPunct/>
              <w:topLinePunct w:val="0"/>
              <w:autoSpaceDE/>
              <w:autoSpaceDN/>
              <w:bidi w:val="0"/>
              <w:adjustRightInd w:val="0"/>
              <w:snapToGrid w:val="0"/>
              <w:spacing w:line="500" w:lineRule="exact"/>
              <w:ind w:right="0" w:rightChars="0" w:firstLine="0" w:firstLineChars="0"/>
              <w:jc w:val="center"/>
              <w:textAlignment w:val="auto"/>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12</w:t>
            </w:r>
          </w:p>
        </w:tc>
        <w:tc>
          <w:tcPr>
            <w:tcW w:w="8346" w:type="dxa"/>
            <w:tcBorders>
              <w:left w:val="single" w:color="000000" w:sz="4" w:space="0"/>
              <w:right w:val="single" w:color="000000" w:sz="10" w:space="0"/>
            </w:tcBorders>
            <w:vAlign w:val="center"/>
          </w:tcPr>
          <w:p w14:paraId="43C86E9F">
            <w:pPr>
              <w:keepNext w:val="0"/>
              <w:keepLines w:val="0"/>
              <w:pageBreakBefore w:val="0"/>
              <w:kinsoku/>
              <w:wordWrap w:val="0"/>
              <w:overflowPunct/>
              <w:topLinePunct/>
              <w:autoSpaceDE/>
              <w:autoSpaceDN/>
              <w:bidi w:val="0"/>
              <w:adjustRightInd w:val="0"/>
              <w:snapToGrid w:val="0"/>
              <w:spacing w:line="440" w:lineRule="exact"/>
              <w:ind w:right="0" w:rightChars="0" w:firstLine="0" w:firstLineChars="0"/>
              <w:textAlignment w:val="auto"/>
              <w:outlineLvl w:val="9"/>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投标文件的制作、提交及解密</w:t>
            </w:r>
          </w:p>
          <w:p w14:paraId="78A2069E">
            <w:pPr>
              <w:keepNext w:val="0"/>
              <w:keepLines w:val="0"/>
              <w:pageBreakBefore w:val="0"/>
              <w:widowControl w:val="0"/>
              <w:kinsoku/>
              <w:wordWrap w:val="0"/>
              <w:overflowPunct/>
              <w:topLinePunct/>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w:t>
            </w:r>
            <w:r>
              <w:rPr>
                <w:rFonts w:hint="eastAsia" w:ascii="宋体" w:hAnsi="宋体" w:eastAsia="宋体" w:cs="宋体"/>
                <w:sz w:val="24"/>
                <w:szCs w:val="24"/>
              </w:rPr>
              <w:t>供应商凭CA密钥、标证通或电子营业执照</w:t>
            </w:r>
            <w:r>
              <w:rPr>
                <w:rFonts w:hint="eastAsia" w:ascii="宋体" w:hAnsi="宋体" w:eastAsia="宋体" w:cs="宋体"/>
                <w:sz w:val="24"/>
                <w:szCs w:val="24"/>
                <w:lang w:eastAsia="zh-CN"/>
              </w:rPr>
              <w:t>登录</w:t>
            </w:r>
            <w:r>
              <w:rPr>
                <w:rFonts w:hint="eastAsia" w:ascii="宋体" w:hAnsi="宋体" w:eastAsia="宋体" w:cs="宋体"/>
                <w:sz w:val="24"/>
                <w:szCs w:val="24"/>
              </w:rPr>
              <w:t>并按网上提示自行下载项目所含格式(*.jyzf)的招标文件。</w:t>
            </w:r>
          </w:p>
          <w:p w14:paraId="15B4262B">
            <w:pPr>
              <w:keepNext w:val="0"/>
              <w:keepLines w:val="0"/>
              <w:pageBreakBefore w:val="0"/>
              <w:widowControl w:val="0"/>
              <w:kinsoku/>
              <w:wordWrap w:val="0"/>
              <w:overflowPunct/>
              <w:topLinePunct/>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w:t>
            </w:r>
            <w:r>
              <w:rPr>
                <w:rFonts w:hint="eastAsia" w:ascii="宋体" w:hAnsi="宋体" w:eastAsia="宋体" w:cs="宋体"/>
                <w:sz w:val="24"/>
                <w:szCs w:val="24"/>
              </w:rPr>
              <w:t>供应商通过“全国公共资源交易平台（河南省·济源市）”网站“公共服务→下载专区”等栏目下载投标文件制作工具。</w:t>
            </w:r>
          </w:p>
          <w:p w14:paraId="5B66C9B1">
            <w:pPr>
              <w:keepNext w:val="0"/>
              <w:keepLines w:val="0"/>
              <w:pageBreakBefore w:val="0"/>
              <w:widowControl w:val="0"/>
              <w:kinsoku/>
              <w:wordWrap w:val="0"/>
              <w:overflowPunct/>
              <w:topLinePunct/>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val="en-US" w:eastAsia="zh-CN"/>
              </w:rPr>
              <w:t>、</w:t>
            </w:r>
            <w:r>
              <w:rPr>
                <w:rFonts w:hint="eastAsia" w:ascii="宋体" w:hAnsi="宋体" w:eastAsia="宋体" w:cs="宋体"/>
                <w:sz w:val="24"/>
                <w:szCs w:val="24"/>
              </w:rPr>
              <w:t>本项目采用“双盲”评标方式，供应商在制作投标文件时，须按照招标文件要求制作包含商务标“明标”和技术标“暗标”的投标文件。</w:t>
            </w:r>
          </w:p>
          <w:p w14:paraId="34F6DD39">
            <w:pPr>
              <w:keepNext w:val="0"/>
              <w:keepLines w:val="0"/>
              <w:pageBreakBefore w:val="0"/>
              <w:widowControl w:val="0"/>
              <w:kinsoku/>
              <w:wordWrap w:val="0"/>
              <w:overflowPunct/>
              <w:topLinePunct/>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val="en-US" w:eastAsia="zh-CN"/>
              </w:rPr>
              <w:t>、</w:t>
            </w:r>
            <w:r>
              <w:rPr>
                <w:rFonts w:hint="eastAsia" w:ascii="宋体" w:hAnsi="宋体" w:eastAsia="宋体" w:cs="宋体"/>
                <w:sz w:val="24"/>
                <w:szCs w:val="24"/>
              </w:rPr>
              <w:t>投标文件上传时，商务标部分“明标”上传至济源市电子招投标交易平台“投标正文”模块，技术标部分“暗标”上传至“技术标文件”模块。</w:t>
            </w:r>
          </w:p>
          <w:p w14:paraId="674D2B73">
            <w:pPr>
              <w:keepNext w:val="0"/>
              <w:keepLines w:val="0"/>
              <w:pageBreakBefore w:val="0"/>
              <w:widowControl w:val="0"/>
              <w:kinsoku/>
              <w:wordWrap w:val="0"/>
              <w:overflowPunct/>
              <w:topLinePunct/>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sz w:val="24"/>
                <w:szCs w:val="24"/>
                <w:lang w:val="en-US" w:eastAsia="zh-CN"/>
              </w:rPr>
              <w:t>、</w:t>
            </w:r>
            <w:r>
              <w:rPr>
                <w:rFonts w:hint="eastAsia" w:ascii="宋体" w:hAnsi="宋体" w:eastAsia="宋体" w:cs="宋体"/>
                <w:sz w:val="24"/>
                <w:szCs w:val="24"/>
              </w:rPr>
              <w:t>招标文件格式所要求包含的全部资料应全部制作在投标文件内，严格按照本项目招标文件所有格式如实填写（不涉及的内容除外），不应存在漏项或缺项，否则将存在投标文件被拒绝的风险。电子投标文件中的图片等资料应清晰</w:t>
            </w:r>
            <w:r>
              <w:rPr>
                <w:rFonts w:hint="eastAsia" w:ascii="宋体" w:hAnsi="宋体" w:eastAsia="宋体" w:cs="宋体"/>
                <w:sz w:val="24"/>
                <w:szCs w:val="24"/>
                <w:lang w:eastAsia="zh-CN"/>
              </w:rPr>
              <w:t>可辨</w:t>
            </w:r>
            <w:r>
              <w:rPr>
                <w:rFonts w:hint="eastAsia" w:ascii="宋体" w:hAnsi="宋体" w:eastAsia="宋体" w:cs="宋体"/>
                <w:sz w:val="24"/>
                <w:szCs w:val="24"/>
              </w:rPr>
              <w:t>，否则因无法辨认所导致的一切后果由供应商自行承担。</w:t>
            </w:r>
          </w:p>
          <w:p w14:paraId="09CFC6ED">
            <w:pPr>
              <w:keepNext w:val="0"/>
              <w:keepLines w:val="0"/>
              <w:pageBreakBefore w:val="0"/>
              <w:widowControl w:val="0"/>
              <w:kinsoku/>
              <w:wordWrap w:val="0"/>
              <w:overflowPunct/>
              <w:topLinePunct/>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6</w:t>
            </w:r>
            <w:r>
              <w:rPr>
                <w:rFonts w:hint="eastAsia" w:ascii="宋体" w:hAnsi="宋体" w:eastAsia="宋体" w:cs="宋体"/>
                <w:sz w:val="24"/>
                <w:szCs w:val="24"/>
                <w:lang w:val="en-US" w:eastAsia="zh-CN"/>
              </w:rPr>
              <w:t>、</w:t>
            </w:r>
            <w:r>
              <w:rPr>
                <w:rFonts w:hint="eastAsia" w:ascii="宋体" w:hAnsi="宋体" w:eastAsia="宋体" w:cs="宋体"/>
                <w:sz w:val="24"/>
                <w:szCs w:val="24"/>
              </w:rPr>
              <w:t>加密的电子投标文件（*.jytf格式）,应在投标文件截止时间前通过“全国公共资源交易平台（河南省·济源市）”会员系统指定位置上传，为防止网络拥堵等不可控因素影响投标文件的上传，请各供应商尽量提前一至两天上传投标文件，因投标文件未及时上传导致响应失败的责任由供应商自行承担。</w:t>
            </w:r>
          </w:p>
          <w:p w14:paraId="13CD1D62">
            <w:pPr>
              <w:keepNext w:val="0"/>
              <w:keepLines w:val="0"/>
              <w:pageBreakBefore w:val="0"/>
              <w:widowControl w:val="0"/>
              <w:kinsoku/>
              <w:wordWrap w:val="0"/>
              <w:overflowPunct/>
              <w:topLinePunct/>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7</w:t>
            </w:r>
            <w:r>
              <w:rPr>
                <w:rFonts w:hint="eastAsia" w:ascii="宋体" w:hAnsi="宋体" w:eastAsia="宋体" w:cs="宋体"/>
                <w:sz w:val="24"/>
                <w:szCs w:val="24"/>
                <w:lang w:val="en-US" w:eastAsia="zh-CN"/>
              </w:rPr>
              <w:t>、</w:t>
            </w:r>
            <w:r>
              <w:rPr>
                <w:rFonts w:hint="eastAsia" w:ascii="宋体" w:hAnsi="宋体" w:eastAsia="宋体" w:cs="宋体"/>
                <w:sz w:val="24"/>
                <w:szCs w:val="24"/>
              </w:rPr>
              <w:t>供应商编辑电子投标文件时，根据招标文件要求用法定代表人CA密钥和企业CA密钥、标证通或电子营业执照进行签章制作；最后一步生成电子投标文件（*.jytf格式和*.njytf格式）时，只能用本单位的企业CA密钥、标证通或电子营业执照。</w:t>
            </w:r>
          </w:p>
          <w:p w14:paraId="59D9B46C">
            <w:pPr>
              <w:keepNext w:val="0"/>
              <w:keepLines w:val="0"/>
              <w:pageBreakBefore w:val="0"/>
              <w:widowControl w:val="0"/>
              <w:kinsoku/>
              <w:wordWrap w:val="0"/>
              <w:overflowPunct/>
              <w:topLinePunct/>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8</w:t>
            </w:r>
            <w:r>
              <w:rPr>
                <w:rFonts w:hint="eastAsia" w:ascii="宋体" w:hAnsi="宋体" w:eastAsia="宋体" w:cs="宋体"/>
                <w:sz w:val="24"/>
                <w:szCs w:val="24"/>
                <w:lang w:val="en-US" w:eastAsia="zh-CN"/>
              </w:rPr>
              <w:t>、</w:t>
            </w:r>
            <w:r>
              <w:rPr>
                <w:rFonts w:hint="eastAsia" w:ascii="宋体" w:hAnsi="宋体" w:eastAsia="宋体" w:cs="宋体"/>
                <w:sz w:val="24"/>
                <w:szCs w:val="24"/>
              </w:rPr>
              <w:t>投标文件以外的任何资料采购人和采购代理机构将拒收。</w:t>
            </w:r>
          </w:p>
          <w:p w14:paraId="3F00836A">
            <w:pPr>
              <w:keepNext w:val="0"/>
              <w:keepLines w:val="0"/>
              <w:pageBreakBefore w:val="0"/>
              <w:widowControl w:val="0"/>
              <w:kinsoku/>
              <w:wordWrap w:val="0"/>
              <w:overflowPunct/>
              <w:topLinePunct/>
              <w:autoSpaceDE/>
              <w:autoSpaceDN/>
              <w:bidi w:val="0"/>
              <w:adjustRightInd/>
              <w:snapToGrid/>
              <w:spacing w:line="440" w:lineRule="exact"/>
              <w:ind w:firstLine="480" w:firstLineChars="200"/>
              <w:textAlignment w:val="auto"/>
              <w:rPr>
                <w:rFonts w:hint="eastAsia" w:ascii="宋体" w:hAnsi="宋体" w:eastAsia="宋体" w:cs="宋体"/>
                <w:b/>
                <w:bCs/>
                <w:szCs w:val="24"/>
                <w:highlight w:val="none"/>
              </w:rPr>
            </w:pPr>
            <w:r>
              <w:rPr>
                <w:rFonts w:hint="eastAsia" w:ascii="宋体" w:hAnsi="宋体" w:eastAsia="宋体" w:cs="宋体"/>
                <w:sz w:val="24"/>
                <w:szCs w:val="24"/>
              </w:rPr>
              <w:t>9</w:t>
            </w:r>
            <w:r>
              <w:rPr>
                <w:rFonts w:hint="eastAsia" w:ascii="宋体" w:hAnsi="宋体" w:eastAsia="宋体" w:cs="宋体"/>
                <w:sz w:val="24"/>
                <w:szCs w:val="24"/>
                <w:lang w:val="en-US" w:eastAsia="zh-CN"/>
              </w:rPr>
              <w:t>、</w:t>
            </w:r>
            <w:r>
              <w:rPr>
                <w:rFonts w:hint="eastAsia" w:ascii="宋体" w:hAnsi="宋体" w:eastAsia="宋体" w:cs="宋体"/>
                <w:sz w:val="24"/>
                <w:szCs w:val="24"/>
              </w:rPr>
              <w:t>由于系统特殊字符兼容原因，供应商在响应制作软件报价一览表中填写报价时，只能填写纯数字，不要填写汉字、单位（元或%）、标点符号（小数点除外）等内容。投标文件正文中的报价仍需按招标文件要求正常填写。请供应商务必重视，否则导致投标文件无法正常导入的按无效投标处理。示例：总报价：1000000元，投标制作软件首次报价一览表中报价填写为1000000纯数字即可，注意按招标文件要求的报价顺序来填写。</w:t>
            </w:r>
          </w:p>
        </w:tc>
      </w:tr>
      <w:tr w14:paraId="0BD971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70" w:type="dxa"/>
            <w:bottom w:w="0" w:type="dxa"/>
            <w:right w:w="113" w:type="dxa"/>
          </w:tblCellMar>
        </w:tblPrEx>
        <w:trPr>
          <w:trHeight w:val="1187" w:hRule="atLeast"/>
        </w:trPr>
        <w:tc>
          <w:tcPr>
            <w:tcW w:w="842" w:type="dxa"/>
            <w:tcBorders>
              <w:left w:val="single" w:color="000000" w:sz="10" w:space="0"/>
              <w:right w:val="single" w:color="000000" w:sz="4" w:space="0"/>
            </w:tcBorders>
            <w:vAlign w:val="center"/>
          </w:tcPr>
          <w:p w14:paraId="200D5FE3">
            <w:pPr>
              <w:keepNext w:val="0"/>
              <w:keepLines w:val="0"/>
              <w:pageBreakBefore w:val="0"/>
              <w:kinsoku/>
              <w:wordWrap/>
              <w:overflowPunct/>
              <w:topLinePunct w:val="0"/>
              <w:autoSpaceDE/>
              <w:autoSpaceDN/>
              <w:bidi w:val="0"/>
              <w:adjustRightInd w:val="0"/>
              <w:snapToGrid w:val="0"/>
              <w:spacing w:line="500" w:lineRule="exact"/>
              <w:ind w:right="0" w:rightChars="0" w:firstLine="0" w:firstLineChars="0"/>
              <w:jc w:val="center"/>
              <w:textAlignment w:val="auto"/>
              <w:outlineLvl w:val="9"/>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13</w:t>
            </w:r>
          </w:p>
        </w:tc>
        <w:tc>
          <w:tcPr>
            <w:tcW w:w="8346" w:type="dxa"/>
            <w:tcBorders>
              <w:left w:val="single" w:color="000000" w:sz="4" w:space="0"/>
              <w:right w:val="single" w:color="000000" w:sz="10" w:space="0"/>
            </w:tcBorders>
            <w:vAlign w:val="center"/>
          </w:tcPr>
          <w:p w14:paraId="17909D1B">
            <w:pPr>
              <w:keepNext w:val="0"/>
              <w:keepLines w:val="0"/>
              <w:pageBreakBefore w:val="0"/>
              <w:kinsoku/>
              <w:wordWrap w:val="0"/>
              <w:overflowPunct/>
              <w:topLinePunct/>
              <w:autoSpaceDE/>
              <w:autoSpaceDN/>
              <w:bidi w:val="0"/>
              <w:adjustRightInd w:val="0"/>
              <w:snapToGrid w:val="0"/>
              <w:spacing w:line="440" w:lineRule="exact"/>
              <w:ind w:right="0" w:rightChars="0" w:firstLine="0" w:firstLineChars="0"/>
              <w:textAlignment w:val="auto"/>
              <w:outlineLvl w:val="9"/>
              <w:rPr>
                <w:rFonts w:hint="eastAsia" w:ascii="宋体" w:hAnsi="宋体" w:eastAsia="宋体" w:cs="宋体"/>
                <w:b/>
                <w:bCs/>
                <w:sz w:val="24"/>
                <w:szCs w:val="24"/>
                <w:highlight w:val="none"/>
              </w:rPr>
            </w:pPr>
            <w:r>
              <w:rPr>
                <w:rFonts w:hint="eastAsia" w:ascii="宋体" w:hAnsi="宋体" w:eastAsia="宋体" w:cs="宋体"/>
                <w:b/>
                <w:bCs/>
                <w:sz w:val="24"/>
                <w:szCs w:val="24"/>
                <w:lang w:eastAsia="zh-CN"/>
              </w:rPr>
              <w:t>现场考察：</w:t>
            </w:r>
            <w:r>
              <w:rPr>
                <w:rFonts w:hint="eastAsia" w:ascii="宋体" w:hAnsi="宋体" w:eastAsia="宋体" w:cs="宋体"/>
                <w:sz w:val="24"/>
                <w:szCs w:val="24"/>
                <w:lang w:eastAsia="zh-CN"/>
              </w:rPr>
              <w:t>采购人或者采购代理机构不组织潜在供应商现场考察和召开开标前答疑会，各潜在供应商可自行确定进行现场考察。</w:t>
            </w:r>
          </w:p>
        </w:tc>
      </w:tr>
      <w:tr w14:paraId="6F0904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70" w:type="dxa"/>
            <w:bottom w:w="0" w:type="dxa"/>
            <w:right w:w="113" w:type="dxa"/>
          </w:tblCellMar>
        </w:tblPrEx>
        <w:trPr>
          <w:trHeight w:val="1531" w:hRule="atLeast"/>
        </w:trPr>
        <w:tc>
          <w:tcPr>
            <w:tcW w:w="842" w:type="dxa"/>
            <w:tcBorders>
              <w:left w:val="single" w:color="000000" w:sz="10" w:space="0"/>
              <w:right w:val="single" w:color="000000" w:sz="4" w:space="0"/>
            </w:tcBorders>
            <w:vAlign w:val="center"/>
          </w:tcPr>
          <w:p w14:paraId="6CDC5213">
            <w:pPr>
              <w:keepNext w:val="0"/>
              <w:keepLines w:val="0"/>
              <w:pageBreakBefore w:val="0"/>
              <w:kinsoku/>
              <w:wordWrap/>
              <w:overflowPunct/>
              <w:topLinePunct w:val="0"/>
              <w:autoSpaceDE/>
              <w:autoSpaceDN/>
              <w:bidi w:val="0"/>
              <w:adjustRightInd w:val="0"/>
              <w:snapToGrid w:val="0"/>
              <w:spacing w:line="500" w:lineRule="exact"/>
              <w:ind w:right="0" w:rightChars="0" w:firstLine="0" w:firstLineChars="0"/>
              <w:jc w:val="center"/>
              <w:textAlignment w:val="auto"/>
              <w:outlineLvl w:val="9"/>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14</w:t>
            </w:r>
          </w:p>
        </w:tc>
        <w:tc>
          <w:tcPr>
            <w:tcW w:w="8346" w:type="dxa"/>
            <w:tcBorders>
              <w:left w:val="single" w:color="000000" w:sz="4" w:space="0"/>
              <w:right w:val="single" w:color="000000" w:sz="10" w:space="0"/>
            </w:tcBorders>
            <w:vAlign w:val="center"/>
          </w:tcPr>
          <w:p w14:paraId="777F3FBF">
            <w:pPr>
              <w:keepNext w:val="0"/>
              <w:keepLines w:val="0"/>
              <w:pageBreakBefore w:val="0"/>
              <w:kinsoku/>
              <w:wordWrap w:val="0"/>
              <w:overflowPunct/>
              <w:topLinePunct/>
              <w:autoSpaceDE/>
              <w:autoSpaceDN/>
              <w:bidi w:val="0"/>
              <w:adjustRightInd w:val="0"/>
              <w:snapToGrid w:val="0"/>
              <w:spacing w:line="440" w:lineRule="exact"/>
              <w:ind w:right="0" w:rightChars="0" w:firstLine="0" w:firstLineChars="0"/>
              <w:textAlignment w:val="auto"/>
              <w:outlineLvl w:val="9"/>
              <w:rPr>
                <w:rFonts w:hint="eastAsia" w:ascii="宋体" w:hAnsi="宋体" w:eastAsia="宋体" w:cs="宋体"/>
                <w:b w:val="0"/>
                <w:bCs w:val="0"/>
                <w:sz w:val="24"/>
                <w:szCs w:val="24"/>
                <w:highlight w:val="none"/>
              </w:rPr>
            </w:pPr>
            <w:r>
              <w:rPr>
                <w:rFonts w:hint="eastAsia" w:ascii="宋体" w:hAnsi="宋体" w:eastAsia="宋体" w:cs="宋体"/>
                <w:b/>
                <w:bCs/>
                <w:sz w:val="24"/>
                <w:szCs w:val="24"/>
                <w:highlight w:val="none"/>
              </w:rPr>
              <w:t>投标文件递交截止时间：</w:t>
            </w:r>
            <w:r>
              <w:rPr>
                <w:rFonts w:hint="eastAsia" w:ascii="宋体" w:hAnsi="宋体" w:eastAsia="宋体" w:cs="宋体"/>
                <w:b w:val="0"/>
                <w:bCs w:val="0"/>
                <w:sz w:val="24"/>
                <w:szCs w:val="24"/>
                <w:highlight w:val="none"/>
                <w:lang w:eastAsia="zh-CN"/>
              </w:rPr>
              <w:t>202</w:t>
            </w:r>
            <w:r>
              <w:rPr>
                <w:rFonts w:hint="eastAsia" w:ascii="宋体" w:hAnsi="宋体" w:eastAsia="宋体" w:cs="宋体"/>
                <w:b w:val="0"/>
                <w:bCs w:val="0"/>
                <w:sz w:val="24"/>
                <w:szCs w:val="24"/>
                <w:highlight w:val="none"/>
                <w:lang w:val="en-US" w:eastAsia="zh-CN"/>
              </w:rPr>
              <w:t>6</w:t>
            </w:r>
            <w:r>
              <w:rPr>
                <w:rFonts w:hint="eastAsia" w:ascii="宋体" w:hAnsi="宋体" w:eastAsia="宋体" w:cs="宋体"/>
                <w:b w:val="0"/>
                <w:bCs w:val="0"/>
                <w:sz w:val="24"/>
                <w:szCs w:val="24"/>
                <w:highlight w:val="none"/>
                <w:lang w:eastAsia="zh-CN"/>
              </w:rPr>
              <w:t>年</w:t>
            </w:r>
            <w:r>
              <w:rPr>
                <w:rFonts w:hint="eastAsia" w:ascii="宋体" w:hAnsi="宋体" w:eastAsia="宋体" w:cs="宋体"/>
                <w:sz w:val="24"/>
                <w:szCs w:val="24"/>
                <w:lang w:val="en-US" w:eastAsia="zh-CN"/>
              </w:rPr>
              <w:t>08</w:t>
            </w:r>
            <w:r>
              <w:rPr>
                <w:rFonts w:hint="eastAsia" w:ascii="宋体" w:hAnsi="宋体" w:eastAsia="宋体" w:cs="宋体"/>
                <w:sz w:val="24"/>
                <w:szCs w:val="24"/>
                <w:lang w:eastAsia="zh-CN"/>
              </w:rPr>
              <w:t>月</w:t>
            </w:r>
            <w:r>
              <w:rPr>
                <w:rFonts w:hint="eastAsia" w:ascii="宋体" w:hAnsi="宋体" w:eastAsia="宋体" w:cs="宋体"/>
                <w:sz w:val="24"/>
                <w:szCs w:val="24"/>
                <w:lang w:val="en-US" w:eastAsia="zh-CN"/>
              </w:rPr>
              <w:t>03</w:t>
            </w:r>
            <w:r>
              <w:rPr>
                <w:rFonts w:hint="eastAsia" w:ascii="宋体" w:hAnsi="宋体" w:eastAsia="宋体" w:cs="宋体"/>
                <w:sz w:val="24"/>
                <w:szCs w:val="24"/>
                <w:lang w:eastAsia="zh-CN"/>
              </w:rPr>
              <w:t>日</w:t>
            </w:r>
            <w:r>
              <w:rPr>
                <w:rFonts w:hint="eastAsia" w:ascii="宋体" w:hAnsi="宋体" w:eastAsia="宋体" w:cs="宋体"/>
                <w:sz w:val="24"/>
                <w:szCs w:val="24"/>
                <w:highlight w:val="none"/>
              </w:rPr>
              <w:t>0</w:t>
            </w:r>
            <w:r>
              <w:rPr>
                <w:rFonts w:hint="eastAsia" w:ascii="宋体" w:hAnsi="宋体" w:eastAsia="宋体" w:cs="宋体"/>
                <w:sz w:val="24"/>
                <w:szCs w:val="24"/>
                <w:highlight w:val="none"/>
                <w:lang w:val="en-US" w:eastAsia="zh-CN"/>
              </w:rPr>
              <w:t>9</w:t>
            </w:r>
            <w:r>
              <w:rPr>
                <w:rFonts w:hint="eastAsia" w:ascii="宋体" w:hAnsi="宋体" w:eastAsia="宋体" w:cs="宋体"/>
                <w:sz w:val="24"/>
                <w:szCs w:val="24"/>
                <w:highlight w:val="none"/>
              </w:rPr>
              <w:t>时</w:t>
            </w:r>
            <w:r>
              <w:rPr>
                <w:rFonts w:hint="eastAsia" w:ascii="宋体" w:hAnsi="宋体" w:eastAsia="宋体" w:cs="宋体"/>
                <w:sz w:val="24"/>
                <w:szCs w:val="24"/>
                <w:highlight w:val="none"/>
                <w:lang w:val="en-US" w:eastAsia="zh-CN"/>
              </w:rPr>
              <w:t>0</w:t>
            </w:r>
            <w:r>
              <w:rPr>
                <w:rFonts w:hint="eastAsia" w:ascii="宋体" w:hAnsi="宋体" w:eastAsia="宋体" w:cs="宋体"/>
                <w:sz w:val="24"/>
                <w:szCs w:val="24"/>
                <w:highlight w:val="none"/>
              </w:rPr>
              <w:t>0分</w:t>
            </w:r>
            <w:r>
              <w:rPr>
                <w:rFonts w:hint="eastAsia" w:ascii="宋体" w:hAnsi="宋体" w:eastAsia="宋体" w:cs="宋体"/>
                <w:b w:val="0"/>
                <w:bCs w:val="0"/>
                <w:sz w:val="24"/>
                <w:szCs w:val="24"/>
                <w:highlight w:val="none"/>
              </w:rPr>
              <w:t>(北京时间)</w:t>
            </w:r>
          </w:p>
          <w:p w14:paraId="1B23D2DF">
            <w:pPr>
              <w:keepNext w:val="0"/>
              <w:keepLines w:val="0"/>
              <w:pageBreakBefore w:val="0"/>
              <w:kinsoku/>
              <w:wordWrap w:val="0"/>
              <w:overflowPunct/>
              <w:topLinePunct/>
              <w:autoSpaceDE/>
              <w:autoSpaceDN/>
              <w:bidi w:val="0"/>
              <w:adjustRightInd w:val="0"/>
              <w:snapToGrid w:val="0"/>
              <w:spacing w:line="440" w:lineRule="exact"/>
              <w:ind w:right="0" w:rightChars="0" w:firstLine="0" w:firstLineChars="0"/>
              <w:textAlignment w:val="auto"/>
              <w:outlineLvl w:val="9"/>
              <w:rPr>
                <w:rFonts w:hint="eastAsia" w:ascii="宋体" w:hAnsi="宋体" w:eastAsia="宋体" w:cs="宋体"/>
                <w:b w:val="0"/>
                <w:bCs w:val="0"/>
                <w:sz w:val="24"/>
                <w:szCs w:val="24"/>
                <w:highlight w:val="none"/>
              </w:rPr>
            </w:pPr>
            <w:r>
              <w:rPr>
                <w:rFonts w:hint="eastAsia" w:ascii="宋体" w:hAnsi="宋体" w:eastAsia="宋体" w:cs="宋体"/>
                <w:b/>
                <w:bCs/>
                <w:sz w:val="24"/>
                <w:szCs w:val="24"/>
                <w:highlight w:val="none"/>
              </w:rPr>
              <w:t>投标文件递交地点：</w:t>
            </w:r>
            <w:r>
              <w:rPr>
                <w:rFonts w:hint="eastAsia" w:ascii="宋体" w:hAnsi="宋体" w:eastAsia="宋体" w:cs="宋体"/>
                <w:b w:val="0"/>
                <w:bCs w:val="0"/>
                <w:sz w:val="24"/>
                <w:szCs w:val="24"/>
                <w:highlight w:val="none"/>
                <w:lang w:eastAsia="zh-CN"/>
              </w:rPr>
              <w:t>济源市电子招投标交易平台。</w:t>
            </w:r>
          </w:p>
          <w:p w14:paraId="2D8D5341">
            <w:pPr>
              <w:keepNext w:val="0"/>
              <w:keepLines w:val="0"/>
              <w:pageBreakBefore w:val="0"/>
              <w:kinsoku/>
              <w:wordWrap w:val="0"/>
              <w:overflowPunct/>
              <w:topLinePunct/>
              <w:autoSpaceDE/>
              <w:autoSpaceDN/>
              <w:bidi w:val="0"/>
              <w:adjustRightInd w:val="0"/>
              <w:snapToGrid w:val="0"/>
              <w:spacing w:line="440" w:lineRule="exact"/>
              <w:ind w:right="0" w:rightChars="0" w:firstLine="0" w:firstLineChars="0"/>
              <w:textAlignment w:val="auto"/>
              <w:outlineLvl w:val="9"/>
              <w:rPr>
                <w:rFonts w:hint="eastAsia" w:ascii="宋体" w:hAnsi="宋体" w:eastAsia="宋体" w:cs="宋体"/>
                <w:sz w:val="24"/>
                <w:szCs w:val="24"/>
                <w:highlight w:val="none"/>
              </w:rPr>
            </w:pPr>
            <w:r>
              <w:rPr>
                <w:rFonts w:hint="eastAsia" w:ascii="宋体" w:hAnsi="宋体" w:eastAsia="宋体" w:cs="宋体"/>
                <w:b/>
                <w:bCs/>
                <w:sz w:val="24"/>
                <w:szCs w:val="24"/>
                <w:highlight w:val="none"/>
              </w:rPr>
              <w:t>逾期无法上传或未在指定位置上传视为未在规定时间内提交投标文件。</w:t>
            </w:r>
          </w:p>
        </w:tc>
      </w:tr>
      <w:tr w14:paraId="72FE9E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70" w:type="dxa"/>
            <w:bottom w:w="0" w:type="dxa"/>
            <w:right w:w="113" w:type="dxa"/>
          </w:tblCellMar>
        </w:tblPrEx>
        <w:trPr>
          <w:trHeight w:val="567" w:hRule="atLeast"/>
        </w:trPr>
        <w:tc>
          <w:tcPr>
            <w:tcW w:w="842" w:type="dxa"/>
            <w:tcBorders>
              <w:left w:val="single" w:color="000000" w:sz="10" w:space="0"/>
              <w:right w:val="single" w:color="000000" w:sz="4" w:space="0"/>
            </w:tcBorders>
            <w:vAlign w:val="center"/>
          </w:tcPr>
          <w:p w14:paraId="0F9C03F5">
            <w:pPr>
              <w:keepNext w:val="0"/>
              <w:keepLines w:val="0"/>
              <w:pageBreakBefore w:val="0"/>
              <w:kinsoku/>
              <w:wordWrap/>
              <w:overflowPunct/>
              <w:topLinePunct w:val="0"/>
              <w:autoSpaceDE/>
              <w:autoSpaceDN/>
              <w:bidi w:val="0"/>
              <w:adjustRightInd w:val="0"/>
              <w:snapToGrid w:val="0"/>
              <w:spacing w:line="500" w:lineRule="exact"/>
              <w:ind w:right="0" w:rightChars="0" w:firstLine="0" w:firstLineChars="0"/>
              <w:jc w:val="center"/>
              <w:textAlignment w:val="auto"/>
              <w:outlineLvl w:val="9"/>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1</w:t>
            </w:r>
            <w:r>
              <w:rPr>
                <w:rFonts w:hint="eastAsia" w:asciiTheme="minorEastAsia" w:hAnsiTheme="minorEastAsia" w:cstheme="minorEastAsia"/>
                <w:sz w:val="24"/>
                <w:szCs w:val="24"/>
                <w:highlight w:val="none"/>
                <w:lang w:val="en-US" w:eastAsia="zh-CN"/>
              </w:rPr>
              <w:t>5</w:t>
            </w:r>
          </w:p>
        </w:tc>
        <w:tc>
          <w:tcPr>
            <w:tcW w:w="8346" w:type="dxa"/>
            <w:tcBorders>
              <w:left w:val="single" w:color="000000" w:sz="4" w:space="0"/>
              <w:right w:val="single" w:color="000000" w:sz="10" w:space="0"/>
            </w:tcBorders>
            <w:vAlign w:val="center"/>
          </w:tcPr>
          <w:p w14:paraId="17C9A1E6">
            <w:pPr>
              <w:keepNext w:val="0"/>
              <w:keepLines w:val="0"/>
              <w:pageBreakBefore w:val="0"/>
              <w:kinsoku/>
              <w:wordWrap w:val="0"/>
              <w:overflowPunct/>
              <w:topLinePunct/>
              <w:autoSpaceDE/>
              <w:autoSpaceDN/>
              <w:bidi w:val="0"/>
              <w:adjustRightInd w:val="0"/>
              <w:snapToGrid w:val="0"/>
              <w:spacing w:line="440" w:lineRule="exact"/>
              <w:ind w:right="0" w:rightChars="0" w:firstLine="0" w:firstLineChars="0"/>
              <w:textAlignment w:val="auto"/>
              <w:outlineLvl w:val="9"/>
              <w:rPr>
                <w:rFonts w:hint="eastAsia" w:ascii="宋体" w:hAnsi="宋体" w:eastAsia="宋体" w:cs="宋体"/>
                <w:sz w:val="24"/>
                <w:szCs w:val="24"/>
                <w:highlight w:val="none"/>
              </w:rPr>
            </w:pPr>
            <w:r>
              <w:rPr>
                <w:rFonts w:hint="eastAsia" w:ascii="宋体" w:hAnsi="宋体" w:eastAsia="宋体" w:cs="宋体"/>
                <w:b/>
                <w:bCs/>
                <w:sz w:val="24"/>
                <w:szCs w:val="24"/>
                <w:highlight w:val="none"/>
              </w:rPr>
              <w:t>签字或盖章要求：</w:t>
            </w:r>
            <w:r>
              <w:rPr>
                <w:rFonts w:hint="eastAsia" w:ascii="宋体" w:hAnsi="宋体" w:eastAsia="宋体" w:cs="宋体"/>
                <w:sz w:val="24"/>
                <w:szCs w:val="24"/>
                <w:highlight w:val="none"/>
              </w:rPr>
              <w:t>见投标人须知-投标文件的编制</w:t>
            </w:r>
          </w:p>
        </w:tc>
      </w:tr>
      <w:tr w14:paraId="7FB828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70" w:type="dxa"/>
            <w:bottom w:w="0" w:type="dxa"/>
            <w:right w:w="113" w:type="dxa"/>
          </w:tblCellMar>
        </w:tblPrEx>
        <w:trPr>
          <w:trHeight w:val="567" w:hRule="atLeast"/>
        </w:trPr>
        <w:tc>
          <w:tcPr>
            <w:tcW w:w="842" w:type="dxa"/>
            <w:tcBorders>
              <w:left w:val="single" w:color="000000" w:sz="10" w:space="0"/>
              <w:right w:val="single" w:color="000000" w:sz="4" w:space="0"/>
            </w:tcBorders>
            <w:vAlign w:val="center"/>
          </w:tcPr>
          <w:p w14:paraId="3940A789">
            <w:pPr>
              <w:keepNext w:val="0"/>
              <w:keepLines w:val="0"/>
              <w:pageBreakBefore w:val="0"/>
              <w:kinsoku/>
              <w:wordWrap/>
              <w:overflowPunct/>
              <w:topLinePunct w:val="0"/>
              <w:autoSpaceDE/>
              <w:autoSpaceDN/>
              <w:bidi w:val="0"/>
              <w:adjustRightInd w:val="0"/>
              <w:snapToGrid w:val="0"/>
              <w:spacing w:line="500" w:lineRule="exact"/>
              <w:ind w:right="0" w:rightChars="0" w:firstLine="0" w:firstLineChars="0"/>
              <w:jc w:val="center"/>
              <w:textAlignment w:val="auto"/>
              <w:outlineLvl w:val="9"/>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1</w:t>
            </w:r>
            <w:r>
              <w:rPr>
                <w:rFonts w:hint="eastAsia" w:asciiTheme="minorEastAsia" w:hAnsiTheme="minorEastAsia" w:cstheme="minorEastAsia"/>
                <w:sz w:val="24"/>
                <w:szCs w:val="24"/>
                <w:highlight w:val="none"/>
                <w:lang w:val="en-US" w:eastAsia="zh-CN"/>
              </w:rPr>
              <w:t>7</w:t>
            </w:r>
          </w:p>
        </w:tc>
        <w:tc>
          <w:tcPr>
            <w:tcW w:w="8346" w:type="dxa"/>
            <w:tcBorders>
              <w:left w:val="single" w:color="000000" w:sz="4" w:space="0"/>
              <w:right w:val="single" w:color="000000" w:sz="10" w:space="0"/>
            </w:tcBorders>
            <w:vAlign w:val="center"/>
          </w:tcPr>
          <w:p w14:paraId="154D274F">
            <w:pPr>
              <w:keepNext w:val="0"/>
              <w:keepLines w:val="0"/>
              <w:pageBreakBefore w:val="0"/>
              <w:kinsoku/>
              <w:wordWrap w:val="0"/>
              <w:overflowPunct/>
              <w:topLinePunct/>
              <w:autoSpaceDE/>
              <w:autoSpaceDN/>
              <w:bidi w:val="0"/>
              <w:adjustRightInd w:val="0"/>
              <w:snapToGrid w:val="0"/>
              <w:spacing w:line="440" w:lineRule="exact"/>
              <w:ind w:right="0" w:rightChars="0" w:firstLine="0" w:firstLineChars="0"/>
              <w:textAlignment w:val="auto"/>
              <w:outlineLvl w:val="9"/>
              <w:rPr>
                <w:rFonts w:hint="eastAsia" w:ascii="宋体" w:hAnsi="宋体" w:eastAsia="宋体" w:cs="宋体"/>
                <w:sz w:val="24"/>
                <w:szCs w:val="24"/>
                <w:highlight w:val="none"/>
              </w:rPr>
            </w:pPr>
            <w:r>
              <w:rPr>
                <w:rFonts w:hint="eastAsia" w:ascii="宋体" w:hAnsi="宋体" w:eastAsia="宋体" w:cs="宋体"/>
                <w:b/>
                <w:bCs/>
                <w:sz w:val="24"/>
                <w:szCs w:val="24"/>
                <w:highlight w:val="none"/>
              </w:rPr>
              <w:t>开标时间及地点：</w:t>
            </w:r>
            <w:r>
              <w:rPr>
                <w:rFonts w:hint="eastAsia" w:ascii="宋体" w:hAnsi="宋体" w:eastAsia="宋体" w:cs="宋体"/>
                <w:sz w:val="24"/>
                <w:szCs w:val="24"/>
                <w:highlight w:val="none"/>
              </w:rPr>
              <w:t>同投标文件递交截止时间及地点。</w:t>
            </w:r>
          </w:p>
        </w:tc>
      </w:tr>
      <w:tr w14:paraId="3A1ECE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70" w:type="dxa"/>
            <w:bottom w:w="0" w:type="dxa"/>
            <w:right w:w="113" w:type="dxa"/>
          </w:tblCellMar>
        </w:tblPrEx>
        <w:trPr>
          <w:trHeight w:val="567" w:hRule="atLeast"/>
        </w:trPr>
        <w:tc>
          <w:tcPr>
            <w:tcW w:w="842" w:type="dxa"/>
            <w:tcBorders>
              <w:left w:val="single" w:color="000000" w:sz="10" w:space="0"/>
              <w:right w:val="single" w:color="000000" w:sz="4" w:space="0"/>
            </w:tcBorders>
            <w:vAlign w:val="center"/>
          </w:tcPr>
          <w:p w14:paraId="7A74B115">
            <w:pPr>
              <w:keepNext w:val="0"/>
              <w:keepLines w:val="0"/>
              <w:pageBreakBefore w:val="0"/>
              <w:kinsoku/>
              <w:wordWrap/>
              <w:overflowPunct/>
              <w:topLinePunct w:val="0"/>
              <w:autoSpaceDE/>
              <w:autoSpaceDN/>
              <w:bidi w:val="0"/>
              <w:adjustRightInd w:val="0"/>
              <w:snapToGrid w:val="0"/>
              <w:spacing w:line="500" w:lineRule="exact"/>
              <w:ind w:right="0" w:rightChars="0" w:firstLine="0" w:firstLineChars="0"/>
              <w:jc w:val="center"/>
              <w:textAlignment w:val="auto"/>
              <w:outlineLvl w:val="9"/>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1</w:t>
            </w:r>
            <w:r>
              <w:rPr>
                <w:rFonts w:hint="eastAsia" w:asciiTheme="minorEastAsia" w:hAnsiTheme="minorEastAsia" w:cstheme="minorEastAsia"/>
                <w:sz w:val="24"/>
                <w:szCs w:val="24"/>
                <w:highlight w:val="none"/>
                <w:lang w:val="en-US" w:eastAsia="zh-CN"/>
              </w:rPr>
              <w:t>8</w:t>
            </w:r>
          </w:p>
        </w:tc>
        <w:tc>
          <w:tcPr>
            <w:tcW w:w="8346" w:type="dxa"/>
            <w:tcBorders>
              <w:left w:val="single" w:color="000000" w:sz="4" w:space="0"/>
              <w:right w:val="single" w:color="000000" w:sz="10" w:space="0"/>
            </w:tcBorders>
            <w:vAlign w:val="center"/>
          </w:tcPr>
          <w:p w14:paraId="17E1BDFC">
            <w:pPr>
              <w:keepNext w:val="0"/>
              <w:keepLines w:val="0"/>
              <w:pageBreakBefore w:val="0"/>
              <w:kinsoku/>
              <w:wordWrap w:val="0"/>
              <w:overflowPunct/>
              <w:topLinePunct/>
              <w:autoSpaceDE/>
              <w:autoSpaceDN/>
              <w:bidi w:val="0"/>
              <w:adjustRightInd w:val="0"/>
              <w:snapToGrid w:val="0"/>
              <w:spacing w:line="440" w:lineRule="exact"/>
              <w:ind w:right="0" w:rightChars="0" w:firstLine="0" w:firstLineChars="0"/>
              <w:textAlignment w:val="auto"/>
              <w:outlineLvl w:val="9"/>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评标委员会的组建：</w:t>
            </w:r>
          </w:p>
          <w:p w14:paraId="4B549EB3">
            <w:pPr>
              <w:keepNext w:val="0"/>
              <w:keepLines w:val="0"/>
              <w:pageBreakBefore w:val="0"/>
              <w:kinsoku/>
              <w:wordWrap w:val="0"/>
              <w:overflowPunct/>
              <w:topLinePunct/>
              <w:autoSpaceDE/>
              <w:autoSpaceDN/>
              <w:bidi w:val="0"/>
              <w:adjustRightInd w:val="0"/>
              <w:snapToGrid w:val="0"/>
              <w:spacing w:line="440" w:lineRule="exact"/>
              <w:ind w:right="0" w:rightChars="0" w:firstLine="0" w:firstLineChars="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评标委员会构成：由采购人代表1人，有关技术、经济等方面的专家4人，共5人组成。</w:t>
            </w:r>
          </w:p>
          <w:p w14:paraId="6DACC8D9">
            <w:pPr>
              <w:keepNext w:val="0"/>
              <w:keepLines w:val="0"/>
              <w:pageBreakBefore w:val="0"/>
              <w:kinsoku/>
              <w:wordWrap w:val="0"/>
              <w:overflowPunct/>
              <w:topLinePunct/>
              <w:autoSpaceDE/>
              <w:autoSpaceDN/>
              <w:bidi w:val="0"/>
              <w:adjustRightInd w:val="0"/>
              <w:snapToGrid w:val="0"/>
              <w:spacing w:line="440" w:lineRule="exact"/>
              <w:ind w:right="0" w:rightChars="0" w:firstLine="0" w:firstLineChars="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评标专家确定方式：从财政部门建立的专家库中随机抽取。</w:t>
            </w:r>
          </w:p>
        </w:tc>
      </w:tr>
      <w:tr w14:paraId="302AA5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70" w:type="dxa"/>
            <w:bottom w:w="0" w:type="dxa"/>
            <w:right w:w="113" w:type="dxa"/>
          </w:tblCellMar>
        </w:tblPrEx>
        <w:trPr>
          <w:trHeight w:val="567" w:hRule="atLeast"/>
        </w:trPr>
        <w:tc>
          <w:tcPr>
            <w:tcW w:w="842" w:type="dxa"/>
            <w:tcBorders>
              <w:left w:val="single" w:color="000000" w:sz="10" w:space="0"/>
              <w:right w:val="single" w:color="000000" w:sz="4" w:space="0"/>
            </w:tcBorders>
            <w:vAlign w:val="center"/>
          </w:tcPr>
          <w:p w14:paraId="31B2E52D">
            <w:pPr>
              <w:keepNext w:val="0"/>
              <w:keepLines w:val="0"/>
              <w:pageBreakBefore w:val="0"/>
              <w:kinsoku/>
              <w:wordWrap/>
              <w:overflowPunct/>
              <w:topLinePunct w:val="0"/>
              <w:autoSpaceDE/>
              <w:autoSpaceDN/>
              <w:bidi w:val="0"/>
              <w:adjustRightInd w:val="0"/>
              <w:snapToGrid w:val="0"/>
              <w:spacing w:line="500" w:lineRule="exact"/>
              <w:ind w:right="0" w:rightChars="0" w:firstLine="0" w:firstLineChars="0"/>
              <w:jc w:val="center"/>
              <w:textAlignment w:val="auto"/>
              <w:outlineLvl w:val="9"/>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1</w:t>
            </w:r>
            <w:r>
              <w:rPr>
                <w:rFonts w:hint="eastAsia" w:asciiTheme="minorEastAsia" w:hAnsiTheme="minorEastAsia" w:cstheme="minorEastAsia"/>
                <w:sz w:val="24"/>
                <w:szCs w:val="24"/>
                <w:highlight w:val="none"/>
                <w:lang w:val="en-US" w:eastAsia="zh-CN"/>
              </w:rPr>
              <w:t>9</w:t>
            </w:r>
          </w:p>
        </w:tc>
        <w:tc>
          <w:tcPr>
            <w:tcW w:w="8346" w:type="dxa"/>
            <w:tcBorders>
              <w:left w:val="single" w:color="000000" w:sz="4" w:space="0"/>
              <w:right w:val="single" w:color="000000" w:sz="10" w:space="0"/>
            </w:tcBorders>
            <w:vAlign w:val="center"/>
          </w:tcPr>
          <w:p w14:paraId="75D73100">
            <w:pPr>
              <w:keepNext w:val="0"/>
              <w:keepLines w:val="0"/>
              <w:pageBreakBefore w:val="0"/>
              <w:kinsoku/>
              <w:wordWrap w:val="0"/>
              <w:overflowPunct/>
              <w:topLinePunct/>
              <w:autoSpaceDE/>
              <w:autoSpaceDN/>
              <w:bidi w:val="0"/>
              <w:adjustRightInd w:val="0"/>
              <w:snapToGrid w:val="0"/>
              <w:spacing w:line="440" w:lineRule="exact"/>
              <w:ind w:right="0" w:rightChars="0" w:firstLine="0" w:firstLineChars="0"/>
              <w:textAlignment w:val="auto"/>
              <w:outlineLvl w:val="9"/>
              <w:rPr>
                <w:rFonts w:hint="eastAsia" w:ascii="宋体" w:hAnsi="宋体" w:eastAsia="宋体" w:cs="宋体"/>
                <w:sz w:val="24"/>
                <w:szCs w:val="24"/>
                <w:highlight w:val="none"/>
              </w:rPr>
            </w:pPr>
            <w:r>
              <w:rPr>
                <w:rFonts w:hint="eastAsia" w:ascii="宋体" w:hAnsi="宋体" w:eastAsia="宋体" w:cs="宋体"/>
                <w:b/>
                <w:bCs/>
                <w:sz w:val="24"/>
                <w:szCs w:val="24"/>
                <w:highlight w:val="none"/>
              </w:rPr>
              <w:t>评标办法</w:t>
            </w:r>
            <w:r>
              <w:rPr>
                <w:rFonts w:hint="eastAsia" w:ascii="宋体" w:hAnsi="宋体" w:eastAsia="宋体" w:cs="宋体"/>
                <w:sz w:val="24"/>
                <w:szCs w:val="24"/>
                <w:highlight w:val="none"/>
              </w:rPr>
              <w:t>：综合评分法</w:t>
            </w:r>
          </w:p>
        </w:tc>
      </w:tr>
      <w:tr w14:paraId="64356E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70" w:type="dxa"/>
            <w:bottom w:w="0" w:type="dxa"/>
            <w:right w:w="113" w:type="dxa"/>
          </w:tblCellMar>
        </w:tblPrEx>
        <w:trPr>
          <w:trHeight w:val="567" w:hRule="atLeast"/>
        </w:trPr>
        <w:tc>
          <w:tcPr>
            <w:tcW w:w="842" w:type="dxa"/>
            <w:tcBorders>
              <w:left w:val="single" w:color="000000" w:sz="10" w:space="0"/>
              <w:right w:val="single" w:color="000000" w:sz="4" w:space="0"/>
            </w:tcBorders>
            <w:vAlign w:val="center"/>
          </w:tcPr>
          <w:p w14:paraId="70FAF40A">
            <w:pPr>
              <w:keepNext w:val="0"/>
              <w:keepLines w:val="0"/>
              <w:pageBreakBefore w:val="0"/>
              <w:kinsoku/>
              <w:wordWrap/>
              <w:overflowPunct/>
              <w:topLinePunct w:val="0"/>
              <w:autoSpaceDE/>
              <w:autoSpaceDN/>
              <w:bidi w:val="0"/>
              <w:adjustRightInd w:val="0"/>
              <w:snapToGrid w:val="0"/>
              <w:spacing w:line="500" w:lineRule="exact"/>
              <w:ind w:right="0" w:rightChars="0" w:firstLine="0" w:firstLineChars="0"/>
              <w:jc w:val="center"/>
              <w:textAlignment w:val="auto"/>
              <w:outlineLvl w:val="9"/>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20</w:t>
            </w:r>
          </w:p>
        </w:tc>
        <w:tc>
          <w:tcPr>
            <w:tcW w:w="8346" w:type="dxa"/>
            <w:tcBorders>
              <w:left w:val="single" w:color="000000" w:sz="4" w:space="0"/>
              <w:right w:val="single" w:color="000000" w:sz="10" w:space="0"/>
            </w:tcBorders>
            <w:vAlign w:val="center"/>
          </w:tcPr>
          <w:p w14:paraId="30069C4B">
            <w:pPr>
              <w:keepNext w:val="0"/>
              <w:keepLines w:val="0"/>
              <w:pageBreakBefore w:val="0"/>
              <w:kinsoku/>
              <w:wordWrap w:val="0"/>
              <w:overflowPunct/>
              <w:topLinePunct/>
              <w:autoSpaceDE/>
              <w:autoSpaceDN/>
              <w:bidi w:val="0"/>
              <w:adjustRightInd w:val="0"/>
              <w:snapToGrid w:val="0"/>
              <w:spacing w:line="440" w:lineRule="exact"/>
              <w:ind w:right="0" w:rightChars="0" w:firstLine="0" w:firstLineChars="0"/>
              <w:textAlignment w:val="auto"/>
              <w:outlineLvl w:val="9"/>
              <w:rPr>
                <w:rFonts w:hint="eastAsia" w:ascii="宋体" w:hAnsi="宋体" w:eastAsia="宋体" w:cs="宋体"/>
                <w:sz w:val="24"/>
                <w:szCs w:val="24"/>
                <w:highlight w:val="none"/>
              </w:rPr>
            </w:pPr>
            <w:r>
              <w:rPr>
                <w:rFonts w:hint="eastAsia" w:ascii="宋体" w:hAnsi="宋体" w:eastAsia="宋体" w:cs="宋体"/>
                <w:b/>
                <w:bCs/>
                <w:sz w:val="24"/>
                <w:szCs w:val="24"/>
                <w:highlight w:val="none"/>
              </w:rPr>
              <w:t>中标公告：</w:t>
            </w:r>
            <w:r>
              <w:rPr>
                <w:rFonts w:hint="eastAsia" w:ascii="宋体" w:hAnsi="宋体" w:eastAsia="宋体" w:cs="宋体"/>
                <w:sz w:val="24"/>
                <w:szCs w:val="24"/>
                <w:highlight w:val="none"/>
              </w:rPr>
              <w:t>在</w:t>
            </w:r>
            <w:r>
              <w:rPr>
                <w:rFonts w:hint="eastAsia" w:ascii="宋体" w:hAnsi="宋体" w:eastAsia="宋体" w:cs="宋体"/>
                <w:kern w:val="0"/>
                <w:sz w:val="24"/>
                <w:szCs w:val="20"/>
                <w:highlight w:val="none"/>
              </w:rPr>
              <w:t>《河南省政府采购网》、</w:t>
            </w:r>
            <w:r>
              <w:rPr>
                <w:rFonts w:hint="eastAsia" w:ascii="宋体" w:hAnsi="宋体" w:eastAsia="宋体" w:cs="宋体"/>
                <w:snapToGrid/>
                <w:color w:val="auto"/>
                <w:kern w:val="2"/>
                <w:sz w:val="24"/>
                <w:szCs w:val="24"/>
                <w:highlight w:val="none"/>
                <w:lang w:val="en-US" w:eastAsia="zh-CN" w:bidi="ar-SA"/>
              </w:rPr>
              <w:t>《全国公共资源交易平台(河南省·济源市)》</w:t>
            </w:r>
            <w:r>
              <w:rPr>
                <w:rFonts w:hint="eastAsia" w:ascii="宋体" w:hAnsi="宋体" w:eastAsia="宋体" w:cs="宋体"/>
                <w:kern w:val="0"/>
                <w:sz w:val="24"/>
                <w:szCs w:val="20"/>
                <w:highlight w:val="none"/>
              </w:rPr>
              <w:t>、</w:t>
            </w:r>
            <w:r>
              <w:rPr>
                <w:rFonts w:hint="eastAsia" w:ascii="宋体" w:hAnsi="宋体" w:eastAsia="宋体" w:cs="宋体"/>
                <w:color w:val="auto"/>
                <w:kern w:val="0"/>
                <w:sz w:val="24"/>
                <w:szCs w:val="20"/>
                <w:highlight w:val="none"/>
              </w:rPr>
              <w:t>《</w:t>
            </w:r>
            <w:r>
              <w:rPr>
                <w:rFonts w:hint="eastAsia" w:ascii="宋体" w:hAnsi="宋体" w:eastAsia="宋体" w:cs="宋体"/>
                <w:color w:val="auto"/>
                <w:kern w:val="0"/>
                <w:sz w:val="24"/>
                <w:szCs w:val="20"/>
                <w:highlight w:val="none"/>
                <w:lang w:eastAsia="zh-CN"/>
              </w:rPr>
              <w:t>济源市人民医院网</w:t>
            </w:r>
            <w:r>
              <w:rPr>
                <w:rFonts w:hint="eastAsia" w:ascii="宋体" w:hAnsi="宋体" w:eastAsia="宋体" w:cs="宋体"/>
                <w:color w:val="auto"/>
                <w:kern w:val="0"/>
                <w:sz w:val="24"/>
                <w:szCs w:val="20"/>
                <w:highlight w:val="none"/>
              </w:rPr>
              <w:t>》</w:t>
            </w:r>
            <w:r>
              <w:rPr>
                <w:rFonts w:hint="eastAsia" w:ascii="宋体" w:hAnsi="宋体" w:eastAsia="宋体" w:cs="宋体"/>
                <w:color w:val="auto"/>
                <w:sz w:val="24"/>
                <w:szCs w:val="24"/>
                <w:highlight w:val="none"/>
              </w:rPr>
              <w:t>发布。</w:t>
            </w:r>
          </w:p>
        </w:tc>
      </w:tr>
      <w:tr w14:paraId="1D860F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70" w:type="dxa"/>
            <w:bottom w:w="0" w:type="dxa"/>
            <w:right w:w="113" w:type="dxa"/>
          </w:tblCellMar>
        </w:tblPrEx>
        <w:trPr>
          <w:trHeight w:val="567" w:hRule="atLeast"/>
        </w:trPr>
        <w:tc>
          <w:tcPr>
            <w:tcW w:w="842" w:type="dxa"/>
            <w:tcBorders>
              <w:left w:val="single" w:color="000000" w:sz="10" w:space="0"/>
              <w:right w:val="single" w:color="000000" w:sz="4" w:space="0"/>
            </w:tcBorders>
            <w:vAlign w:val="center"/>
          </w:tcPr>
          <w:p w14:paraId="56F05558">
            <w:pPr>
              <w:keepNext w:val="0"/>
              <w:keepLines w:val="0"/>
              <w:pageBreakBefore w:val="0"/>
              <w:kinsoku/>
              <w:wordWrap/>
              <w:overflowPunct/>
              <w:topLinePunct w:val="0"/>
              <w:autoSpaceDE/>
              <w:autoSpaceDN/>
              <w:bidi w:val="0"/>
              <w:adjustRightInd w:val="0"/>
              <w:snapToGrid w:val="0"/>
              <w:spacing w:line="500" w:lineRule="exact"/>
              <w:ind w:right="0" w:rightChars="0" w:firstLine="0" w:firstLineChars="0"/>
              <w:jc w:val="center"/>
              <w:textAlignment w:val="auto"/>
              <w:outlineLvl w:val="9"/>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21</w:t>
            </w:r>
          </w:p>
        </w:tc>
        <w:tc>
          <w:tcPr>
            <w:tcW w:w="8346" w:type="dxa"/>
            <w:tcBorders>
              <w:left w:val="single" w:color="000000" w:sz="4" w:space="0"/>
              <w:right w:val="single" w:color="000000" w:sz="10" w:space="0"/>
            </w:tcBorders>
            <w:vAlign w:val="center"/>
          </w:tcPr>
          <w:p w14:paraId="60D9C070">
            <w:pPr>
              <w:keepNext w:val="0"/>
              <w:keepLines w:val="0"/>
              <w:pageBreakBefore w:val="0"/>
              <w:kinsoku/>
              <w:wordWrap w:val="0"/>
              <w:overflowPunct/>
              <w:topLinePunct/>
              <w:autoSpaceDE/>
              <w:autoSpaceDN/>
              <w:bidi w:val="0"/>
              <w:adjustRightInd w:val="0"/>
              <w:snapToGrid w:val="0"/>
              <w:spacing w:line="440" w:lineRule="exact"/>
              <w:ind w:right="0" w:rightChars="0" w:firstLine="0" w:firstLineChars="0"/>
              <w:textAlignment w:val="auto"/>
              <w:outlineLvl w:val="9"/>
              <w:rPr>
                <w:rFonts w:hint="eastAsia" w:ascii="宋体" w:hAnsi="宋体" w:eastAsia="宋体" w:cs="宋体"/>
                <w:sz w:val="24"/>
                <w:szCs w:val="24"/>
                <w:highlight w:val="none"/>
              </w:rPr>
            </w:pPr>
            <w:r>
              <w:rPr>
                <w:rFonts w:hint="eastAsia" w:ascii="宋体" w:hAnsi="宋体" w:eastAsia="宋体" w:cs="宋体"/>
                <w:b/>
                <w:bCs/>
                <w:sz w:val="24"/>
                <w:szCs w:val="24"/>
                <w:highlight w:val="none"/>
              </w:rPr>
              <w:t>履约保证金：</w:t>
            </w:r>
            <w:r>
              <w:rPr>
                <w:rFonts w:hint="eastAsia" w:ascii="宋体" w:hAnsi="宋体" w:eastAsia="宋体" w:cs="宋体"/>
                <w:sz w:val="24"/>
                <w:szCs w:val="24"/>
                <w:highlight w:val="none"/>
              </w:rPr>
              <w:t>本项目不收取履约保证金。</w:t>
            </w:r>
          </w:p>
        </w:tc>
      </w:tr>
      <w:tr w14:paraId="47826F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70" w:type="dxa"/>
            <w:bottom w:w="0" w:type="dxa"/>
            <w:right w:w="113" w:type="dxa"/>
          </w:tblCellMar>
        </w:tblPrEx>
        <w:trPr>
          <w:trHeight w:val="567" w:hRule="atLeast"/>
        </w:trPr>
        <w:tc>
          <w:tcPr>
            <w:tcW w:w="842" w:type="dxa"/>
            <w:tcBorders>
              <w:left w:val="single" w:color="000000" w:sz="10" w:space="0"/>
              <w:right w:val="single" w:color="000000" w:sz="4" w:space="0"/>
            </w:tcBorders>
            <w:vAlign w:val="center"/>
          </w:tcPr>
          <w:p w14:paraId="35401FDA">
            <w:pPr>
              <w:keepNext w:val="0"/>
              <w:keepLines w:val="0"/>
              <w:pageBreakBefore w:val="0"/>
              <w:kinsoku/>
              <w:wordWrap/>
              <w:overflowPunct/>
              <w:topLinePunct w:val="0"/>
              <w:autoSpaceDE/>
              <w:autoSpaceDN/>
              <w:bidi w:val="0"/>
              <w:adjustRightInd w:val="0"/>
              <w:snapToGrid w:val="0"/>
              <w:spacing w:line="500" w:lineRule="exact"/>
              <w:ind w:right="0" w:rightChars="0" w:firstLine="0" w:firstLineChars="0"/>
              <w:jc w:val="center"/>
              <w:textAlignment w:val="auto"/>
              <w:outlineLvl w:val="9"/>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2</w:t>
            </w:r>
            <w:r>
              <w:rPr>
                <w:rFonts w:hint="eastAsia" w:asciiTheme="minorEastAsia" w:hAnsiTheme="minorEastAsia" w:cstheme="minorEastAsia"/>
                <w:sz w:val="24"/>
                <w:szCs w:val="24"/>
                <w:highlight w:val="none"/>
                <w:lang w:val="en-US" w:eastAsia="zh-CN"/>
              </w:rPr>
              <w:t>2</w:t>
            </w:r>
          </w:p>
        </w:tc>
        <w:tc>
          <w:tcPr>
            <w:tcW w:w="8346" w:type="dxa"/>
            <w:tcBorders>
              <w:left w:val="single" w:color="000000" w:sz="4" w:space="0"/>
              <w:right w:val="single" w:color="000000" w:sz="10" w:space="0"/>
            </w:tcBorders>
            <w:vAlign w:val="center"/>
          </w:tcPr>
          <w:p w14:paraId="031EAEE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付款方式：</w:t>
            </w:r>
            <w:r>
              <w:rPr>
                <w:rFonts w:hint="eastAsia" w:ascii="宋体" w:hAnsi="宋体" w:eastAsia="宋体" w:cs="宋体"/>
                <w:sz w:val="24"/>
                <w:szCs w:val="24"/>
                <w:highlight w:val="none"/>
                <w:lang w:val="en-US" w:eastAsia="zh-CN"/>
              </w:rPr>
              <w:t>合同签订后，采购人向中标供应商首付当年合同金额的15%作为预付款，同时中标供应商须向采购人提交同等金额的一年期银行保函。其余金额按月均分并支付，次月支付上月的服务费。</w:t>
            </w:r>
          </w:p>
        </w:tc>
      </w:tr>
      <w:tr w14:paraId="7CE608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70" w:type="dxa"/>
            <w:bottom w:w="0" w:type="dxa"/>
            <w:right w:w="113" w:type="dxa"/>
          </w:tblCellMar>
        </w:tblPrEx>
        <w:trPr>
          <w:trHeight w:val="567" w:hRule="atLeast"/>
        </w:trPr>
        <w:tc>
          <w:tcPr>
            <w:tcW w:w="842" w:type="dxa"/>
            <w:tcBorders>
              <w:left w:val="single" w:color="000000" w:sz="10" w:space="0"/>
              <w:right w:val="single" w:color="000000" w:sz="4" w:space="0"/>
            </w:tcBorders>
            <w:vAlign w:val="center"/>
          </w:tcPr>
          <w:p w14:paraId="256E6EE6">
            <w:pPr>
              <w:keepNext w:val="0"/>
              <w:keepLines w:val="0"/>
              <w:pageBreakBefore w:val="0"/>
              <w:kinsoku/>
              <w:wordWrap/>
              <w:overflowPunct/>
              <w:topLinePunct w:val="0"/>
              <w:autoSpaceDE/>
              <w:autoSpaceDN/>
              <w:bidi w:val="0"/>
              <w:adjustRightInd w:val="0"/>
              <w:snapToGrid w:val="0"/>
              <w:spacing w:line="500" w:lineRule="exact"/>
              <w:ind w:right="0" w:rightChars="0" w:firstLine="0" w:firstLineChars="0"/>
              <w:jc w:val="center"/>
              <w:textAlignment w:val="auto"/>
              <w:outlineLvl w:val="9"/>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2</w:t>
            </w:r>
            <w:r>
              <w:rPr>
                <w:rFonts w:hint="eastAsia" w:asciiTheme="minorEastAsia" w:hAnsiTheme="minorEastAsia" w:cstheme="minorEastAsia"/>
                <w:sz w:val="24"/>
                <w:szCs w:val="24"/>
                <w:highlight w:val="none"/>
                <w:lang w:val="en-US" w:eastAsia="zh-CN"/>
              </w:rPr>
              <w:t>3</w:t>
            </w:r>
          </w:p>
        </w:tc>
        <w:tc>
          <w:tcPr>
            <w:tcW w:w="8346" w:type="dxa"/>
            <w:tcBorders>
              <w:left w:val="single" w:color="000000" w:sz="4" w:space="0"/>
              <w:right w:val="single" w:color="000000" w:sz="10" w:space="0"/>
            </w:tcBorders>
            <w:vAlign w:val="center"/>
          </w:tcPr>
          <w:p w14:paraId="78983FF9">
            <w:pPr>
              <w:keepNext w:val="0"/>
              <w:keepLines w:val="0"/>
              <w:pageBreakBefore w:val="0"/>
              <w:kinsoku/>
              <w:wordWrap w:val="0"/>
              <w:overflowPunct/>
              <w:topLinePunct/>
              <w:autoSpaceDE/>
              <w:autoSpaceDN/>
              <w:bidi w:val="0"/>
              <w:adjustRightInd w:val="0"/>
              <w:snapToGrid w:val="0"/>
              <w:spacing w:line="440" w:lineRule="exact"/>
              <w:ind w:right="0" w:rightChars="0" w:firstLine="0" w:firstLineChars="0"/>
              <w:textAlignment w:val="auto"/>
              <w:outlineLvl w:val="9"/>
              <w:rPr>
                <w:rFonts w:hint="eastAsia" w:ascii="宋体" w:hAnsi="宋体" w:eastAsia="宋体" w:cs="宋体"/>
                <w:sz w:val="24"/>
                <w:szCs w:val="24"/>
                <w:highlight w:val="none"/>
              </w:rPr>
            </w:pPr>
            <w:r>
              <w:rPr>
                <w:rFonts w:hint="eastAsia" w:ascii="宋体" w:hAnsi="宋体" w:eastAsia="宋体" w:cs="宋体"/>
                <w:b/>
                <w:bCs/>
                <w:sz w:val="24"/>
                <w:szCs w:val="24"/>
                <w:highlight w:val="none"/>
              </w:rPr>
              <w:t>提醒：中标人中标后可以持政府采购合同向融资机构申请贷款，详见附件“河南省政府采购合同融资政策告知函”。</w:t>
            </w:r>
          </w:p>
        </w:tc>
      </w:tr>
      <w:tr w14:paraId="5A1FB1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70" w:type="dxa"/>
            <w:bottom w:w="0" w:type="dxa"/>
            <w:right w:w="113" w:type="dxa"/>
          </w:tblCellMar>
        </w:tblPrEx>
        <w:trPr>
          <w:trHeight w:val="567" w:hRule="atLeast"/>
        </w:trPr>
        <w:tc>
          <w:tcPr>
            <w:tcW w:w="842" w:type="dxa"/>
            <w:tcBorders>
              <w:left w:val="single" w:color="000000" w:sz="10" w:space="0"/>
              <w:right w:val="single" w:color="000000" w:sz="4" w:space="0"/>
            </w:tcBorders>
            <w:vAlign w:val="center"/>
          </w:tcPr>
          <w:p w14:paraId="03085CFD">
            <w:pPr>
              <w:keepNext w:val="0"/>
              <w:keepLines w:val="0"/>
              <w:pageBreakBefore w:val="0"/>
              <w:kinsoku/>
              <w:wordWrap/>
              <w:overflowPunct/>
              <w:topLinePunct w:val="0"/>
              <w:autoSpaceDE/>
              <w:autoSpaceDN/>
              <w:bidi w:val="0"/>
              <w:adjustRightInd w:val="0"/>
              <w:snapToGrid w:val="0"/>
              <w:spacing w:line="500" w:lineRule="exact"/>
              <w:ind w:right="0" w:rightChars="0" w:firstLine="0" w:firstLineChars="0"/>
              <w:jc w:val="center"/>
              <w:textAlignment w:val="auto"/>
              <w:outlineLvl w:val="9"/>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2</w:t>
            </w:r>
            <w:r>
              <w:rPr>
                <w:rFonts w:hint="eastAsia" w:asciiTheme="minorEastAsia" w:hAnsiTheme="minorEastAsia" w:cstheme="minorEastAsia"/>
                <w:sz w:val="24"/>
                <w:szCs w:val="24"/>
                <w:highlight w:val="none"/>
                <w:lang w:val="en-US" w:eastAsia="zh-CN"/>
              </w:rPr>
              <w:t>4</w:t>
            </w:r>
          </w:p>
        </w:tc>
        <w:tc>
          <w:tcPr>
            <w:tcW w:w="8346" w:type="dxa"/>
            <w:tcBorders>
              <w:left w:val="single" w:color="000000" w:sz="4" w:space="0"/>
              <w:right w:val="single" w:color="000000" w:sz="10" w:space="0"/>
            </w:tcBorders>
            <w:vAlign w:val="center"/>
          </w:tcPr>
          <w:p w14:paraId="451C52A8">
            <w:pPr>
              <w:keepNext w:val="0"/>
              <w:keepLines w:val="0"/>
              <w:pageBreakBefore w:val="0"/>
              <w:kinsoku/>
              <w:wordWrap w:val="0"/>
              <w:overflowPunct/>
              <w:topLinePunct/>
              <w:autoSpaceDE/>
              <w:autoSpaceDN/>
              <w:bidi w:val="0"/>
              <w:adjustRightInd w:val="0"/>
              <w:snapToGrid w:val="0"/>
              <w:spacing w:line="440" w:lineRule="exact"/>
              <w:ind w:right="0" w:rightChars="0" w:firstLine="0" w:firstLineChars="0"/>
              <w:textAlignment w:val="auto"/>
              <w:outlineLvl w:val="9"/>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关于确定采购结果及合同备案等采购环节的时间规定说明：</w:t>
            </w:r>
          </w:p>
          <w:p w14:paraId="5E8A07FC">
            <w:pPr>
              <w:keepNext w:val="0"/>
              <w:keepLines w:val="0"/>
              <w:pageBreakBefore w:val="0"/>
              <w:kinsoku/>
              <w:wordWrap w:val="0"/>
              <w:overflowPunct/>
              <w:topLinePunct/>
              <w:autoSpaceDE/>
              <w:autoSpaceDN/>
              <w:bidi w:val="0"/>
              <w:adjustRightInd w:val="0"/>
              <w:snapToGrid w:val="0"/>
              <w:spacing w:line="440" w:lineRule="exact"/>
              <w:ind w:right="0" w:rightChars="0" w:firstLine="0" w:firstLineChars="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为优化政府采购营商环境，提高政府采购工作效率，济源产城融合示范区财政局对确定采购结果及合同备案等采购环节做出了特别要求，根据《济管财金〔2021〕164号》、《济管财金〔2021〕180号》</w:t>
            </w:r>
            <w:r>
              <w:rPr>
                <w:rFonts w:hint="eastAsia" w:ascii="宋体" w:hAnsi="宋体" w:eastAsia="宋体" w:cs="宋体"/>
                <w:sz w:val="24"/>
                <w:szCs w:val="24"/>
                <w:highlight w:val="none"/>
                <w:lang w:eastAsia="zh-CN"/>
              </w:rPr>
              <w:t>文件</w:t>
            </w:r>
            <w:r>
              <w:rPr>
                <w:rFonts w:hint="eastAsia" w:ascii="宋体" w:hAnsi="宋体" w:eastAsia="宋体" w:cs="宋体"/>
                <w:sz w:val="24"/>
                <w:szCs w:val="24"/>
                <w:highlight w:val="none"/>
              </w:rPr>
              <w:t>规定：采购人应在评标结束之日起1个工作日内确定采购结果，对中标单位发出中标通知书，并同时在“河南省政府采购网”上公告中标结果。为加快合同签订和合同备案进度，采购人应在中标通知书发出之日起1个工作日内，按照招标文件确定的事项与中标单位签订政府采购合同；采购人应自签订政府采购合同当日在“河南省政府采购网”上备案。</w:t>
            </w:r>
          </w:p>
          <w:p w14:paraId="1AEABA9D">
            <w:pPr>
              <w:keepNext w:val="0"/>
              <w:keepLines w:val="0"/>
              <w:pageBreakBefore w:val="0"/>
              <w:kinsoku/>
              <w:wordWrap w:val="0"/>
              <w:overflowPunct/>
              <w:topLinePunct/>
              <w:autoSpaceDE/>
              <w:autoSpaceDN/>
              <w:bidi w:val="0"/>
              <w:adjustRightInd w:val="0"/>
              <w:snapToGrid w:val="0"/>
              <w:spacing w:line="440" w:lineRule="exact"/>
              <w:ind w:right="0" w:rightChars="0" w:firstLine="0" w:firstLineChars="0"/>
              <w:textAlignment w:val="auto"/>
              <w:outlineLvl w:val="9"/>
              <w:rPr>
                <w:rFonts w:hint="eastAsia" w:ascii="宋体" w:hAnsi="宋体" w:eastAsia="宋体" w:cs="宋体"/>
                <w:sz w:val="24"/>
                <w:szCs w:val="24"/>
                <w:highlight w:val="none"/>
              </w:rPr>
            </w:pPr>
            <w:r>
              <w:rPr>
                <w:rFonts w:hint="eastAsia" w:ascii="宋体" w:hAnsi="宋体" w:eastAsia="宋体" w:cs="宋体"/>
                <w:b/>
                <w:bCs/>
                <w:sz w:val="24"/>
                <w:szCs w:val="24"/>
                <w:highlight w:val="none"/>
              </w:rPr>
              <w:t>财政部门强化政府采购合同监督管理，对无故未在规定时间内签订合同、未及时进行合同公告及备案的行为，按照相关规定进行处理。</w:t>
            </w:r>
          </w:p>
        </w:tc>
      </w:tr>
      <w:tr w14:paraId="114025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70" w:type="dxa"/>
            <w:bottom w:w="0" w:type="dxa"/>
            <w:right w:w="113" w:type="dxa"/>
          </w:tblCellMar>
        </w:tblPrEx>
        <w:trPr>
          <w:trHeight w:val="567" w:hRule="atLeast"/>
        </w:trPr>
        <w:tc>
          <w:tcPr>
            <w:tcW w:w="842" w:type="dxa"/>
            <w:tcBorders>
              <w:left w:val="single" w:color="000000" w:sz="10" w:space="0"/>
              <w:right w:val="single" w:color="000000" w:sz="4" w:space="0"/>
            </w:tcBorders>
            <w:vAlign w:val="center"/>
          </w:tcPr>
          <w:p w14:paraId="52DEB979">
            <w:pPr>
              <w:keepNext w:val="0"/>
              <w:keepLines w:val="0"/>
              <w:pageBreakBefore w:val="0"/>
              <w:kinsoku/>
              <w:wordWrap/>
              <w:overflowPunct/>
              <w:topLinePunct w:val="0"/>
              <w:autoSpaceDE/>
              <w:autoSpaceDN/>
              <w:bidi w:val="0"/>
              <w:adjustRightInd w:val="0"/>
              <w:snapToGrid w:val="0"/>
              <w:spacing w:line="500" w:lineRule="exact"/>
              <w:ind w:right="0" w:rightChars="0" w:firstLine="0" w:firstLineChars="0"/>
              <w:jc w:val="center"/>
              <w:textAlignment w:val="auto"/>
              <w:outlineLvl w:val="9"/>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2</w:t>
            </w:r>
            <w:r>
              <w:rPr>
                <w:rFonts w:hint="eastAsia" w:asciiTheme="minorEastAsia" w:hAnsiTheme="minorEastAsia" w:cstheme="minorEastAsia"/>
                <w:sz w:val="24"/>
                <w:szCs w:val="24"/>
                <w:highlight w:val="none"/>
                <w:lang w:val="en-US" w:eastAsia="zh-CN"/>
              </w:rPr>
              <w:t>5</w:t>
            </w:r>
          </w:p>
        </w:tc>
        <w:tc>
          <w:tcPr>
            <w:tcW w:w="8346" w:type="dxa"/>
            <w:tcBorders>
              <w:left w:val="single" w:color="000000" w:sz="4" w:space="0"/>
              <w:right w:val="single" w:color="000000" w:sz="10" w:space="0"/>
            </w:tcBorders>
            <w:vAlign w:val="center"/>
          </w:tcPr>
          <w:p w14:paraId="21BB964D">
            <w:pPr>
              <w:keepNext w:val="0"/>
              <w:keepLines w:val="0"/>
              <w:pageBreakBefore w:val="0"/>
              <w:kinsoku/>
              <w:wordWrap w:val="0"/>
              <w:overflowPunct/>
              <w:topLinePunct/>
              <w:autoSpaceDE/>
              <w:autoSpaceDN/>
              <w:bidi w:val="0"/>
              <w:adjustRightInd w:val="0"/>
              <w:snapToGrid w:val="0"/>
              <w:spacing w:line="440" w:lineRule="exact"/>
              <w:ind w:right="0" w:rightChars="0" w:firstLine="0" w:firstLineChars="0"/>
              <w:textAlignment w:val="auto"/>
              <w:outlineLvl w:val="9"/>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除《中华人民共和国政府采购法》规定的恶意串通、视同串通投标情形外，参与同一个标段（包）的供应商存在下列情形之一的，其投标文件</w:t>
            </w:r>
            <w:r>
              <w:rPr>
                <w:rFonts w:hint="eastAsia" w:ascii="宋体" w:hAnsi="宋体" w:eastAsia="宋体" w:cs="宋体"/>
                <w:b/>
                <w:bCs/>
                <w:sz w:val="24"/>
                <w:szCs w:val="24"/>
                <w:highlight w:val="none"/>
                <w:lang w:eastAsia="zh-CN"/>
              </w:rPr>
              <w:t>作</w:t>
            </w:r>
            <w:r>
              <w:rPr>
                <w:rFonts w:hint="eastAsia" w:ascii="宋体" w:hAnsi="宋体" w:eastAsia="宋体" w:cs="宋体"/>
                <w:b/>
                <w:bCs/>
                <w:sz w:val="24"/>
                <w:szCs w:val="24"/>
                <w:highlight w:val="none"/>
              </w:rPr>
              <w:t>无效投标处理：</w:t>
            </w:r>
          </w:p>
          <w:p w14:paraId="11D4FB30">
            <w:pPr>
              <w:keepNext w:val="0"/>
              <w:keepLines w:val="0"/>
              <w:pageBreakBefore w:val="0"/>
              <w:kinsoku/>
              <w:wordWrap w:val="0"/>
              <w:overflowPunct/>
              <w:topLinePunct/>
              <w:autoSpaceDE/>
              <w:autoSpaceDN/>
              <w:bidi w:val="0"/>
              <w:adjustRightInd w:val="0"/>
              <w:snapToGrid w:val="0"/>
              <w:spacing w:line="440" w:lineRule="exact"/>
              <w:ind w:right="0" w:rightChars="0" w:firstLine="0" w:firstLineChars="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1.不同供应商的电子投标文件上传计算机的网卡MAC地址、CPU序列号和硬盘序列号等硬件信息相同的；</w:t>
            </w:r>
          </w:p>
          <w:p w14:paraId="4D081632">
            <w:pPr>
              <w:keepNext w:val="0"/>
              <w:keepLines w:val="0"/>
              <w:pageBreakBefore w:val="0"/>
              <w:kinsoku/>
              <w:wordWrap w:val="0"/>
              <w:overflowPunct/>
              <w:topLinePunct/>
              <w:autoSpaceDE/>
              <w:autoSpaceDN/>
              <w:bidi w:val="0"/>
              <w:adjustRightInd w:val="0"/>
              <w:snapToGrid w:val="0"/>
              <w:spacing w:line="440" w:lineRule="exact"/>
              <w:ind w:right="0" w:rightChars="0" w:firstLine="0" w:firstLineChars="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2.不同供应商的投标文件由同一电子设备编制、打印加密或者上传；</w:t>
            </w:r>
          </w:p>
          <w:p w14:paraId="47748437">
            <w:pPr>
              <w:keepNext w:val="0"/>
              <w:keepLines w:val="0"/>
              <w:pageBreakBefore w:val="0"/>
              <w:kinsoku/>
              <w:wordWrap w:val="0"/>
              <w:overflowPunct/>
              <w:topLinePunct/>
              <w:autoSpaceDE/>
              <w:autoSpaceDN/>
              <w:bidi w:val="0"/>
              <w:adjustRightInd w:val="0"/>
              <w:snapToGrid w:val="0"/>
              <w:spacing w:line="440" w:lineRule="exact"/>
              <w:ind w:right="0" w:rightChars="0" w:firstLine="0" w:firstLineChars="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3.不同供应商的投标文件由同一电子设备打印、复印；</w:t>
            </w:r>
          </w:p>
          <w:p w14:paraId="624A22D6">
            <w:pPr>
              <w:keepNext w:val="0"/>
              <w:keepLines w:val="0"/>
              <w:pageBreakBefore w:val="0"/>
              <w:kinsoku/>
              <w:wordWrap w:val="0"/>
              <w:overflowPunct/>
              <w:topLinePunct/>
              <w:autoSpaceDE/>
              <w:autoSpaceDN/>
              <w:bidi w:val="0"/>
              <w:adjustRightInd w:val="0"/>
              <w:snapToGrid w:val="0"/>
              <w:spacing w:line="440" w:lineRule="exact"/>
              <w:ind w:right="0" w:rightChars="0" w:firstLine="0" w:firstLineChars="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4.不同供应商的投标文件由同一人送达或者分发，或者不同供应商联系人为同一人或不同联系人的联系电话一致的；</w:t>
            </w:r>
          </w:p>
          <w:p w14:paraId="518A81FA">
            <w:pPr>
              <w:keepNext w:val="0"/>
              <w:keepLines w:val="0"/>
              <w:pageBreakBefore w:val="0"/>
              <w:kinsoku/>
              <w:wordWrap w:val="0"/>
              <w:overflowPunct/>
              <w:topLinePunct/>
              <w:autoSpaceDE/>
              <w:autoSpaceDN/>
              <w:bidi w:val="0"/>
              <w:adjustRightInd w:val="0"/>
              <w:snapToGrid w:val="0"/>
              <w:spacing w:line="440" w:lineRule="exact"/>
              <w:ind w:right="0" w:rightChars="0" w:firstLine="0" w:firstLineChars="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5.不同供应商的投标文件的内容存在两处以上细节错误一致；</w:t>
            </w:r>
          </w:p>
          <w:p w14:paraId="64EB292B">
            <w:pPr>
              <w:keepNext w:val="0"/>
              <w:keepLines w:val="0"/>
              <w:pageBreakBefore w:val="0"/>
              <w:kinsoku/>
              <w:wordWrap w:val="0"/>
              <w:overflowPunct/>
              <w:topLinePunct/>
              <w:autoSpaceDE/>
              <w:autoSpaceDN/>
              <w:bidi w:val="0"/>
              <w:adjustRightInd w:val="0"/>
              <w:snapToGrid w:val="0"/>
              <w:spacing w:line="440" w:lineRule="exact"/>
              <w:ind w:right="0" w:rightChars="0" w:firstLine="0" w:firstLineChars="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6.不同供应商的法定代表人、委托代理人、项目经理、项目负责人等由同一个单位缴纳社会保险或者领取报酬的；</w:t>
            </w:r>
          </w:p>
          <w:p w14:paraId="37D6149B">
            <w:pPr>
              <w:keepNext w:val="0"/>
              <w:keepLines w:val="0"/>
              <w:pageBreakBefore w:val="0"/>
              <w:kinsoku/>
              <w:wordWrap w:val="0"/>
              <w:overflowPunct/>
              <w:topLinePunct/>
              <w:autoSpaceDE/>
              <w:autoSpaceDN/>
              <w:bidi w:val="0"/>
              <w:adjustRightInd w:val="0"/>
              <w:snapToGrid w:val="0"/>
              <w:spacing w:line="440" w:lineRule="exact"/>
              <w:ind w:right="0" w:rightChars="0" w:firstLine="0" w:firstLineChars="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7.不同供应商投标文件中法定代表人或者负责人签字出自同一人之手；</w:t>
            </w:r>
          </w:p>
          <w:p w14:paraId="0DF1B3B2">
            <w:pPr>
              <w:keepNext w:val="0"/>
              <w:keepLines w:val="0"/>
              <w:pageBreakBefore w:val="0"/>
              <w:kinsoku/>
              <w:wordWrap w:val="0"/>
              <w:overflowPunct/>
              <w:topLinePunct/>
              <w:autoSpaceDE/>
              <w:autoSpaceDN/>
              <w:bidi w:val="0"/>
              <w:adjustRightInd w:val="0"/>
              <w:snapToGrid w:val="0"/>
              <w:spacing w:line="440" w:lineRule="exact"/>
              <w:ind w:right="0" w:rightChars="0" w:firstLine="0" w:firstLineChars="0"/>
              <w:textAlignment w:val="auto"/>
              <w:outlineLvl w:val="9"/>
              <w:rPr>
                <w:rFonts w:hint="eastAsia" w:ascii="宋体" w:hAnsi="宋体" w:eastAsia="宋体" w:cs="宋体"/>
                <w:b/>
                <w:bCs/>
                <w:sz w:val="24"/>
                <w:szCs w:val="24"/>
                <w:highlight w:val="none"/>
              </w:rPr>
            </w:pPr>
            <w:r>
              <w:rPr>
                <w:rFonts w:hint="eastAsia" w:ascii="宋体" w:hAnsi="宋体" w:eastAsia="宋体" w:cs="宋体"/>
                <w:sz w:val="24"/>
                <w:szCs w:val="24"/>
                <w:highlight w:val="none"/>
              </w:rPr>
              <w:t>8.其它涉嫌串通的情形。</w:t>
            </w:r>
          </w:p>
        </w:tc>
      </w:tr>
      <w:tr w14:paraId="177085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70" w:type="dxa"/>
            <w:bottom w:w="0" w:type="dxa"/>
            <w:right w:w="113" w:type="dxa"/>
          </w:tblCellMar>
        </w:tblPrEx>
        <w:trPr>
          <w:trHeight w:val="567" w:hRule="atLeast"/>
        </w:trPr>
        <w:tc>
          <w:tcPr>
            <w:tcW w:w="842" w:type="dxa"/>
            <w:tcBorders>
              <w:left w:val="single" w:color="000000" w:sz="10" w:space="0"/>
              <w:right w:val="single" w:color="000000" w:sz="4" w:space="0"/>
            </w:tcBorders>
            <w:vAlign w:val="center"/>
          </w:tcPr>
          <w:p w14:paraId="0AED76DE">
            <w:pPr>
              <w:keepNext w:val="0"/>
              <w:keepLines w:val="0"/>
              <w:pageBreakBefore w:val="0"/>
              <w:kinsoku/>
              <w:wordWrap/>
              <w:overflowPunct/>
              <w:topLinePunct w:val="0"/>
              <w:autoSpaceDE/>
              <w:autoSpaceDN/>
              <w:bidi w:val="0"/>
              <w:adjustRightInd w:val="0"/>
              <w:snapToGrid w:val="0"/>
              <w:spacing w:line="500" w:lineRule="exact"/>
              <w:ind w:right="0" w:rightChars="0" w:firstLine="0" w:firstLineChars="0"/>
              <w:jc w:val="center"/>
              <w:textAlignment w:val="auto"/>
              <w:outlineLvl w:val="9"/>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26</w:t>
            </w:r>
          </w:p>
        </w:tc>
        <w:tc>
          <w:tcPr>
            <w:tcW w:w="8346" w:type="dxa"/>
            <w:tcBorders>
              <w:left w:val="single" w:color="000000" w:sz="4" w:space="0"/>
              <w:right w:val="single" w:color="000000" w:sz="10" w:space="0"/>
            </w:tcBorders>
            <w:vAlign w:val="center"/>
          </w:tcPr>
          <w:p w14:paraId="35103AED">
            <w:pPr>
              <w:keepNext w:val="0"/>
              <w:keepLines w:val="0"/>
              <w:pageBreakBefore w:val="0"/>
              <w:kinsoku/>
              <w:wordWrap w:val="0"/>
              <w:overflowPunct/>
              <w:topLinePunct/>
              <w:autoSpaceDE/>
              <w:autoSpaceDN/>
              <w:bidi w:val="0"/>
              <w:adjustRightInd w:val="0"/>
              <w:snapToGrid w:val="0"/>
              <w:spacing w:line="440" w:lineRule="exact"/>
              <w:ind w:right="0" w:rightChars="0" w:firstLine="0" w:firstLineChars="0"/>
              <w:textAlignment w:val="auto"/>
              <w:outlineLvl w:val="9"/>
              <w:rPr>
                <w:rFonts w:hint="eastAsia" w:ascii="宋体" w:hAnsi="宋体" w:eastAsia="宋体" w:cs="宋体"/>
                <w:sz w:val="24"/>
                <w:szCs w:val="24"/>
                <w:highlight w:val="none"/>
              </w:rPr>
            </w:pPr>
            <w:r>
              <w:rPr>
                <w:rFonts w:hint="eastAsia" w:ascii="宋体" w:hAnsi="宋体" w:eastAsia="宋体" w:cs="宋体"/>
                <w:b/>
                <w:bCs/>
                <w:sz w:val="24"/>
                <w:szCs w:val="24"/>
                <w:highlight w:val="none"/>
              </w:rPr>
              <w:t>解释：本招标文件的解释权属于采购人</w:t>
            </w:r>
            <w:r>
              <w:rPr>
                <w:rFonts w:hint="eastAsia" w:ascii="宋体" w:hAnsi="宋体" w:eastAsia="宋体" w:cs="宋体"/>
                <w:b/>
                <w:bCs/>
                <w:sz w:val="24"/>
                <w:szCs w:val="24"/>
                <w:highlight w:val="none"/>
                <w:lang w:eastAsia="zh-CN"/>
              </w:rPr>
              <w:t>。</w:t>
            </w:r>
          </w:p>
        </w:tc>
      </w:tr>
    </w:tbl>
    <w:p w14:paraId="0D60C300">
      <w:pPr>
        <w:keepNext w:val="0"/>
        <w:keepLines w:val="0"/>
        <w:pageBreakBefore w:val="0"/>
        <w:kinsoku/>
        <w:wordWrap/>
        <w:overflowPunct/>
        <w:topLinePunct w:val="0"/>
        <w:autoSpaceDE/>
        <w:autoSpaceDN/>
        <w:bidi w:val="0"/>
        <w:adjustRightInd w:val="0"/>
        <w:snapToGrid w:val="0"/>
        <w:spacing w:line="500" w:lineRule="exact"/>
        <w:ind w:right="0" w:rightChars="0" w:firstLine="0" w:firstLineChars="0"/>
        <w:jc w:val="center"/>
        <w:textAlignment w:val="auto"/>
        <w:outlineLvl w:val="9"/>
        <w:rPr>
          <w:rFonts w:ascii="宋体" w:hAnsi="宋体" w:eastAsia="宋体" w:cs="宋体"/>
          <w:bCs/>
          <w:sz w:val="32"/>
          <w:szCs w:val="32"/>
          <w:highlight w:val="none"/>
        </w:rPr>
      </w:pPr>
    </w:p>
    <w:p w14:paraId="395239A8">
      <w:pPr>
        <w:widowControl/>
        <w:jc w:val="left"/>
        <w:rPr>
          <w:rFonts w:ascii="宋体" w:hAnsi="宋体" w:eastAsia="宋体" w:cs="宋体"/>
          <w:bCs/>
          <w:sz w:val="32"/>
          <w:szCs w:val="32"/>
          <w:highlight w:val="none"/>
        </w:rPr>
      </w:pPr>
      <w:r>
        <w:rPr>
          <w:rFonts w:ascii="宋体" w:hAnsi="宋体" w:eastAsia="宋体" w:cs="宋体"/>
          <w:bCs/>
          <w:sz w:val="32"/>
          <w:szCs w:val="32"/>
          <w:highlight w:val="none"/>
        </w:rPr>
        <w:br w:type="page"/>
      </w:r>
    </w:p>
    <w:p w14:paraId="61070726">
      <w:pPr>
        <w:pStyle w:val="4"/>
        <w:keepNext/>
        <w:keepLines/>
        <w:pageBreakBefore w:val="0"/>
        <w:widowControl w:val="0"/>
        <w:kinsoku/>
        <w:wordWrap/>
        <w:overflowPunct/>
        <w:topLinePunct w:val="0"/>
        <w:autoSpaceDE/>
        <w:autoSpaceDN/>
        <w:bidi w:val="0"/>
        <w:adjustRightInd/>
        <w:snapToGrid/>
        <w:spacing w:before="200" w:after="200" w:line="500" w:lineRule="exact"/>
        <w:ind w:left="0" w:leftChars="0" w:right="0" w:rightChars="0" w:firstLine="0" w:firstLineChars="0"/>
        <w:jc w:val="center"/>
        <w:textAlignment w:val="auto"/>
        <w:outlineLvl w:val="1"/>
        <w:rPr>
          <w:b/>
          <w:bCs w:val="0"/>
        </w:rPr>
      </w:pPr>
      <w:bookmarkStart w:id="12" w:name="_Toc18647"/>
      <w:r>
        <w:rPr>
          <w:rFonts w:hint="eastAsia"/>
          <w:b/>
          <w:bCs w:val="0"/>
        </w:rPr>
        <w:t>投标人须知</w:t>
      </w:r>
      <w:bookmarkEnd w:id="12"/>
    </w:p>
    <w:p w14:paraId="1827C2F7">
      <w:pPr>
        <w:pStyle w:val="5"/>
        <w:keepNext/>
        <w:keepLines/>
        <w:pageBreakBefore w:val="0"/>
        <w:widowControl w:val="0"/>
        <w:kinsoku/>
        <w:wordWrap/>
        <w:overflowPunct/>
        <w:topLinePunct w:val="0"/>
        <w:autoSpaceDE/>
        <w:autoSpaceDN/>
        <w:bidi w:val="0"/>
        <w:adjustRightInd/>
        <w:snapToGrid/>
        <w:spacing w:before="200" w:beforeLines="0" w:after="200" w:afterLines="0" w:line="500" w:lineRule="exact"/>
        <w:ind w:left="0" w:leftChars="0" w:right="0" w:rightChars="0" w:firstLine="0" w:firstLineChars="0"/>
        <w:jc w:val="center"/>
        <w:textAlignment w:val="auto"/>
        <w:outlineLvl w:val="2"/>
        <w:rPr>
          <w:sz w:val="28"/>
          <w:szCs w:val="28"/>
        </w:rPr>
      </w:pPr>
      <w:bookmarkStart w:id="13" w:name="_Toc775"/>
      <w:r>
        <w:rPr>
          <w:rFonts w:hint="eastAsia"/>
          <w:sz w:val="28"/>
          <w:szCs w:val="28"/>
        </w:rPr>
        <w:t>一、说明</w:t>
      </w:r>
      <w:bookmarkEnd w:id="13"/>
    </w:p>
    <w:p w14:paraId="7F87E8B0">
      <w:pPr>
        <w:adjustRightInd w:val="0"/>
        <w:snapToGrid w:val="0"/>
        <w:spacing w:line="500" w:lineRule="exact"/>
        <w:ind w:firstLine="482" w:firstLineChars="200"/>
        <w:rPr>
          <w:rFonts w:ascii="宋体" w:hAnsi="宋体" w:eastAsia="宋体" w:cs="宋体"/>
          <w:b/>
          <w:bCs/>
          <w:sz w:val="24"/>
          <w:szCs w:val="32"/>
          <w:highlight w:val="none"/>
        </w:rPr>
      </w:pPr>
      <w:r>
        <w:rPr>
          <w:rFonts w:hint="eastAsia" w:ascii="宋体" w:hAnsi="宋体" w:eastAsia="宋体" w:cs="宋体"/>
          <w:b/>
          <w:bCs/>
          <w:sz w:val="24"/>
          <w:szCs w:val="32"/>
          <w:highlight w:val="none"/>
        </w:rPr>
        <w:t>1、适用范围</w:t>
      </w:r>
    </w:p>
    <w:p w14:paraId="3ADE98F0">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1.1本招标文件仅适用于</w:t>
      </w:r>
      <w:r>
        <w:rPr>
          <w:rFonts w:hint="eastAsia" w:ascii="宋体" w:hAnsi="宋体" w:eastAsia="宋体" w:cs="宋体"/>
          <w:bCs/>
          <w:sz w:val="24"/>
          <w:szCs w:val="32"/>
          <w:highlight w:val="none"/>
          <w:lang w:eastAsia="zh-CN"/>
        </w:rPr>
        <w:t>济源市人民医院保安服务采购项目</w:t>
      </w:r>
      <w:r>
        <w:rPr>
          <w:rFonts w:hint="eastAsia" w:ascii="宋体" w:hAnsi="宋体" w:eastAsia="宋体" w:cs="宋体"/>
          <w:bCs/>
          <w:sz w:val="24"/>
          <w:szCs w:val="32"/>
          <w:highlight w:val="none"/>
        </w:rPr>
        <w:t>。</w:t>
      </w:r>
    </w:p>
    <w:p w14:paraId="582264D4">
      <w:pPr>
        <w:adjustRightInd w:val="0"/>
        <w:snapToGrid w:val="0"/>
        <w:spacing w:line="500" w:lineRule="exact"/>
        <w:ind w:firstLine="482" w:firstLineChars="200"/>
        <w:rPr>
          <w:rFonts w:ascii="宋体" w:hAnsi="宋体" w:eastAsia="宋体" w:cs="宋体"/>
          <w:b/>
          <w:bCs/>
          <w:sz w:val="24"/>
          <w:szCs w:val="32"/>
          <w:highlight w:val="none"/>
        </w:rPr>
      </w:pPr>
      <w:r>
        <w:rPr>
          <w:rFonts w:hint="eastAsia" w:ascii="宋体" w:hAnsi="宋体" w:eastAsia="宋体" w:cs="宋体"/>
          <w:b/>
          <w:bCs/>
          <w:sz w:val="24"/>
          <w:szCs w:val="32"/>
          <w:highlight w:val="none"/>
        </w:rPr>
        <w:t>2、定义</w:t>
      </w:r>
    </w:p>
    <w:p w14:paraId="6A59A849">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2.1货物：系指投标人按招标文件规定为完成</w:t>
      </w:r>
      <w:r>
        <w:rPr>
          <w:rFonts w:hint="eastAsia" w:ascii="宋体" w:hAnsi="宋体" w:eastAsia="宋体" w:cs="宋体"/>
          <w:bCs/>
          <w:sz w:val="24"/>
          <w:szCs w:val="32"/>
          <w:highlight w:val="none"/>
          <w:lang w:eastAsia="zh-CN"/>
        </w:rPr>
        <w:t>济源市人民医院保安服务采购项目</w:t>
      </w:r>
      <w:r>
        <w:rPr>
          <w:rFonts w:hint="eastAsia" w:ascii="宋体" w:hAnsi="宋体" w:eastAsia="宋体" w:cs="宋体"/>
          <w:bCs/>
          <w:sz w:val="24"/>
          <w:szCs w:val="32"/>
          <w:highlight w:val="none"/>
        </w:rPr>
        <w:t>所需的所有设备及配件。</w:t>
      </w:r>
    </w:p>
    <w:p w14:paraId="1CE89E79">
      <w:pPr>
        <w:spacing w:line="440" w:lineRule="exact"/>
        <w:ind w:firstLine="482"/>
        <w:rPr>
          <w:rFonts w:ascii="宋体" w:hAnsi="宋体" w:eastAsia="宋体" w:cs="宋体"/>
          <w:bCs/>
          <w:sz w:val="24"/>
          <w:szCs w:val="32"/>
          <w:highlight w:val="none"/>
        </w:rPr>
      </w:pPr>
      <w:r>
        <w:rPr>
          <w:rFonts w:hint="eastAsia" w:ascii="宋体" w:hAnsi="宋体" w:eastAsia="宋体" w:cs="宋体"/>
          <w:bCs/>
          <w:sz w:val="24"/>
          <w:szCs w:val="32"/>
          <w:highlight w:val="none"/>
        </w:rPr>
        <w:t>2.2服务：</w:t>
      </w:r>
      <w:r>
        <w:rPr>
          <w:rFonts w:hint="eastAsia" w:ascii="宋体" w:hAnsi="宋体" w:eastAsia="宋体" w:cs="宋体"/>
          <w:bCs/>
          <w:color w:val="auto"/>
          <w:sz w:val="24"/>
          <w:szCs w:val="24"/>
          <w:highlight w:val="none"/>
        </w:rPr>
        <w:t>系指</w:t>
      </w:r>
      <w:r>
        <w:rPr>
          <w:rFonts w:hint="eastAsia" w:ascii="宋体" w:hAnsi="宋体" w:eastAsia="宋体" w:cs="宋体"/>
          <w:bCs/>
          <w:sz w:val="24"/>
          <w:szCs w:val="32"/>
          <w:highlight w:val="none"/>
        </w:rPr>
        <w:t>投标人按招标文件</w:t>
      </w:r>
      <w:r>
        <w:rPr>
          <w:rFonts w:hint="eastAsia" w:ascii="宋体" w:hAnsi="宋体" w:eastAsia="宋体" w:cs="宋体"/>
          <w:bCs/>
          <w:color w:val="auto"/>
          <w:sz w:val="24"/>
          <w:szCs w:val="24"/>
          <w:highlight w:val="none"/>
        </w:rPr>
        <w:t>规定提供的与采购内容需求相关的关联服务。</w:t>
      </w:r>
    </w:p>
    <w:p w14:paraId="4C09F4C6">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2.3采购人：济源市人民医院。</w:t>
      </w:r>
    </w:p>
    <w:p w14:paraId="43D09985">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2.4采购代理机构：</w:t>
      </w:r>
      <w:r>
        <w:rPr>
          <w:rFonts w:hint="eastAsia" w:ascii="宋体" w:hAnsi="宋体" w:eastAsia="宋体" w:cs="宋体"/>
          <w:bCs/>
          <w:sz w:val="24"/>
          <w:szCs w:val="32"/>
          <w:highlight w:val="none"/>
          <w:lang w:eastAsia="zh-CN"/>
        </w:rPr>
        <w:t>济源市公共资源交易中心</w:t>
      </w:r>
      <w:r>
        <w:rPr>
          <w:rFonts w:hint="eastAsia" w:ascii="宋体" w:hAnsi="宋体" w:eastAsia="宋体" w:cs="宋体"/>
          <w:bCs/>
          <w:sz w:val="24"/>
          <w:szCs w:val="32"/>
          <w:highlight w:val="none"/>
        </w:rPr>
        <w:t>。</w:t>
      </w:r>
    </w:p>
    <w:p w14:paraId="439D5097">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2.5供应商：又称投标人，是指响应招标、参加投标竞争的法人、其他组织或者自然人。</w:t>
      </w:r>
    </w:p>
    <w:p w14:paraId="5AD5DCF6">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2.6日期：指公历日。</w:t>
      </w:r>
    </w:p>
    <w:p w14:paraId="6BDC0F0C">
      <w:pPr>
        <w:adjustRightInd w:val="0"/>
        <w:snapToGrid w:val="0"/>
        <w:spacing w:line="500" w:lineRule="exact"/>
        <w:ind w:firstLine="482" w:firstLineChars="200"/>
        <w:rPr>
          <w:rFonts w:ascii="宋体" w:hAnsi="宋体" w:eastAsia="宋体" w:cs="宋体"/>
          <w:b/>
          <w:bCs/>
          <w:sz w:val="24"/>
          <w:szCs w:val="32"/>
          <w:highlight w:val="none"/>
        </w:rPr>
      </w:pPr>
      <w:r>
        <w:rPr>
          <w:rFonts w:hint="eastAsia" w:ascii="宋体" w:hAnsi="宋体" w:eastAsia="宋体" w:cs="宋体"/>
          <w:b/>
          <w:bCs/>
          <w:sz w:val="24"/>
          <w:szCs w:val="32"/>
          <w:highlight w:val="none"/>
        </w:rPr>
        <w:t>3、保证</w:t>
      </w:r>
    </w:p>
    <w:p w14:paraId="22CC3291">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投标人应保证在投标文件中所提交的资料和数据等内容是真实有效的，否则应当承担相应的法律责任。</w:t>
      </w:r>
    </w:p>
    <w:p w14:paraId="42C00DF9">
      <w:pPr>
        <w:adjustRightInd w:val="0"/>
        <w:snapToGrid w:val="0"/>
        <w:spacing w:line="500" w:lineRule="exact"/>
        <w:ind w:firstLine="482" w:firstLineChars="200"/>
        <w:rPr>
          <w:rFonts w:ascii="宋体" w:hAnsi="宋体" w:eastAsia="宋体" w:cs="宋体"/>
          <w:b/>
          <w:bCs/>
          <w:sz w:val="24"/>
          <w:szCs w:val="32"/>
          <w:highlight w:val="none"/>
        </w:rPr>
      </w:pPr>
      <w:r>
        <w:rPr>
          <w:rFonts w:hint="eastAsia" w:ascii="宋体" w:hAnsi="宋体" w:eastAsia="宋体" w:cs="宋体"/>
          <w:b/>
          <w:bCs/>
          <w:sz w:val="24"/>
          <w:szCs w:val="32"/>
          <w:highlight w:val="none"/>
        </w:rPr>
        <w:t>4、投标风险及费用</w:t>
      </w:r>
    </w:p>
    <w:p w14:paraId="67052DAA">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4.1无论投标的过程和结果如何，投标人应当自行承担其参加本项目投标活动的全部风险及费用，采购人或采购代理机构在任何情况下均无义务和责任承担上述风险及费用。</w:t>
      </w:r>
    </w:p>
    <w:p w14:paraId="574D263F">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4.2在采购活动中因重大变故，采购任务取消的，采购人或者采购代理机构应当终止采购活动，并通知所有参加采购活动的投标人，不承担其它损失及费用。</w:t>
      </w:r>
    </w:p>
    <w:p w14:paraId="00D8CE72">
      <w:pPr>
        <w:adjustRightInd w:val="0"/>
        <w:snapToGrid w:val="0"/>
        <w:spacing w:line="500" w:lineRule="exact"/>
        <w:ind w:firstLine="480" w:firstLineChars="200"/>
        <w:rPr>
          <w:rFonts w:hint="default" w:ascii="宋体" w:hAnsi="宋体" w:eastAsia="宋体" w:cs="宋体"/>
          <w:bCs/>
          <w:sz w:val="24"/>
          <w:szCs w:val="32"/>
          <w:highlight w:val="yellow"/>
          <w:lang w:val="en-US" w:eastAsia="zh-CN"/>
        </w:rPr>
      </w:pPr>
      <w:r>
        <w:rPr>
          <w:rFonts w:hint="eastAsia" w:ascii="宋体" w:hAnsi="宋体" w:eastAsia="宋体" w:cs="宋体"/>
          <w:bCs/>
          <w:sz w:val="24"/>
          <w:szCs w:val="32"/>
          <w:highlight w:val="none"/>
        </w:rPr>
        <w:t>4.3采购代理服务费</w:t>
      </w:r>
      <w:r>
        <w:rPr>
          <w:rFonts w:hint="eastAsia" w:ascii="宋体" w:hAnsi="宋体" w:eastAsia="宋体" w:cs="宋体"/>
          <w:bCs/>
          <w:sz w:val="24"/>
          <w:szCs w:val="32"/>
          <w:highlight w:val="none"/>
          <w:lang w:eastAsia="zh-CN"/>
        </w:rPr>
        <w:t>：</w:t>
      </w:r>
      <w:r>
        <w:rPr>
          <w:rFonts w:hint="eastAsia" w:ascii="宋体" w:hAnsi="宋体" w:eastAsia="宋体" w:cs="宋体"/>
          <w:b/>
          <w:bCs w:val="0"/>
          <w:sz w:val="24"/>
          <w:szCs w:val="32"/>
          <w:highlight w:val="none"/>
          <w:lang w:val="en-US" w:eastAsia="zh-CN"/>
        </w:rPr>
        <w:t>无。</w:t>
      </w:r>
    </w:p>
    <w:p w14:paraId="56302E45">
      <w:pPr>
        <w:adjustRightInd w:val="0"/>
        <w:snapToGrid w:val="0"/>
        <w:spacing w:line="500" w:lineRule="exact"/>
        <w:ind w:firstLine="482" w:firstLineChars="200"/>
        <w:rPr>
          <w:rFonts w:ascii="宋体" w:hAnsi="宋体" w:eastAsia="宋体" w:cs="宋体"/>
          <w:b/>
          <w:bCs/>
          <w:sz w:val="24"/>
          <w:szCs w:val="32"/>
          <w:highlight w:val="none"/>
        </w:rPr>
      </w:pPr>
      <w:r>
        <w:rPr>
          <w:rFonts w:hint="eastAsia" w:ascii="宋体" w:hAnsi="宋体" w:eastAsia="宋体" w:cs="宋体"/>
          <w:b/>
          <w:bCs/>
          <w:sz w:val="24"/>
          <w:szCs w:val="32"/>
          <w:highlight w:val="none"/>
        </w:rPr>
        <w:t>5、语言文字</w:t>
      </w:r>
    </w:p>
    <w:p w14:paraId="2CD0D150">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除专用术语外，与招标投标有关的语言均使用中文。必要时专用术语应附有中文注释。</w:t>
      </w:r>
    </w:p>
    <w:p w14:paraId="6C05257A">
      <w:pPr>
        <w:adjustRightInd w:val="0"/>
        <w:snapToGrid w:val="0"/>
        <w:spacing w:line="500" w:lineRule="exact"/>
        <w:ind w:firstLine="482" w:firstLineChars="200"/>
        <w:rPr>
          <w:rFonts w:ascii="宋体" w:hAnsi="宋体" w:eastAsia="宋体" w:cs="宋体"/>
          <w:b/>
          <w:bCs/>
          <w:sz w:val="24"/>
          <w:szCs w:val="32"/>
          <w:highlight w:val="none"/>
        </w:rPr>
      </w:pPr>
      <w:r>
        <w:rPr>
          <w:rFonts w:hint="eastAsia" w:ascii="宋体" w:hAnsi="宋体" w:eastAsia="宋体" w:cs="宋体"/>
          <w:b/>
          <w:bCs/>
          <w:sz w:val="24"/>
          <w:szCs w:val="32"/>
          <w:highlight w:val="none"/>
        </w:rPr>
        <w:t>6、计量单位</w:t>
      </w:r>
    </w:p>
    <w:p w14:paraId="7B201BCD">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所有计量均采用中华人民共和国法定计量单位。</w:t>
      </w:r>
    </w:p>
    <w:p w14:paraId="2B23C320">
      <w:pPr>
        <w:adjustRightInd w:val="0"/>
        <w:snapToGrid w:val="0"/>
        <w:spacing w:line="500" w:lineRule="exact"/>
        <w:ind w:firstLine="482" w:firstLineChars="200"/>
        <w:rPr>
          <w:rFonts w:ascii="宋体" w:hAnsi="宋体" w:eastAsia="宋体" w:cs="宋体"/>
          <w:b/>
          <w:bCs/>
          <w:sz w:val="24"/>
          <w:szCs w:val="32"/>
          <w:highlight w:val="none"/>
        </w:rPr>
      </w:pPr>
      <w:r>
        <w:rPr>
          <w:rFonts w:hint="eastAsia" w:ascii="宋体" w:hAnsi="宋体" w:eastAsia="宋体" w:cs="宋体"/>
          <w:b/>
          <w:bCs/>
          <w:sz w:val="24"/>
          <w:szCs w:val="32"/>
          <w:highlight w:val="none"/>
        </w:rPr>
        <w:t>7、在采购活动中，采购人员及相关人员与供应商有下列利害关系之一的，应当回避：</w:t>
      </w:r>
    </w:p>
    <w:p w14:paraId="738D4263">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7.1参加采购活动前3年内与供应商存在劳动关系；</w:t>
      </w:r>
    </w:p>
    <w:p w14:paraId="5C0D7A00">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7.2参加采购活动前3年内担任供应商的董事、监事；</w:t>
      </w:r>
    </w:p>
    <w:p w14:paraId="38213AF6">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7.3参加采购活动前3年内是供应商的控股股东或者实际控制人；</w:t>
      </w:r>
    </w:p>
    <w:p w14:paraId="569676AD">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7.4与供应商的法定代表人或者负责人有夫妻、直系血亲、三代以内旁系血亲或者近姻亲关系；</w:t>
      </w:r>
    </w:p>
    <w:p w14:paraId="56C8652B">
      <w:pPr>
        <w:adjustRightInd w:val="0"/>
        <w:snapToGrid w:val="0"/>
        <w:spacing w:line="500" w:lineRule="exact"/>
        <w:ind w:firstLine="480" w:firstLineChars="200"/>
        <w:rPr>
          <w:rFonts w:hint="eastAsia" w:ascii="宋体" w:hAnsi="宋体" w:eastAsia="宋体" w:cs="宋体"/>
          <w:bCs/>
          <w:sz w:val="24"/>
          <w:szCs w:val="32"/>
          <w:highlight w:val="none"/>
        </w:rPr>
      </w:pPr>
      <w:r>
        <w:rPr>
          <w:rFonts w:hint="eastAsia" w:ascii="宋体" w:hAnsi="宋体" w:eastAsia="宋体" w:cs="宋体"/>
          <w:bCs/>
          <w:sz w:val="24"/>
          <w:szCs w:val="32"/>
          <w:highlight w:val="none"/>
        </w:rPr>
        <w:t>7.5与供应商有其他可能影响政府采购活动公平、公正进行的关系。</w:t>
      </w:r>
    </w:p>
    <w:p w14:paraId="0FB05E3B">
      <w:pPr>
        <w:bidi w:val="0"/>
      </w:pPr>
    </w:p>
    <w:p w14:paraId="54166582">
      <w:pPr>
        <w:pStyle w:val="5"/>
        <w:keepNext/>
        <w:keepLines/>
        <w:pageBreakBefore w:val="0"/>
        <w:widowControl w:val="0"/>
        <w:kinsoku/>
        <w:wordWrap/>
        <w:overflowPunct/>
        <w:topLinePunct w:val="0"/>
        <w:autoSpaceDE/>
        <w:autoSpaceDN/>
        <w:bidi w:val="0"/>
        <w:adjustRightInd/>
        <w:snapToGrid/>
        <w:spacing w:before="200" w:beforeLines="0" w:after="200" w:afterLines="0" w:line="500" w:lineRule="exact"/>
        <w:ind w:left="0" w:leftChars="0" w:right="0" w:rightChars="0" w:firstLine="0" w:firstLineChars="0"/>
        <w:jc w:val="center"/>
        <w:textAlignment w:val="auto"/>
        <w:outlineLvl w:val="2"/>
        <w:rPr>
          <w:sz w:val="28"/>
          <w:szCs w:val="28"/>
        </w:rPr>
      </w:pPr>
      <w:bookmarkStart w:id="14" w:name="_Toc811"/>
      <w:r>
        <w:rPr>
          <w:rFonts w:hint="eastAsia"/>
          <w:sz w:val="28"/>
          <w:szCs w:val="28"/>
        </w:rPr>
        <w:t>二、招标文件</w:t>
      </w:r>
      <w:bookmarkEnd w:id="14"/>
    </w:p>
    <w:p w14:paraId="0B36B746">
      <w:pPr>
        <w:adjustRightInd w:val="0"/>
        <w:snapToGrid w:val="0"/>
        <w:spacing w:line="500" w:lineRule="exact"/>
        <w:ind w:firstLine="482" w:firstLineChars="200"/>
        <w:rPr>
          <w:rFonts w:ascii="宋体" w:hAnsi="宋体" w:eastAsia="宋体" w:cs="宋体"/>
          <w:b/>
          <w:bCs/>
          <w:sz w:val="24"/>
          <w:szCs w:val="32"/>
          <w:highlight w:val="none"/>
        </w:rPr>
      </w:pPr>
      <w:r>
        <w:rPr>
          <w:rFonts w:hint="eastAsia" w:ascii="宋体" w:hAnsi="宋体" w:eastAsia="宋体" w:cs="宋体"/>
          <w:b/>
          <w:bCs/>
          <w:sz w:val="24"/>
          <w:szCs w:val="32"/>
          <w:highlight w:val="none"/>
        </w:rPr>
        <w:t>8、招标文件的构成</w:t>
      </w:r>
    </w:p>
    <w:p w14:paraId="23F4E6F7">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8.1招标文件由下述部分组成：</w:t>
      </w:r>
    </w:p>
    <w:p w14:paraId="71A71D09">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第一章招标公告</w:t>
      </w:r>
    </w:p>
    <w:p w14:paraId="4DC4A45F">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第二章投标人须知</w:t>
      </w:r>
    </w:p>
    <w:p w14:paraId="22C3AEA9">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第三章评标办法</w:t>
      </w:r>
    </w:p>
    <w:p w14:paraId="0C477230">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第四章项目要求</w:t>
      </w:r>
    </w:p>
    <w:p w14:paraId="5FDA1357">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第五章采购合同</w:t>
      </w:r>
    </w:p>
    <w:p w14:paraId="5C95FDCA">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第六章投标文件格式</w:t>
      </w:r>
    </w:p>
    <w:p w14:paraId="7182C3EE">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8.2招标文件的澄清及修改</w:t>
      </w:r>
    </w:p>
    <w:p w14:paraId="1DF5F71B">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8.2.1采购人或采购代理机构可以对已发出的招标文件进行必要澄清或者修改，但不得改变采购标的和资格条件。澄清或者修改在原公告发布媒体上发布澄清公告，该澄清或者修改的内容为招标文件的组成部分。</w:t>
      </w:r>
    </w:p>
    <w:p w14:paraId="6130FF3E">
      <w:pPr>
        <w:adjustRightInd w:val="0"/>
        <w:snapToGrid w:val="0"/>
        <w:spacing w:line="500" w:lineRule="exact"/>
        <w:ind w:firstLine="480" w:firstLineChars="200"/>
        <w:rPr>
          <w:rFonts w:hint="eastAsia" w:ascii="宋体" w:hAnsi="宋体" w:eastAsia="宋体" w:cs="宋体"/>
          <w:bCs/>
          <w:sz w:val="24"/>
          <w:szCs w:val="32"/>
          <w:highlight w:val="none"/>
        </w:rPr>
      </w:pPr>
      <w:r>
        <w:rPr>
          <w:rFonts w:hint="eastAsia" w:ascii="宋体" w:hAnsi="宋体" w:eastAsia="宋体" w:cs="宋体"/>
          <w:bCs/>
          <w:sz w:val="24"/>
          <w:szCs w:val="32"/>
          <w:highlight w:val="none"/>
        </w:rPr>
        <w:t>8.2.2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77B78E1F">
      <w:pPr>
        <w:bidi w:val="0"/>
      </w:pPr>
    </w:p>
    <w:p w14:paraId="063E5790">
      <w:pPr>
        <w:pStyle w:val="5"/>
        <w:keepNext/>
        <w:keepLines/>
        <w:pageBreakBefore w:val="0"/>
        <w:widowControl w:val="0"/>
        <w:kinsoku/>
        <w:wordWrap/>
        <w:overflowPunct/>
        <w:topLinePunct w:val="0"/>
        <w:autoSpaceDE/>
        <w:autoSpaceDN/>
        <w:bidi w:val="0"/>
        <w:adjustRightInd/>
        <w:snapToGrid/>
        <w:spacing w:before="200" w:beforeLines="0" w:after="200" w:afterLines="0" w:line="500" w:lineRule="exact"/>
        <w:ind w:left="0" w:leftChars="0" w:right="0" w:rightChars="0" w:firstLine="0" w:firstLineChars="0"/>
        <w:jc w:val="center"/>
        <w:textAlignment w:val="auto"/>
        <w:outlineLvl w:val="2"/>
        <w:rPr>
          <w:sz w:val="28"/>
          <w:szCs w:val="28"/>
        </w:rPr>
      </w:pPr>
      <w:bookmarkStart w:id="15" w:name="_Toc18769"/>
      <w:r>
        <w:rPr>
          <w:rFonts w:hint="eastAsia"/>
          <w:sz w:val="28"/>
          <w:szCs w:val="28"/>
        </w:rPr>
        <w:t>三、投标文件的编制</w:t>
      </w:r>
      <w:bookmarkEnd w:id="15"/>
    </w:p>
    <w:p w14:paraId="2ECF985F">
      <w:pPr>
        <w:adjustRightInd w:val="0"/>
        <w:snapToGrid w:val="0"/>
        <w:spacing w:line="500" w:lineRule="exact"/>
        <w:ind w:firstLine="482" w:firstLineChars="200"/>
        <w:rPr>
          <w:rFonts w:ascii="宋体" w:hAnsi="宋体" w:eastAsia="宋体" w:cs="宋体"/>
          <w:b/>
          <w:bCs/>
          <w:sz w:val="24"/>
          <w:szCs w:val="32"/>
          <w:highlight w:val="none"/>
        </w:rPr>
      </w:pPr>
      <w:r>
        <w:rPr>
          <w:rFonts w:hint="eastAsia" w:ascii="宋体" w:hAnsi="宋体" w:eastAsia="宋体" w:cs="宋体"/>
          <w:b/>
          <w:bCs/>
          <w:sz w:val="24"/>
          <w:szCs w:val="32"/>
          <w:highlight w:val="none"/>
        </w:rPr>
        <w:t>9、报价语言</w:t>
      </w:r>
    </w:p>
    <w:p w14:paraId="5C0FD94D">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投标文件以及投标人与采购人就本项目来往的函电均使用简体中文。投标人提供的外文资料应附有相应的中文译本，并以中文译本为准。原版为外文的证书类文件，以及由外国人做出的本人签名、外国公司的名称或外国印章等可以是外文，但应当提供中文翻译文件并加盖投标人公章。必要时评标委员会可以要求投标人提供附有公证书的中文翻译文件或者与原版文件签章相一致的中文翻译文件。</w:t>
      </w:r>
    </w:p>
    <w:p w14:paraId="63A2F726">
      <w:pPr>
        <w:adjustRightInd w:val="0"/>
        <w:snapToGrid w:val="0"/>
        <w:spacing w:line="500" w:lineRule="exact"/>
        <w:ind w:firstLine="482" w:firstLineChars="200"/>
        <w:rPr>
          <w:rFonts w:ascii="宋体" w:hAnsi="宋体" w:eastAsia="宋体" w:cs="宋体"/>
          <w:b/>
          <w:bCs/>
          <w:sz w:val="24"/>
          <w:szCs w:val="32"/>
          <w:highlight w:val="none"/>
        </w:rPr>
      </w:pPr>
      <w:r>
        <w:rPr>
          <w:rFonts w:hint="eastAsia" w:ascii="宋体" w:hAnsi="宋体" w:eastAsia="宋体" w:cs="宋体"/>
          <w:b/>
          <w:bCs/>
          <w:sz w:val="24"/>
          <w:szCs w:val="32"/>
          <w:highlight w:val="none"/>
        </w:rPr>
        <w:t>10、投标文件计量单位</w:t>
      </w:r>
    </w:p>
    <w:p w14:paraId="471F2DD1">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除在招标文件中另有规定外，计量单位均使用公制计量单位。</w:t>
      </w:r>
    </w:p>
    <w:p w14:paraId="1BF18371">
      <w:pPr>
        <w:adjustRightInd w:val="0"/>
        <w:snapToGrid w:val="0"/>
        <w:spacing w:line="500" w:lineRule="exact"/>
        <w:ind w:firstLine="482" w:firstLineChars="200"/>
        <w:rPr>
          <w:rFonts w:ascii="宋体" w:hAnsi="宋体" w:eastAsia="宋体" w:cs="宋体"/>
          <w:b/>
          <w:bCs/>
          <w:sz w:val="24"/>
          <w:szCs w:val="32"/>
          <w:highlight w:val="none"/>
        </w:rPr>
      </w:pPr>
      <w:r>
        <w:rPr>
          <w:rFonts w:hint="eastAsia" w:ascii="宋体" w:hAnsi="宋体" w:eastAsia="宋体" w:cs="宋体"/>
          <w:b/>
          <w:bCs/>
          <w:sz w:val="24"/>
          <w:szCs w:val="32"/>
          <w:highlight w:val="none"/>
        </w:rPr>
        <w:t>11、投标文件的组成</w:t>
      </w:r>
    </w:p>
    <w:p w14:paraId="1FEC6AC2">
      <w:pPr>
        <w:adjustRightInd w:val="0"/>
        <w:snapToGrid w:val="0"/>
        <w:spacing w:line="500" w:lineRule="exact"/>
        <w:ind w:firstLine="480" w:firstLineChars="200"/>
        <w:rPr>
          <w:rFonts w:hint="eastAsia" w:ascii="宋体" w:hAnsi="宋体" w:eastAsia="宋体" w:cs="宋体"/>
          <w:bCs/>
          <w:sz w:val="24"/>
          <w:szCs w:val="32"/>
          <w:highlight w:val="none"/>
        </w:rPr>
      </w:pPr>
      <w:r>
        <w:rPr>
          <w:rFonts w:hint="eastAsia" w:ascii="宋体" w:hAnsi="宋体" w:eastAsia="宋体" w:cs="宋体"/>
          <w:bCs/>
          <w:sz w:val="24"/>
          <w:szCs w:val="32"/>
          <w:highlight w:val="none"/>
        </w:rPr>
        <w:t>11.1本项目采用“双盲”评标方式，供应商在制作投标文件时，须按照招标文件要求制作包含商务标“明标”和技术标“暗标”的投标文件，投标文件包括下列部分：</w:t>
      </w:r>
    </w:p>
    <w:p w14:paraId="07B6C4E2">
      <w:pPr>
        <w:adjustRightInd w:val="0"/>
        <w:snapToGrid w:val="0"/>
        <w:spacing w:line="500" w:lineRule="exact"/>
        <w:ind w:firstLine="482" w:firstLineChars="200"/>
        <w:rPr>
          <w:rFonts w:hint="eastAsia" w:ascii="宋体" w:hAnsi="宋体" w:eastAsia="宋体" w:cs="宋体"/>
          <w:b/>
          <w:bCs w:val="0"/>
          <w:sz w:val="24"/>
          <w:szCs w:val="32"/>
          <w:highlight w:val="none"/>
        </w:rPr>
      </w:pPr>
      <w:r>
        <w:rPr>
          <w:rFonts w:hint="eastAsia" w:ascii="宋体" w:hAnsi="宋体" w:eastAsia="宋体" w:cs="宋体"/>
          <w:b/>
          <w:bCs w:val="0"/>
          <w:sz w:val="24"/>
          <w:szCs w:val="32"/>
          <w:highlight w:val="none"/>
          <w:lang w:val="en-US" w:eastAsia="zh-CN"/>
        </w:rPr>
        <w:t xml:space="preserve">第一部分 </w:t>
      </w:r>
      <w:r>
        <w:rPr>
          <w:rFonts w:hint="eastAsia" w:ascii="宋体" w:hAnsi="宋体" w:eastAsia="宋体" w:cs="宋体"/>
          <w:b/>
          <w:bCs w:val="0"/>
          <w:sz w:val="24"/>
          <w:szCs w:val="32"/>
          <w:highlight w:val="none"/>
        </w:rPr>
        <w:t>商务标部分</w:t>
      </w:r>
      <w:r>
        <w:rPr>
          <w:rFonts w:hint="eastAsia" w:ascii="宋体" w:hAnsi="宋体" w:eastAsia="宋体" w:cs="宋体"/>
          <w:b/>
          <w:bCs w:val="0"/>
          <w:sz w:val="24"/>
          <w:szCs w:val="32"/>
          <w:highlight w:val="none"/>
          <w:lang w:val="en-US" w:eastAsia="zh-CN"/>
        </w:rPr>
        <w:t>(明标)</w:t>
      </w:r>
    </w:p>
    <w:p w14:paraId="648FE4D6">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（1）投标函</w:t>
      </w:r>
    </w:p>
    <w:p w14:paraId="61B71C58">
      <w:pPr>
        <w:adjustRightInd w:val="0"/>
        <w:snapToGrid w:val="0"/>
        <w:spacing w:line="500" w:lineRule="exact"/>
        <w:ind w:firstLine="480" w:firstLineChars="200"/>
        <w:rPr>
          <w:rFonts w:hint="eastAsia" w:ascii="宋体" w:hAnsi="宋体" w:eastAsia="宋体" w:cs="宋体"/>
          <w:bCs/>
          <w:sz w:val="24"/>
          <w:szCs w:val="32"/>
          <w:highlight w:val="none"/>
          <w:lang w:val="en-US" w:eastAsia="zh-CN"/>
        </w:rPr>
      </w:pPr>
      <w:r>
        <w:rPr>
          <w:rFonts w:hint="eastAsia" w:ascii="宋体" w:hAnsi="宋体" w:eastAsia="宋体" w:cs="宋体"/>
          <w:bCs/>
          <w:sz w:val="24"/>
          <w:szCs w:val="32"/>
          <w:highlight w:val="none"/>
        </w:rPr>
        <w:t>（2）</w:t>
      </w:r>
      <w:r>
        <w:rPr>
          <w:rFonts w:hint="eastAsia" w:ascii="宋体" w:hAnsi="宋体" w:eastAsia="宋体" w:cs="宋体"/>
          <w:bCs/>
          <w:sz w:val="24"/>
          <w:szCs w:val="32"/>
          <w:highlight w:val="none"/>
          <w:lang w:val="en-US" w:eastAsia="zh-CN"/>
        </w:rPr>
        <w:t>报价部分</w:t>
      </w:r>
    </w:p>
    <w:p w14:paraId="4EBE8053">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（3）法定代表人身份证明书</w:t>
      </w:r>
    </w:p>
    <w:p w14:paraId="672BC2F2">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（4）法定代表人授权书</w:t>
      </w:r>
    </w:p>
    <w:p w14:paraId="25F1D644">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（5）投标承诺函</w:t>
      </w:r>
    </w:p>
    <w:p w14:paraId="295BCE9C">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（6）资格证明文件部分</w:t>
      </w:r>
    </w:p>
    <w:p w14:paraId="3F0C41FD">
      <w:pPr>
        <w:spacing w:line="54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综合部分</w:t>
      </w:r>
    </w:p>
    <w:p w14:paraId="5253246C">
      <w:pPr>
        <w:spacing w:line="54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政府采购供应商质量保证承诺函</w:t>
      </w:r>
    </w:p>
    <w:p w14:paraId="7B890A0B">
      <w:pPr>
        <w:spacing w:line="5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9</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投标人认为有必要的其他材料</w:t>
      </w:r>
    </w:p>
    <w:p w14:paraId="6B29ED35">
      <w:pPr>
        <w:adjustRightInd w:val="0"/>
        <w:snapToGrid w:val="0"/>
        <w:spacing w:line="500" w:lineRule="exact"/>
        <w:ind w:firstLine="482" w:firstLineChars="200"/>
        <w:rPr>
          <w:rFonts w:hint="eastAsia" w:ascii="宋体" w:hAnsi="宋体" w:eastAsia="宋体" w:cs="宋体"/>
          <w:b/>
          <w:bCs w:val="0"/>
          <w:sz w:val="24"/>
          <w:szCs w:val="32"/>
          <w:highlight w:val="none"/>
        </w:rPr>
      </w:pPr>
      <w:r>
        <w:rPr>
          <w:rFonts w:hint="eastAsia" w:ascii="宋体" w:hAnsi="宋体" w:eastAsia="宋体" w:cs="宋体"/>
          <w:b/>
          <w:bCs w:val="0"/>
          <w:sz w:val="24"/>
          <w:szCs w:val="32"/>
          <w:highlight w:val="none"/>
          <w:lang w:val="en-US" w:eastAsia="zh-CN"/>
        </w:rPr>
        <w:t xml:space="preserve">第二部分 </w:t>
      </w:r>
      <w:r>
        <w:rPr>
          <w:rFonts w:hint="eastAsia" w:ascii="宋体" w:hAnsi="宋体" w:eastAsia="宋体" w:cs="宋体"/>
          <w:b/>
          <w:bCs w:val="0"/>
          <w:sz w:val="24"/>
          <w:szCs w:val="32"/>
          <w:highlight w:val="none"/>
        </w:rPr>
        <w:t>技术标部分</w:t>
      </w:r>
      <w:r>
        <w:rPr>
          <w:rFonts w:hint="eastAsia" w:ascii="宋体" w:hAnsi="宋体" w:eastAsia="宋体" w:cs="宋体"/>
          <w:b/>
          <w:bCs w:val="0"/>
          <w:sz w:val="24"/>
          <w:szCs w:val="32"/>
          <w:highlight w:val="none"/>
          <w:lang w:eastAsia="zh-CN"/>
        </w:rPr>
        <w:t>（</w:t>
      </w:r>
      <w:r>
        <w:rPr>
          <w:rFonts w:hint="eastAsia" w:ascii="宋体" w:hAnsi="宋体" w:eastAsia="宋体" w:cs="宋体"/>
          <w:b/>
          <w:bCs w:val="0"/>
          <w:sz w:val="24"/>
          <w:szCs w:val="32"/>
          <w:highlight w:val="none"/>
          <w:lang w:val="en-US" w:eastAsia="zh-CN"/>
        </w:rPr>
        <w:t>暗标</w:t>
      </w:r>
      <w:r>
        <w:rPr>
          <w:rFonts w:hint="eastAsia" w:ascii="宋体" w:hAnsi="宋体" w:eastAsia="宋体" w:cs="宋体"/>
          <w:b/>
          <w:bCs w:val="0"/>
          <w:sz w:val="24"/>
          <w:szCs w:val="32"/>
          <w:highlight w:val="none"/>
          <w:lang w:eastAsia="zh-CN"/>
        </w:rPr>
        <w:t>）</w:t>
      </w:r>
    </w:p>
    <w:p w14:paraId="109ECF65">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w:t>
      </w:r>
      <w:r>
        <w:rPr>
          <w:rFonts w:hint="eastAsia" w:ascii="宋体" w:hAnsi="宋体" w:eastAsia="宋体" w:cs="宋体"/>
          <w:bCs/>
          <w:sz w:val="24"/>
          <w:szCs w:val="32"/>
          <w:highlight w:val="none"/>
          <w:lang w:val="en-US" w:eastAsia="zh-CN"/>
        </w:rPr>
        <w:t>1</w:t>
      </w:r>
      <w:r>
        <w:rPr>
          <w:rFonts w:hint="eastAsia" w:ascii="宋体" w:hAnsi="宋体" w:eastAsia="宋体" w:cs="宋体"/>
          <w:bCs/>
          <w:sz w:val="24"/>
          <w:szCs w:val="32"/>
          <w:highlight w:val="none"/>
        </w:rPr>
        <w:t>）技术部分</w:t>
      </w:r>
    </w:p>
    <w:p w14:paraId="62E5667A">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11.2投标文件的真实性</w:t>
      </w:r>
    </w:p>
    <w:p w14:paraId="0E3D5B8C">
      <w:pPr>
        <w:adjustRightInd w:val="0"/>
        <w:snapToGrid w:val="0"/>
        <w:spacing w:line="500" w:lineRule="exact"/>
        <w:ind w:firstLine="482" w:firstLineChars="200"/>
        <w:rPr>
          <w:rFonts w:ascii="宋体" w:hAnsi="宋体" w:eastAsia="宋体" w:cs="宋体"/>
          <w:bCs/>
          <w:sz w:val="24"/>
          <w:szCs w:val="32"/>
          <w:highlight w:val="none"/>
        </w:rPr>
      </w:pPr>
      <w:r>
        <w:rPr>
          <w:rFonts w:hint="eastAsia" w:ascii="宋体" w:hAnsi="宋体" w:eastAsia="宋体" w:cs="宋体"/>
          <w:b/>
          <w:bCs w:val="0"/>
          <w:sz w:val="24"/>
          <w:szCs w:val="32"/>
          <w:highlight w:val="none"/>
        </w:rPr>
        <w:t>投标人应仔细阅读招标文件的所有内容，按招标文件的要求提供投标文件，并保证所提供全部资料的真实性，且使其投标对招标文件作出实质性响应；否则，其投标按无效投标处理</w:t>
      </w:r>
      <w:r>
        <w:rPr>
          <w:rFonts w:hint="eastAsia" w:ascii="宋体" w:hAnsi="宋体" w:eastAsia="宋体" w:cs="宋体"/>
          <w:bCs/>
          <w:sz w:val="24"/>
          <w:szCs w:val="32"/>
          <w:highlight w:val="none"/>
        </w:rPr>
        <w:t>。</w:t>
      </w:r>
    </w:p>
    <w:p w14:paraId="4E775A3D">
      <w:pPr>
        <w:adjustRightInd w:val="0"/>
        <w:snapToGrid w:val="0"/>
        <w:spacing w:line="500" w:lineRule="exact"/>
        <w:ind w:firstLine="482" w:firstLineChars="200"/>
        <w:rPr>
          <w:rFonts w:ascii="宋体" w:hAnsi="宋体" w:eastAsia="宋体" w:cs="宋体"/>
          <w:b/>
          <w:bCs/>
          <w:sz w:val="24"/>
          <w:szCs w:val="32"/>
          <w:highlight w:val="none"/>
        </w:rPr>
      </w:pPr>
      <w:r>
        <w:rPr>
          <w:rFonts w:hint="eastAsia" w:ascii="宋体" w:hAnsi="宋体" w:eastAsia="宋体" w:cs="宋体"/>
          <w:b/>
          <w:bCs/>
          <w:sz w:val="24"/>
          <w:szCs w:val="32"/>
          <w:highlight w:val="none"/>
        </w:rPr>
        <w:t>12、投标报价</w:t>
      </w:r>
    </w:p>
    <w:p w14:paraId="099E480F">
      <w:pPr>
        <w:adjustRightInd w:val="0"/>
        <w:snapToGrid w:val="0"/>
        <w:spacing w:line="500" w:lineRule="exact"/>
        <w:ind w:firstLine="480" w:firstLineChars="200"/>
        <w:rPr>
          <w:rFonts w:hint="eastAsia" w:ascii="宋体" w:hAnsi="宋体" w:eastAsia="宋体" w:cs="宋体"/>
          <w:bCs/>
          <w:sz w:val="24"/>
          <w:szCs w:val="32"/>
          <w:highlight w:val="none"/>
        </w:rPr>
      </w:pPr>
      <w:r>
        <w:rPr>
          <w:rFonts w:hint="eastAsia" w:ascii="宋体" w:hAnsi="宋体" w:eastAsia="宋体" w:cs="宋体"/>
          <w:bCs/>
          <w:sz w:val="24"/>
          <w:szCs w:val="32"/>
          <w:highlight w:val="none"/>
        </w:rPr>
        <w:t>12.1投标人应按招标文件所附“开标一览表”的要求填写相应内容。</w:t>
      </w:r>
    </w:p>
    <w:p w14:paraId="5BA4C64E">
      <w:pPr>
        <w:adjustRightInd w:val="0"/>
        <w:snapToGrid w:val="0"/>
        <w:spacing w:line="500" w:lineRule="exact"/>
        <w:ind w:firstLine="480" w:firstLineChars="200"/>
        <w:rPr>
          <w:rFonts w:hint="eastAsia" w:ascii="宋体" w:hAnsi="宋体" w:eastAsia="宋体" w:cs="宋体"/>
          <w:bCs/>
          <w:sz w:val="24"/>
          <w:szCs w:val="32"/>
          <w:highlight w:val="none"/>
        </w:rPr>
      </w:pPr>
      <w:r>
        <w:rPr>
          <w:rFonts w:hint="eastAsia" w:ascii="宋体" w:hAnsi="宋体" w:eastAsia="宋体" w:cs="宋体"/>
          <w:bCs/>
          <w:sz w:val="24"/>
          <w:szCs w:val="32"/>
          <w:highlight w:val="none"/>
        </w:rPr>
        <w:t>12.2投标人必须对项目要求的全部货物及服务进行投标报价，只就其中部分货物及服务进行投标报价的，按无效投标处理。</w:t>
      </w:r>
    </w:p>
    <w:p w14:paraId="1C4BF526">
      <w:pPr>
        <w:adjustRightInd w:val="0"/>
        <w:snapToGrid w:val="0"/>
        <w:spacing w:line="500" w:lineRule="exact"/>
        <w:ind w:firstLine="480" w:firstLineChars="200"/>
        <w:rPr>
          <w:rFonts w:hint="eastAsia" w:ascii="宋体" w:hAnsi="宋体" w:eastAsia="宋体" w:cs="宋体"/>
          <w:bCs/>
          <w:sz w:val="24"/>
          <w:szCs w:val="32"/>
          <w:highlight w:val="none"/>
        </w:rPr>
      </w:pPr>
      <w:r>
        <w:rPr>
          <w:rFonts w:hint="eastAsia" w:ascii="宋体" w:hAnsi="宋体" w:eastAsia="宋体" w:cs="宋体"/>
          <w:bCs/>
          <w:sz w:val="24"/>
          <w:szCs w:val="32"/>
          <w:highlight w:val="none"/>
        </w:rPr>
        <w:t>12.3投标人的投标报价应</w:t>
      </w:r>
      <w:r>
        <w:rPr>
          <w:rFonts w:hint="eastAsia" w:ascii="宋体" w:hAnsi="宋体" w:eastAsia="宋体" w:cs="宋体"/>
          <w:bCs/>
          <w:sz w:val="24"/>
          <w:szCs w:val="32"/>
          <w:highlight w:val="none"/>
          <w:lang w:val="en-US" w:eastAsia="zh-CN"/>
        </w:rPr>
        <w:t>中包含人工、餐饮、住宿、交通、材料工具、管理、服装费、装备费、保险费、培训费、利润及税费等产生的所有费用</w:t>
      </w:r>
      <w:r>
        <w:rPr>
          <w:rFonts w:hint="eastAsia" w:ascii="宋体" w:hAnsi="宋体" w:eastAsia="宋体" w:cs="宋体"/>
          <w:bCs/>
          <w:sz w:val="24"/>
          <w:szCs w:val="32"/>
          <w:highlight w:val="none"/>
        </w:rPr>
        <w:t>。投标人的投标报价高于招标文件规定的政府采购预算价或者最高投标限价的按无效投标处理。</w:t>
      </w:r>
    </w:p>
    <w:p w14:paraId="03A284E6">
      <w:pPr>
        <w:adjustRightInd w:val="0"/>
        <w:snapToGrid w:val="0"/>
        <w:spacing w:line="500" w:lineRule="exact"/>
        <w:ind w:firstLine="480" w:firstLineChars="200"/>
        <w:rPr>
          <w:rFonts w:hint="eastAsia" w:ascii="宋体" w:hAnsi="宋体" w:eastAsia="宋体" w:cs="宋体"/>
          <w:bCs/>
          <w:sz w:val="24"/>
          <w:szCs w:val="32"/>
          <w:highlight w:val="none"/>
        </w:rPr>
      </w:pPr>
      <w:r>
        <w:rPr>
          <w:rFonts w:hint="eastAsia" w:ascii="宋体" w:hAnsi="宋体" w:eastAsia="宋体" w:cs="宋体"/>
          <w:bCs/>
          <w:sz w:val="24"/>
          <w:szCs w:val="32"/>
          <w:highlight w:val="none"/>
        </w:rPr>
        <w:t>12.4投标人对每种货物</w:t>
      </w:r>
      <w:r>
        <w:rPr>
          <w:rFonts w:hint="eastAsia" w:ascii="宋体" w:hAnsi="宋体" w:eastAsia="宋体" w:cs="宋体"/>
          <w:bCs/>
          <w:sz w:val="24"/>
          <w:szCs w:val="32"/>
          <w:highlight w:val="none"/>
          <w:lang w:eastAsia="zh-CN"/>
        </w:rPr>
        <w:t>（</w:t>
      </w:r>
      <w:r>
        <w:rPr>
          <w:rFonts w:hint="eastAsia" w:ascii="宋体" w:hAnsi="宋体" w:eastAsia="宋体" w:cs="宋体"/>
          <w:bCs/>
          <w:sz w:val="24"/>
          <w:szCs w:val="32"/>
          <w:highlight w:val="none"/>
          <w:lang w:val="en-US" w:eastAsia="zh-CN"/>
        </w:rPr>
        <w:t>服务）</w:t>
      </w:r>
      <w:r>
        <w:rPr>
          <w:rFonts w:hint="eastAsia" w:ascii="宋体" w:hAnsi="宋体" w:eastAsia="宋体" w:cs="宋体"/>
          <w:bCs/>
          <w:sz w:val="24"/>
          <w:szCs w:val="32"/>
          <w:highlight w:val="none"/>
        </w:rPr>
        <w:t>只允许有一个报价，采购人不接受有任何选择报价的投标。</w:t>
      </w:r>
    </w:p>
    <w:p w14:paraId="5EDB8F1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482" w:firstLineChars="200"/>
        <w:jc w:val="both"/>
        <w:textAlignment w:val="auto"/>
        <w:outlineLvl w:val="9"/>
        <w:rPr>
          <w:rFonts w:hint="eastAsia" w:ascii="宋体" w:hAnsi="宋体" w:eastAsia="宋体" w:cs="宋体"/>
          <w:b/>
          <w:bCs w:val="0"/>
          <w:snapToGrid/>
          <w:color w:val="auto"/>
          <w:kern w:val="2"/>
          <w:sz w:val="24"/>
          <w:szCs w:val="24"/>
          <w:highlight w:val="none"/>
          <w:lang w:val="en-US" w:eastAsia="zh-CN" w:bidi="ar-SA"/>
        </w:rPr>
      </w:pPr>
      <w:r>
        <w:rPr>
          <w:rFonts w:hint="eastAsia" w:ascii="宋体" w:hAnsi="宋体" w:eastAsia="宋体" w:cs="宋体"/>
          <w:b/>
          <w:bCs w:val="0"/>
          <w:sz w:val="24"/>
          <w:szCs w:val="32"/>
          <w:highlight w:val="none"/>
        </w:rPr>
        <w:t>12.5</w:t>
      </w:r>
      <w:r>
        <w:rPr>
          <w:rFonts w:hint="eastAsia" w:ascii="宋体" w:hAnsi="宋体" w:eastAsia="宋体" w:cs="宋体"/>
          <w:b/>
          <w:bCs w:val="0"/>
          <w:snapToGrid/>
          <w:color w:val="auto"/>
          <w:kern w:val="2"/>
          <w:sz w:val="24"/>
          <w:szCs w:val="24"/>
          <w:highlight w:val="none"/>
          <w:lang w:val="en-US" w:eastAsia="zh-CN" w:bidi="ar-SA"/>
        </w:rPr>
        <w:t>采购异常低价审查</w:t>
      </w:r>
    </w:p>
    <w:p w14:paraId="3D43CB8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482" w:firstLineChars="200"/>
        <w:jc w:val="both"/>
        <w:textAlignment w:val="auto"/>
        <w:outlineLvl w:val="9"/>
        <w:rPr>
          <w:rFonts w:hint="eastAsia" w:ascii="宋体" w:hAnsi="宋体" w:eastAsia="宋体" w:cs="宋体"/>
          <w:b/>
          <w:bCs/>
          <w:snapToGrid/>
          <w:color w:val="auto"/>
          <w:kern w:val="2"/>
          <w:sz w:val="24"/>
          <w:szCs w:val="24"/>
          <w:highlight w:val="none"/>
          <w:lang w:val="en-US" w:eastAsia="zh-CN" w:bidi="ar-SA"/>
        </w:rPr>
      </w:pPr>
      <w:r>
        <w:rPr>
          <w:rFonts w:hint="eastAsia" w:ascii="宋体" w:hAnsi="宋体" w:eastAsia="宋体" w:cs="宋体"/>
          <w:b/>
          <w:bCs/>
          <w:snapToGrid/>
          <w:color w:val="auto"/>
          <w:kern w:val="2"/>
          <w:sz w:val="24"/>
          <w:szCs w:val="24"/>
          <w:highlight w:val="none"/>
          <w:lang w:val="en-US" w:eastAsia="zh-CN" w:bidi="ar-SA"/>
        </w:rPr>
        <w:t>根据财政部《关于推动解决政府采购异常低价问题的通知》（财库〔2026〕2号）的规定，政府采购评审中出现下列情形之一的，评标委员会应当启动异常低价投标审查程序：</w:t>
      </w:r>
    </w:p>
    <w:p w14:paraId="0E0F8A1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482" w:firstLineChars="200"/>
        <w:jc w:val="both"/>
        <w:textAlignment w:val="auto"/>
        <w:outlineLvl w:val="9"/>
        <w:rPr>
          <w:rFonts w:hint="eastAsia" w:ascii="宋体" w:hAnsi="宋体" w:eastAsia="宋体" w:cs="宋体"/>
          <w:b/>
          <w:bCs/>
          <w:snapToGrid/>
          <w:color w:val="auto"/>
          <w:kern w:val="2"/>
          <w:sz w:val="24"/>
          <w:szCs w:val="24"/>
          <w:highlight w:val="none"/>
          <w:lang w:val="en-US" w:eastAsia="zh-CN" w:bidi="ar-SA"/>
        </w:rPr>
      </w:pPr>
      <w:r>
        <w:rPr>
          <w:rFonts w:hint="eastAsia" w:ascii="宋体" w:hAnsi="宋体" w:eastAsia="宋体" w:cs="宋体"/>
          <w:b/>
          <w:bCs/>
          <w:snapToGrid/>
          <w:color w:val="auto"/>
          <w:kern w:val="2"/>
          <w:sz w:val="24"/>
          <w:szCs w:val="24"/>
          <w:highlight w:val="none"/>
          <w:lang w:val="en-US" w:eastAsia="zh-CN" w:bidi="ar-SA"/>
        </w:rPr>
        <w:t>（1）投标报价低于全部通过符合性审查供应商投标报价平均值50%的，即投标报价&lt;全部通过符合性审查供应商投标报价平均值×50%；</w:t>
      </w:r>
    </w:p>
    <w:p w14:paraId="3D8520C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482" w:firstLineChars="200"/>
        <w:jc w:val="both"/>
        <w:textAlignment w:val="auto"/>
        <w:outlineLvl w:val="9"/>
        <w:rPr>
          <w:rFonts w:hint="eastAsia" w:ascii="宋体" w:hAnsi="宋体" w:eastAsia="宋体" w:cs="宋体"/>
          <w:b/>
          <w:bCs/>
          <w:snapToGrid/>
          <w:color w:val="auto"/>
          <w:kern w:val="2"/>
          <w:sz w:val="24"/>
          <w:szCs w:val="24"/>
          <w:highlight w:val="none"/>
          <w:lang w:val="en-US" w:eastAsia="zh-CN" w:bidi="ar-SA"/>
        </w:rPr>
      </w:pPr>
      <w:r>
        <w:rPr>
          <w:rFonts w:hint="eastAsia" w:ascii="宋体" w:hAnsi="宋体" w:eastAsia="宋体" w:cs="宋体"/>
          <w:b/>
          <w:bCs/>
          <w:snapToGrid/>
          <w:color w:val="auto"/>
          <w:kern w:val="2"/>
          <w:sz w:val="24"/>
          <w:szCs w:val="24"/>
          <w:highlight w:val="none"/>
          <w:lang w:val="en-US" w:eastAsia="zh-CN" w:bidi="ar-SA"/>
        </w:rPr>
        <w:t>（2）投标报价低于通过符合性审查的次低报价供应商投标报价50%的，即投标报价&lt;通过符合性审查的次低报价供应商投标报价×50%；</w:t>
      </w:r>
    </w:p>
    <w:p w14:paraId="5B65C0F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482" w:firstLineChars="200"/>
        <w:jc w:val="both"/>
        <w:textAlignment w:val="auto"/>
        <w:outlineLvl w:val="9"/>
        <w:rPr>
          <w:rFonts w:hint="eastAsia" w:ascii="宋体" w:hAnsi="宋体" w:eastAsia="宋体" w:cs="宋体"/>
          <w:b/>
          <w:bCs/>
          <w:snapToGrid/>
          <w:color w:val="auto"/>
          <w:kern w:val="2"/>
          <w:sz w:val="24"/>
          <w:szCs w:val="24"/>
          <w:highlight w:val="none"/>
          <w:lang w:val="en-US" w:eastAsia="zh-CN" w:bidi="ar-SA"/>
        </w:rPr>
      </w:pPr>
      <w:r>
        <w:rPr>
          <w:rFonts w:hint="eastAsia" w:ascii="宋体" w:hAnsi="宋体" w:eastAsia="宋体" w:cs="宋体"/>
          <w:b/>
          <w:bCs/>
          <w:snapToGrid/>
          <w:color w:val="auto"/>
          <w:kern w:val="2"/>
          <w:sz w:val="24"/>
          <w:szCs w:val="24"/>
          <w:highlight w:val="none"/>
          <w:lang w:val="en-US" w:eastAsia="zh-CN" w:bidi="ar-SA"/>
        </w:rPr>
        <w:t>（3）投标报价低于采购项目采购预算45%的，即投标报价&lt;采购项目采购预算×45%；</w:t>
      </w:r>
    </w:p>
    <w:p w14:paraId="11B20BA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482" w:firstLineChars="200"/>
        <w:jc w:val="both"/>
        <w:textAlignment w:val="auto"/>
        <w:outlineLvl w:val="9"/>
        <w:rPr>
          <w:rFonts w:hint="eastAsia" w:ascii="宋体" w:hAnsi="宋体" w:eastAsia="宋体" w:cs="宋体"/>
          <w:b/>
          <w:bCs/>
          <w:snapToGrid/>
          <w:color w:val="auto"/>
          <w:kern w:val="2"/>
          <w:sz w:val="24"/>
          <w:szCs w:val="24"/>
          <w:highlight w:val="none"/>
          <w:lang w:val="en-US" w:eastAsia="zh-CN" w:bidi="ar-SA"/>
        </w:rPr>
      </w:pPr>
      <w:r>
        <w:rPr>
          <w:rFonts w:hint="eastAsia" w:ascii="宋体" w:hAnsi="宋体" w:eastAsia="宋体" w:cs="宋体"/>
          <w:b/>
          <w:bCs/>
          <w:snapToGrid/>
          <w:color w:val="auto"/>
          <w:kern w:val="2"/>
          <w:sz w:val="24"/>
          <w:szCs w:val="24"/>
          <w:highlight w:val="none"/>
          <w:lang w:val="en-US" w:eastAsia="zh-CN" w:bidi="ar-SA"/>
        </w:rPr>
        <w:t>（4）评标委员会基于专业判断，认为供应商报价过低，有可能影响产品质量或者不能诚信履约的其他情形。</w:t>
      </w:r>
    </w:p>
    <w:p w14:paraId="506557A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482" w:firstLineChars="200"/>
        <w:jc w:val="both"/>
        <w:textAlignment w:val="auto"/>
        <w:outlineLvl w:val="9"/>
        <w:rPr>
          <w:rFonts w:hint="eastAsia" w:ascii="宋体" w:hAnsi="宋体" w:eastAsia="宋体" w:cs="宋体"/>
          <w:b/>
          <w:bCs/>
          <w:snapToGrid/>
          <w:color w:val="auto"/>
          <w:kern w:val="2"/>
          <w:sz w:val="24"/>
          <w:szCs w:val="24"/>
          <w:highlight w:val="none"/>
          <w:lang w:val="en-US" w:eastAsia="zh-CN" w:bidi="ar-SA"/>
        </w:rPr>
      </w:pPr>
      <w:r>
        <w:rPr>
          <w:rFonts w:hint="eastAsia" w:ascii="宋体" w:hAnsi="宋体" w:eastAsia="宋体" w:cs="宋体"/>
          <w:b/>
          <w:bCs/>
          <w:snapToGrid/>
          <w:color w:val="auto"/>
          <w:kern w:val="2"/>
          <w:sz w:val="24"/>
          <w:szCs w:val="24"/>
          <w:highlight w:val="none"/>
          <w:lang w:val="en-US" w:eastAsia="zh-CN" w:bidi="ar-SA"/>
        </w:rPr>
        <w:t>评标委员会启动异常低价响应审查后，属于前述第(1)项至第(4)项情形的，应当要求相关供应商在评审现场合理的时间内对响应价格作出解释，提供项目具体成本测算等与报价合理性相关的书面说明及必要的证明材料，包括但不限于人工成本、洗涤材料费用、税收等，其中，属于第(3)项情形，供应商已随响应文件一并提交相关书面说明及必要的证明材料的，在评审现场可不再重复提交。</w:t>
      </w:r>
    </w:p>
    <w:p w14:paraId="1D5514E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482" w:firstLineChars="200"/>
        <w:jc w:val="both"/>
        <w:textAlignment w:val="auto"/>
        <w:outlineLvl w:val="9"/>
        <w:rPr>
          <w:rFonts w:ascii="宋体" w:hAnsi="宋体" w:eastAsia="宋体" w:cs="宋体"/>
          <w:bCs/>
          <w:sz w:val="24"/>
          <w:szCs w:val="32"/>
          <w:highlight w:val="none"/>
        </w:rPr>
      </w:pPr>
      <w:r>
        <w:rPr>
          <w:rFonts w:hint="eastAsia" w:ascii="宋体" w:hAnsi="宋体" w:eastAsia="宋体" w:cs="宋体"/>
          <w:b/>
          <w:bCs/>
          <w:snapToGrid/>
          <w:color w:val="auto"/>
          <w:kern w:val="2"/>
          <w:sz w:val="24"/>
          <w:szCs w:val="24"/>
          <w:highlight w:val="none"/>
          <w:lang w:val="en-US" w:eastAsia="zh-CN" w:bidi="ar-SA"/>
        </w:rPr>
        <w:t>评标委员会依据专业经验，参考同类项目中标（成交）价格、类似服务市场价格水平、行业人工费用标准、国家有关部门指导行业协会发布的行业平均成本等情况，对报价合理性进行判断。供应商不能提供书面说明、证明材料，或者提供的书面说明、证明材料不能证明其报价合理性的，评标委员会应当将其作为无效投标处理。</w:t>
      </w:r>
    </w:p>
    <w:p w14:paraId="40427218">
      <w:pPr>
        <w:adjustRightInd w:val="0"/>
        <w:snapToGrid w:val="0"/>
        <w:spacing w:line="500" w:lineRule="exact"/>
        <w:ind w:firstLine="482" w:firstLineChars="200"/>
        <w:rPr>
          <w:rFonts w:ascii="宋体" w:hAnsi="宋体" w:eastAsia="宋体" w:cs="宋体"/>
          <w:b/>
          <w:bCs/>
          <w:sz w:val="24"/>
          <w:szCs w:val="32"/>
          <w:highlight w:val="none"/>
        </w:rPr>
      </w:pPr>
      <w:r>
        <w:rPr>
          <w:rFonts w:hint="eastAsia" w:ascii="宋体" w:hAnsi="宋体" w:eastAsia="宋体" w:cs="宋体"/>
          <w:b/>
          <w:bCs/>
          <w:sz w:val="24"/>
          <w:szCs w:val="32"/>
          <w:highlight w:val="none"/>
        </w:rPr>
        <w:t>13、报价货币</w:t>
      </w:r>
    </w:p>
    <w:p w14:paraId="45CE4BED">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除非另有规定，投标人提供的所有货物及服务用人民币报价。</w:t>
      </w:r>
    </w:p>
    <w:p w14:paraId="01FF3CB2">
      <w:pPr>
        <w:adjustRightInd w:val="0"/>
        <w:snapToGrid w:val="0"/>
        <w:spacing w:line="500" w:lineRule="exact"/>
        <w:ind w:firstLine="482" w:firstLineChars="200"/>
        <w:rPr>
          <w:rFonts w:ascii="宋体" w:hAnsi="宋体" w:eastAsia="宋体" w:cs="宋体"/>
          <w:b/>
          <w:bCs/>
          <w:sz w:val="24"/>
          <w:szCs w:val="32"/>
          <w:highlight w:val="none"/>
        </w:rPr>
      </w:pPr>
      <w:r>
        <w:rPr>
          <w:rFonts w:hint="eastAsia" w:ascii="宋体" w:hAnsi="宋体" w:eastAsia="宋体" w:cs="宋体"/>
          <w:b/>
          <w:bCs/>
          <w:sz w:val="24"/>
          <w:szCs w:val="32"/>
          <w:highlight w:val="none"/>
        </w:rPr>
        <w:t>14、投标有效期</w:t>
      </w:r>
    </w:p>
    <w:p w14:paraId="201EB72C">
      <w:pPr>
        <w:adjustRightInd w:val="0"/>
        <w:snapToGrid w:val="0"/>
        <w:spacing w:line="500" w:lineRule="exact"/>
        <w:ind w:firstLine="480" w:firstLineChars="200"/>
        <w:rPr>
          <w:rFonts w:ascii="宋体" w:hAnsi="宋体" w:eastAsia="宋体" w:cs="宋体"/>
          <w:b/>
          <w:bCs w:val="0"/>
          <w:sz w:val="24"/>
          <w:szCs w:val="32"/>
          <w:highlight w:val="none"/>
        </w:rPr>
      </w:pPr>
      <w:r>
        <w:rPr>
          <w:rFonts w:hint="eastAsia" w:ascii="宋体" w:hAnsi="宋体" w:eastAsia="宋体" w:cs="宋体"/>
          <w:bCs/>
          <w:sz w:val="24"/>
          <w:szCs w:val="32"/>
          <w:highlight w:val="none"/>
        </w:rPr>
        <w:t>14.1投标有效期为提交投标文件截止之日起60日历天。</w:t>
      </w:r>
      <w:r>
        <w:rPr>
          <w:rFonts w:hint="eastAsia" w:ascii="宋体" w:hAnsi="宋体" w:eastAsia="宋体" w:cs="宋体"/>
          <w:b/>
          <w:bCs w:val="0"/>
          <w:sz w:val="24"/>
          <w:szCs w:val="32"/>
          <w:highlight w:val="none"/>
        </w:rPr>
        <w:t>投标有效期不足的将被视为无效投标而予以拒绝；在投标有效期内，投标人不得要求撤销或修改其投标文件。</w:t>
      </w:r>
    </w:p>
    <w:p w14:paraId="5FEA50EA">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14.2出现特殊情况需要延长投标有效期的，采购代理机构以书面形式通知所有投标人延长投标有效期。投标人同意延长的，应相应延长其投标资料的有效期，但不得要求或被允许修改或撤销其投标文件；投标人拒绝延长的，其投标失效。</w:t>
      </w:r>
    </w:p>
    <w:p w14:paraId="4BB7D38D">
      <w:pPr>
        <w:adjustRightInd w:val="0"/>
        <w:snapToGrid w:val="0"/>
        <w:spacing w:line="500" w:lineRule="exact"/>
        <w:ind w:firstLine="482" w:firstLineChars="200"/>
        <w:rPr>
          <w:rFonts w:ascii="宋体" w:hAnsi="宋体" w:eastAsia="宋体" w:cs="宋体"/>
          <w:b/>
          <w:bCs/>
          <w:sz w:val="24"/>
          <w:szCs w:val="32"/>
          <w:highlight w:val="none"/>
        </w:rPr>
      </w:pPr>
      <w:r>
        <w:rPr>
          <w:rFonts w:hint="eastAsia" w:ascii="宋体" w:hAnsi="宋体" w:eastAsia="宋体" w:cs="宋体"/>
          <w:b/>
          <w:bCs/>
          <w:sz w:val="24"/>
          <w:szCs w:val="32"/>
          <w:highlight w:val="none"/>
        </w:rPr>
        <w:t>15、投标承诺函</w:t>
      </w:r>
    </w:p>
    <w:p w14:paraId="289179C0">
      <w:pPr>
        <w:adjustRightInd w:val="0"/>
        <w:snapToGrid w:val="0"/>
        <w:spacing w:line="500" w:lineRule="exact"/>
        <w:ind w:firstLine="480" w:firstLineChars="200"/>
        <w:rPr>
          <w:rFonts w:ascii="宋体" w:hAnsi="宋体" w:eastAsia="宋体" w:cs="宋体"/>
          <w:b/>
          <w:bCs w:val="0"/>
          <w:sz w:val="24"/>
          <w:szCs w:val="32"/>
          <w:highlight w:val="none"/>
        </w:rPr>
      </w:pPr>
      <w:r>
        <w:rPr>
          <w:rFonts w:hint="eastAsia" w:ascii="宋体" w:hAnsi="宋体" w:eastAsia="宋体" w:cs="宋体"/>
          <w:bCs/>
          <w:sz w:val="24"/>
          <w:szCs w:val="32"/>
          <w:highlight w:val="none"/>
        </w:rPr>
        <w:t>15.1</w:t>
      </w:r>
      <w:r>
        <w:rPr>
          <w:rFonts w:hint="eastAsia" w:ascii="宋体" w:hAnsi="宋体" w:eastAsia="宋体" w:cs="宋体"/>
          <w:b/>
          <w:bCs w:val="0"/>
          <w:sz w:val="24"/>
          <w:szCs w:val="32"/>
          <w:highlight w:val="none"/>
        </w:rPr>
        <w:t>投标人应按投标人须知前附表的规定递交投标承诺函，并作为投标文件的组成部分。不提供或者提供不全的按无效投标处理。</w:t>
      </w:r>
    </w:p>
    <w:p w14:paraId="673B3988">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15.2投标人有以下违法行为的，采购人有权取消其中标资格，并按法律法规及招标文件规定视情况对其进行相应处罚：如由财政部门列入不良行为记录名单，禁止参加政府采购活动、承担相应法律责任等，并纳入统一的信用信息平台。</w:t>
      </w:r>
    </w:p>
    <w:p w14:paraId="4D9A1EC8">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（1）在招标文件规定的投标有效期内未经采购人书面许可撤回投标文件的；</w:t>
      </w:r>
    </w:p>
    <w:p w14:paraId="6BE9E543">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（2）中标后未在招标文件规定的时间内领取中标通知书或领取中标通知书后无正当理由拒不与采购人签订采购合同的；</w:t>
      </w:r>
    </w:p>
    <w:p w14:paraId="24739303">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（3）在诚信库入库、参与投标过程中提供虚假材料、恶意串通、捏造事实或者以非法手段取得证明材料进行质疑、投诉的；</w:t>
      </w:r>
    </w:p>
    <w:p w14:paraId="60241E98">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（4）违反法律法规及招标文件规定的其他情形。</w:t>
      </w:r>
    </w:p>
    <w:p w14:paraId="09256672">
      <w:pPr>
        <w:adjustRightInd w:val="0"/>
        <w:snapToGrid w:val="0"/>
        <w:spacing w:line="500" w:lineRule="exact"/>
        <w:ind w:firstLine="482" w:firstLineChars="200"/>
        <w:rPr>
          <w:rFonts w:ascii="宋体" w:hAnsi="宋体" w:eastAsia="宋体" w:cs="宋体"/>
          <w:b/>
          <w:bCs/>
          <w:sz w:val="24"/>
          <w:szCs w:val="32"/>
          <w:highlight w:val="none"/>
        </w:rPr>
      </w:pPr>
      <w:r>
        <w:rPr>
          <w:rFonts w:hint="eastAsia" w:ascii="宋体" w:hAnsi="宋体" w:eastAsia="宋体" w:cs="宋体"/>
          <w:b/>
          <w:bCs/>
          <w:sz w:val="24"/>
          <w:szCs w:val="32"/>
          <w:highlight w:val="none"/>
        </w:rPr>
        <w:t>16、投标文件的格式和文件签署</w:t>
      </w:r>
    </w:p>
    <w:p w14:paraId="0DB31757">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16.1</w:t>
      </w:r>
      <w:r>
        <w:rPr>
          <w:rFonts w:hint="eastAsia" w:ascii="宋体" w:hAnsi="宋体" w:eastAsia="宋体" w:cs="宋体"/>
          <w:b/>
          <w:bCs w:val="0"/>
          <w:sz w:val="24"/>
          <w:szCs w:val="32"/>
          <w:highlight w:val="none"/>
        </w:rPr>
        <w:t>加密的电子投标文件壹份(*jytf格式，在济源市电子招投标交易平台指定位置上传)；</w:t>
      </w:r>
    </w:p>
    <w:p w14:paraId="07CF0A48">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16.2电子投标文件中的图片等资料应清晰可辨，否则因无法辨认所导致的一切后果由投标人自行承担。</w:t>
      </w:r>
    </w:p>
    <w:p w14:paraId="3DD56942">
      <w:pPr>
        <w:spacing w:line="540" w:lineRule="exact"/>
        <w:ind w:firstLine="482" w:firstLineChars="200"/>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rPr>
        <w:t>16.3招标文件“第</w:t>
      </w:r>
      <w:r>
        <w:rPr>
          <w:rFonts w:hint="eastAsia" w:ascii="宋体" w:hAnsi="宋体" w:eastAsia="宋体" w:cs="宋体"/>
          <w:b/>
          <w:bCs/>
          <w:sz w:val="24"/>
          <w:szCs w:val="24"/>
          <w:highlight w:val="none"/>
          <w:lang w:val="en-US" w:eastAsia="zh-CN"/>
        </w:rPr>
        <w:t>六</w:t>
      </w:r>
      <w:r>
        <w:rPr>
          <w:rFonts w:hint="eastAsia" w:ascii="宋体" w:hAnsi="宋体" w:eastAsia="宋体" w:cs="宋体"/>
          <w:b/>
          <w:bCs/>
          <w:sz w:val="24"/>
          <w:szCs w:val="24"/>
          <w:highlight w:val="none"/>
        </w:rPr>
        <w:t>章投标文件格式”商务标部分中供应商单位盖章处均应盖单位电子公章。投标文件格式中所有法定代表人签字（或盖章）处均应盖法定代表人电子签名或电子印章，否则将作为无效投标处理。技术标部分不进行签章，且不能出现任何相关单位、法人等的签章。</w:t>
      </w:r>
    </w:p>
    <w:p w14:paraId="11DE3967">
      <w:pPr>
        <w:adjustRightInd w:val="0"/>
        <w:snapToGrid w:val="0"/>
        <w:spacing w:line="500" w:lineRule="exact"/>
        <w:ind w:firstLine="480" w:firstLineChars="200"/>
        <w:rPr>
          <w:rFonts w:hint="eastAsia" w:ascii="宋体" w:hAnsi="宋体" w:eastAsia="宋体" w:cs="宋体"/>
          <w:bCs/>
          <w:sz w:val="24"/>
          <w:szCs w:val="32"/>
          <w:highlight w:val="none"/>
        </w:rPr>
      </w:pPr>
      <w:r>
        <w:rPr>
          <w:rFonts w:hint="eastAsia" w:ascii="宋体" w:hAnsi="宋体" w:eastAsia="宋体" w:cs="宋体"/>
          <w:bCs/>
          <w:sz w:val="24"/>
          <w:szCs w:val="32"/>
          <w:highlight w:val="none"/>
        </w:rPr>
        <w:t>16.4纸质、电报、电传和传真形式的投标文件一律不接受。</w:t>
      </w:r>
    </w:p>
    <w:p w14:paraId="0373E2AF">
      <w:pPr>
        <w:bidi w:val="0"/>
      </w:pPr>
    </w:p>
    <w:p w14:paraId="3416A450">
      <w:pPr>
        <w:pStyle w:val="5"/>
        <w:keepNext/>
        <w:keepLines/>
        <w:pageBreakBefore w:val="0"/>
        <w:widowControl w:val="0"/>
        <w:kinsoku/>
        <w:wordWrap/>
        <w:overflowPunct/>
        <w:topLinePunct w:val="0"/>
        <w:autoSpaceDE/>
        <w:autoSpaceDN/>
        <w:bidi w:val="0"/>
        <w:adjustRightInd/>
        <w:snapToGrid/>
        <w:spacing w:before="200" w:beforeLines="0" w:after="200" w:afterLines="0" w:line="500" w:lineRule="exact"/>
        <w:ind w:left="0" w:leftChars="0" w:right="0" w:rightChars="0" w:firstLine="0" w:firstLineChars="0"/>
        <w:jc w:val="center"/>
        <w:textAlignment w:val="auto"/>
        <w:outlineLvl w:val="2"/>
        <w:rPr>
          <w:sz w:val="28"/>
          <w:szCs w:val="28"/>
        </w:rPr>
      </w:pPr>
      <w:bookmarkStart w:id="16" w:name="_Toc27419"/>
      <w:r>
        <w:rPr>
          <w:rFonts w:hint="eastAsia"/>
          <w:sz w:val="28"/>
          <w:szCs w:val="28"/>
        </w:rPr>
        <w:t>四、投标</w:t>
      </w:r>
      <w:bookmarkEnd w:id="16"/>
    </w:p>
    <w:p w14:paraId="07037C17">
      <w:pPr>
        <w:adjustRightInd w:val="0"/>
        <w:snapToGrid w:val="0"/>
        <w:spacing w:line="500" w:lineRule="exact"/>
        <w:ind w:firstLine="482" w:firstLineChars="200"/>
        <w:rPr>
          <w:rFonts w:ascii="宋体" w:hAnsi="宋体" w:eastAsia="宋体" w:cs="宋体"/>
          <w:b/>
          <w:bCs/>
          <w:sz w:val="24"/>
          <w:szCs w:val="32"/>
          <w:highlight w:val="none"/>
        </w:rPr>
      </w:pPr>
      <w:r>
        <w:rPr>
          <w:rFonts w:hint="eastAsia" w:ascii="宋体" w:hAnsi="宋体" w:eastAsia="宋体" w:cs="宋体"/>
          <w:b/>
          <w:bCs/>
          <w:sz w:val="24"/>
          <w:szCs w:val="32"/>
          <w:highlight w:val="none"/>
        </w:rPr>
        <w:t>17、投标文件递交</w:t>
      </w:r>
    </w:p>
    <w:p w14:paraId="66915D1C">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17.1投标文件递交截止时间：见投标人须知前附表。</w:t>
      </w:r>
    </w:p>
    <w:p w14:paraId="5D195907">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17.2投标文件递交地点：见投标人须知前附表。</w:t>
      </w:r>
    </w:p>
    <w:p w14:paraId="142BC2CE">
      <w:pPr>
        <w:adjustRightInd w:val="0"/>
        <w:snapToGrid w:val="0"/>
        <w:spacing w:line="500" w:lineRule="exact"/>
        <w:ind w:firstLine="482" w:firstLineChars="200"/>
        <w:rPr>
          <w:rFonts w:ascii="宋体" w:hAnsi="宋体" w:eastAsia="宋体" w:cs="宋体"/>
          <w:b/>
          <w:sz w:val="24"/>
          <w:szCs w:val="32"/>
          <w:highlight w:val="none"/>
        </w:rPr>
      </w:pPr>
      <w:r>
        <w:rPr>
          <w:rFonts w:hint="eastAsia" w:ascii="宋体" w:hAnsi="宋体" w:eastAsia="宋体" w:cs="宋体"/>
          <w:b/>
          <w:sz w:val="24"/>
          <w:szCs w:val="32"/>
          <w:highlight w:val="none"/>
        </w:rPr>
        <w:t>17.3加密的电子投标文件壹份(*jytf格式，在济源市电子招投标交易平台指定位置上传)。</w:t>
      </w:r>
    </w:p>
    <w:p w14:paraId="0286B244">
      <w:pPr>
        <w:adjustRightInd w:val="0"/>
        <w:snapToGrid w:val="0"/>
        <w:spacing w:line="500" w:lineRule="exact"/>
        <w:ind w:firstLine="482" w:firstLineChars="200"/>
        <w:rPr>
          <w:rFonts w:ascii="宋体" w:hAnsi="宋体" w:eastAsia="宋体" w:cs="宋体"/>
          <w:b/>
          <w:sz w:val="24"/>
          <w:szCs w:val="32"/>
          <w:highlight w:val="none"/>
        </w:rPr>
      </w:pPr>
      <w:r>
        <w:rPr>
          <w:rFonts w:hint="eastAsia" w:ascii="宋体" w:hAnsi="宋体" w:eastAsia="宋体" w:cs="宋体"/>
          <w:b/>
          <w:sz w:val="24"/>
          <w:szCs w:val="32"/>
          <w:highlight w:val="none"/>
        </w:rPr>
        <w:t>17.4非加密的电子投标文件壹份（*njytf格式）。（该项要求内容由投标人自备即可，如开标需要但投标人不能提供导致响应失败的责任由投标人自行承担。）</w:t>
      </w:r>
    </w:p>
    <w:p w14:paraId="50072D48">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17.5本项目采用不见面电子标，开标当日，投标人无需到开标现场参加开标会议，投标人应当在投标截止时间前，登录到济源市电子招投标交易平台，点击【不见面开标大厅】按钮进入，在线准时参加开标活动并进行投标文件解密等。</w:t>
      </w:r>
      <w:r>
        <w:rPr>
          <w:rFonts w:hint="eastAsia" w:ascii="宋体" w:hAnsi="宋体" w:eastAsia="宋体" w:cs="宋体"/>
          <w:b/>
          <w:sz w:val="24"/>
          <w:szCs w:val="32"/>
          <w:highlight w:val="none"/>
        </w:rPr>
        <w:t>因投标人原因未能解密、解密失败或解密超时的将被拒绝。</w:t>
      </w:r>
      <w:r>
        <w:rPr>
          <w:rFonts w:hint="eastAsia" w:ascii="宋体" w:hAnsi="宋体" w:eastAsia="宋体" w:cs="宋体"/>
          <w:bCs/>
          <w:sz w:val="24"/>
          <w:szCs w:val="32"/>
          <w:highlight w:val="none"/>
        </w:rPr>
        <w:t>请参照济源市公共资源交易中心首页-下载中心-操作手册-《济源市公共资源交易中心不见面开标大厅操作手册(投标人)》。</w:t>
      </w:r>
    </w:p>
    <w:p w14:paraId="7DC09536">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17.6除电子投标文件外，投标时不再接受非必要的纸质文件、资料等。</w:t>
      </w:r>
    </w:p>
    <w:p w14:paraId="3683DBE3">
      <w:pPr>
        <w:adjustRightInd w:val="0"/>
        <w:snapToGrid w:val="0"/>
        <w:spacing w:line="500" w:lineRule="exact"/>
        <w:ind w:firstLine="482" w:firstLineChars="200"/>
        <w:rPr>
          <w:rFonts w:ascii="宋体" w:hAnsi="宋体" w:eastAsia="宋体" w:cs="宋体"/>
          <w:b/>
          <w:sz w:val="24"/>
          <w:szCs w:val="32"/>
          <w:highlight w:val="none"/>
        </w:rPr>
      </w:pPr>
      <w:r>
        <w:rPr>
          <w:rFonts w:hint="eastAsia" w:ascii="宋体" w:hAnsi="宋体" w:eastAsia="宋体" w:cs="宋体"/>
          <w:b/>
          <w:sz w:val="24"/>
          <w:szCs w:val="32"/>
          <w:highlight w:val="none"/>
        </w:rPr>
        <w:t>17.7投标人应按照本招标文件中投标文件格式的要求制作投标文件。如有漏项或评标委员会、采购人认为其投标文件有明显缺陷的，造成的后果由投标人自己承担。</w:t>
      </w:r>
    </w:p>
    <w:p w14:paraId="3DAE0E57">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17.8所投电子投标文件应使用CA数字证书认证并加密，具体详见中心网站《投标文件制作工具操作手册》。否则，被视为无效投标文件，其投标文件将被电子交易系统拒绝。</w:t>
      </w:r>
    </w:p>
    <w:p w14:paraId="0AC23D98">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17.9请各投标人提前办理CA证书，提前学习电子投标文件制作，投标文件制作工具请到全国公共资源交易平台（河南省•济源市）网站“下载中心”栏目下载。</w:t>
      </w:r>
    </w:p>
    <w:p w14:paraId="47A61FD4">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17.10投标文件制作、加密、解密必须使用同一把单位CA，不按规定操作造成的后果由投标人自己承担。</w:t>
      </w:r>
    </w:p>
    <w:p w14:paraId="78364347">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17.11请投标人提前调试并学习不见面开标大厅操作系统，开标前提前登录进入开标大厅等待开标。</w:t>
      </w:r>
    </w:p>
    <w:p w14:paraId="6A7F1D27">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注：根据采购人项目实施需求，需要中标人提供纸质投标文件的，中标人应按采购人要求提供纸质投标文件，纸质投标文件应与其电子投标文件内容一致，否则应承担相应法律责任。</w:t>
      </w:r>
    </w:p>
    <w:p w14:paraId="1FEDB9CC">
      <w:pPr>
        <w:adjustRightInd w:val="0"/>
        <w:snapToGrid w:val="0"/>
        <w:spacing w:line="500" w:lineRule="exact"/>
        <w:ind w:firstLine="482" w:firstLineChars="200"/>
        <w:rPr>
          <w:rFonts w:ascii="宋体" w:hAnsi="宋体" w:eastAsia="宋体" w:cs="宋体"/>
          <w:b/>
          <w:bCs/>
          <w:sz w:val="24"/>
          <w:szCs w:val="32"/>
          <w:highlight w:val="none"/>
        </w:rPr>
      </w:pPr>
      <w:r>
        <w:rPr>
          <w:rFonts w:hint="eastAsia" w:ascii="宋体" w:hAnsi="宋体" w:eastAsia="宋体" w:cs="宋体"/>
          <w:b/>
          <w:bCs/>
          <w:sz w:val="24"/>
          <w:szCs w:val="32"/>
          <w:highlight w:val="none"/>
        </w:rPr>
        <w:t>18、投标文件的修改和撤回</w:t>
      </w:r>
    </w:p>
    <w:p w14:paraId="2BEDEAA2">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18.1投标人在提交投标文件截止时间前，可以对所提交的投标文件进行修改或者撤回。</w:t>
      </w:r>
    </w:p>
    <w:p w14:paraId="718996F9">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18.2在提交投标文件截止时间之后，投标人不得对其投标做任何修改。</w:t>
      </w:r>
    </w:p>
    <w:p w14:paraId="663E8CFB">
      <w:pPr>
        <w:adjustRightInd w:val="0"/>
        <w:snapToGrid w:val="0"/>
        <w:spacing w:line="500" w:lineRule="exact"/>
        <w:ind w:firstLine="480" w:firstLineChars="200"/>
        <w:rPr>
          <w:rFonts w:hint="eastAsia" w:ascii="宋体" w:hAnsi="宋体" w:eastAsia="宋体" w:cs="宋体"/>
          <w:bCs/>
          <w:sz w:val="24"/>
          <w:szCs w:val="32"/>
          <w:highlight w:val="none"/>
        </w:rPr>
      </w:pPr>
      <w:r>
        <w:rPr>
          <w:rFonts w:hint="eastAsia" w:ascii="宋体" w:hAnsi="宋体" w:eastAsia="宋体" w:cs="宋体"/>
          <w:bCs/>
          <w:sz w:val="24"/>
          <w:szCs w:val="32"/>
          <w:highlight w:val="none"/>
        </w:rPr>
        <w:t>18.3投标有效期内，投标人不得撤回其报价，否则将根据投标人须知第15.2条的规定，对其进行相应处罚。</w:t>
      </w:r>
    </w:p>
    <w:p w14:paraId="063C5307">
      <w:pPr>
        <w:bidi w:val="0"/>
      </w:pPr>
    </w:p>
    <w:p w14:paraId="7A1AB26B">
      <w:pPr>
        <w:pStyle w:val="5"/>
        <w:keepNext/>
        <w:keepLines/>
        <w:pageBreakBefore w:val="0"/>
        <w:widowControl w:val="0"/>
        <w:kinsoku/>
        <w:wordWrap/>
        <w:overflowPunct/>
        <w:topLinePunct w:val="0"/>
        <w:autoSpaceDE/>
        <w:autoSpaceDN/>
        <w:bidi w:val="0"/>
        <w:adjustRightInd/>
        <w:snapToGrid/>
        <w:spacing w:before="200" w:beforeLines="0" w:after="200" w:afterLines="0" w:line="500" w:lineRule="exact"/>
        <w:ind w:left="0" w:leftChars="0" w:right="0" w:rightChars="0" w:firstLine="0" w:firstLineChars="0"/>
        <w:jc w:val="center"/>
        <w:textAlignment w:val="auto"/>
        <w:outlineLvl w:val="2"/>
        <w:rPr>
          <w:sz w:val="28"/>
          <w:szCs w:val="28"/>
        </w:rPr>
      </w:pPr>
      <w:bookmarkStart w:id="17" w:name="_Toc4411"/>
      <w:r>
        <w:rPr>
          <w:rFonts w:hint="eastAsia"/>
          <w:sz w:val="28"/>
          <w:szCs w:val="28"/>
        </w:rPr>
        <w:t>五、开标</w:t>
      </w:r>
      <w:bookmarkEnd w:id="17"/>
    </w:p>
    <w:p w14:paraId="0893E26E">
      <w:pPr>
        <w:adjustRightInd w:val="0"/>
        <w:snapToGrid w:val="0"/>
        <w:spacing w:line="500" w:lineRule="exact"/>
        <w:ind w:firstLine="482" w:firstLineChars="200"/>
        <w:rPr>
          <w:rFonts w:ascii="宋体" w:hAnsi="宋体" w:eastAsia="宋体" w:cs="宋体"/>
          <w:b/>
          <w:bCs/>
          <w:sz w:val="24"/>
          <w:szCs w:val="32"/>
          <w:highlight w:val="none"/>
        </w:rPr>
      </w:pPr>
      <w:r>
        <w:rPr>
          <w:rFonts w:hint="eastAsia" w:ascii="宋体" w:hAnsi="宋体" w:eastAsia="宋体" w:cs="宋体"/>
          <w:b/>
          <w:bCs/>
          <w:sz w:val="24"/>
          <w:szCs w:val="32"/>
          <w:highlight w:val="none"/>
        </w:rPr>
        <w:t>19、开标会议</w:t>
      </w:r>
    </w:p>
    <w:p w14:paraId="780B4127">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19.1本项目在规定的开标时间（投标截止时间）和投标人须知前附表规定的地点公开组织开标。</w:t>
      </w:r>
    </w:p>
    <w:p w14:paraId="56FD0B40">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19.2投标人代表认为采购人、采购代理机构相关工作人员有需要回避的情形的，应通过不见面开标大厅在线提出询问或者回避申请。采购人、采购代理机构对投标人提出的询问或者回避申请应当及时处理。</w:t>
      </w:r>
    </w:p>
    <w:p w14:paraId="0D301EE9">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19.3</w:t>
      </w:r>
      <w:r>
        <w:rPr>
          <w:rFonts w:hint="eastAsia" w:ascii="宋体" w:hAnsi="宋体" w:eastAsia="宋体" w:cs="宋体"/>
          <w:b/>
          <w:bCs w:val="0"/>
          <w:sz w:val="24"/>
          <w:szCs w:val="32"/>
          <w:highlight w:val="none"/>
        </w:rPr>
        <w:t>投标人不足3家的，不得开标。</w:t>
      </w:r>
    </w:p>
    <w:p w14:paraId="5D916514">
      <w:pPr>
        <w:adjustRightInd w:val="0"/>
        <w:snapToGrid w:val="0"/>
        <w:spacing w:line="500" w:lineRule="exact"/>
        <w:ind w:firstLine="482" w:firstLineChars="200"/>
        <w:rPr>
          <w:rFonts w:ascii="宋体" w:hAnsi="宋体" w:eastAsia="宋体" w:cs="宋体"/>
          <w:b/>
          <w:bCs/>
          <w:sz w:val="24"/>
          <w:szCs w:val="32"/>
          <w:highlight w:val="none"/>
        </w:rPr>
      </w:pPr>
      <w:r>
        <w:rPr>
          <w:rFonts w:hint="eastAsia" w:ascii="宋体" w:hAnsi="宋体" w:eastAsia="宋体" w:cs="宋体"/>
          <w:b/>
          <w:bCs/>
          <w:sz w:val="24"/>
          <w:szCs w:val="32"/>
          <w:highlight w:val="none"/>
        </w:rPr>
        <w:t>20、开标会议程序</w:t>
      </w:r>
    </w:p>
    <w:p w14:paraId="324E07B4">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（1）本项目采用“远程不见面”交易模式，投标人应当在开标时间前，登录到济源市电子招投标交易平台→点击进入“不见面开标大厅”→找到相应的项目→在线准时参加开标活动；</w:t>
      </w:r>
    </w:p>
    <w:p w14:paraId="28A8D51A">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（2）公布在投标截止时间前提交投标文件的投标人名单；</w:t>
      </w:r>
    </w:p>
    <w:p w14:paraId="1AFF1762">
      <w:pPr>
        <w:adjustRightInd w:val="0"/>
        <w:snapToGrid w:val="0"/>
        <w:spacing w:line="500" w:lineRule="exact"/>
        <w:ind w:firstLine="480" w:firstLineChars="200"/>
        <w:rPr>
          <w:rFonts w:ascii="宋体" w:hAnsi="宋体" w:eastAsia="宋体" w:cs="宋体"/>
          <w:b/>
          <w:sz w:val="24"/>
          <w:szCs w:val="32"/>
          <w:highlight w:val="none"/>
        </w:rPr>
      </w:pPr>
      <w:r>
        <w:rPr>
          <w:rFonts w:hint="eastAsia" w:ascii="宋体" w:hAnsi="宋体" w:eastAsia="宋体" w:cs="宋体"/>
          <w:bCs/>
          <w:sz w:val="24"/>
          <w:szCs w:val="32"/>
          <w:highlight w:val="none"/>
        </w:rPr>
        <w:t>（3）由投标人远程使用CA数字证书对上传的加密电子投标文件进行解密；投标人须在规定时间</w:t>
      </w:r>
      <w:r>
        <w:rPr>
          <w:rFonts w:hint="eastAsia" w:ascii="宋体" w:hAnsi="宋体" w:eastAsia="宋体" w:cs="宋体"/>
          <w:b/>
          <w:sz w:val="24"/>
          <w:szCs w:val="32"/>
          <w:highlight w:val="none"/>
        </w:rPr>
        <w:t>30分钟内</w:t>
      </w:r>
      <w:r>
        <w:rPr>
          <w:rFonts w:hint="eastAsia" w:ascii="宋体" w:hAnsi="宋体" w:eastAsia="宋体" w:cs="宋体"/>
          <w:bCs/>
          <w:sz w:val="24"/>
          <w:szCs w:val="32"/>
          <w:highlight w:val="none"/>
        </w:rPr>
        <w:t>完成其加密电子投标文件的解密工作，</w:t>
      </w:r>
      <w:r>
        <w:rPr>
          <w:rFonts w:hint="eastAsia" w:ascii="宋体" w:hAnsi="宋体" w:eastAsia="宋体" w:cs="宋体"/>
          <w:b/>
          <w:sz w:val="24"/>
          <w:szCs w:val="32"/>
          <w:highlight w:val="none"/>
        </w:rPr>
        <w:t>因投标人原因未能解密、解密失败或解密超时的投标文件将被拒绝；</w:t>
      </w:r>
    </w:p>
    <w:p w14:paraId="2397949C">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（4）系统导入电子投标文件；</w:t>
      </w:r>
    </w:p>
    <w:p w14:paraId="10249798">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（5）采购人或采购代理机构将通过“电子开标系统”按照顺序公布投标人名称、</w:t>
      </w:r>
    </w:p>
    <w:p w14:paraId="210DDC26">
      <w:pPr>
        <w:adjustRightInd w:val="0"/>
        <w:snapToGrid w:val="0"/>
        <w:spacing w:line="500" w:lineRule="exact"/>
        <w:rPr>
          <w:rFonts w:ascii="宋体" w:hAnsi="宋体" w:eastAsia="宋体" w:cs="宋体"/>
          <w:bCs/>
          <w:sz w:val="24"/>
          <w:szCs w:val="32"/>
          <w:highlight w:val="none"/>
        </w:rPr>
      </w:pPr>
      <w:r>
        <w:rPr>
          <w:rFonts w:hint="eastAsia" w:ascii="宋体" w:hAnsi="宋体" w:eastAsia="宋体" w:cs="宋体"/>
          <w:bCs/>
          <w:sz w:val="24"/>
          <w:szCs w:val="32"/>
          <w:highlight w:val="none"/>
        </w:rPr>
        <w:t>投标报价和招标文件规定的需要公布的其他内容；</w:t>
      </w:r>
    </w:p>
    <w:p w14:paraId="54A53523">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（6）投标人代表对开标过程和开标记录有无异议：投标人如有异议，须按要求在</w:t>
      </w:r>
    </w:p>
    <w:p w14:paraId="6838978A">
      <w:pPr>
        <w:adjustRightInd w:val="0"/>
        <w:snapToGrid w:val="0"/>
        <w:spacing w:line="500" w:lineRule="exact"/>
        <w:rPr>
          <w:rFonts w:ascii="宋体" w:hAnsi="宋体" w:eastAsia="宋体" w:cs="宋体"/>
          <w:bCs/>
          <w:sz w:val="24"/>
          <w:szCs w:val="32"/>
          <w:highlight w:val="none"/>
        </w:rPr>
      </w:pPr>
      <w:r>
        <w:rPr>
          <w:rFonts w:hint="eastAsia" w:ascii="宋体" w:hAnsi="宋体" w:eastAsia="宋体" w:cs="宋体"/>
          <w:bCs/>
          <w:sz w:val="24"/>
          <w:szCs w:val="32"/>
          <w:highlight w:val="none"/>
        </w:rPr>
        <w:t>规定时间内通过系统提出，由监督人代表现场核查并及时处理；否则视为该投标人认可开标过程及开标记录，不得事后提出任何异议；</w:t>
      </w:r>
    </w:p>
    <w:p w14:paraId="28E2EA5C">
      <w:pPr>
        <w:numPr>
          <w:ilvl w:val="0"/>
          <w:numId w:val="2"/>
        </w:numPr>
        <w:adjustRightInd w:val="0"/>
        <w:snapToGrid w:val="0"/>
        <w:spacing w:line="500" w:lineRule="exact"/>
        <w:ind w:firstLine="480" w:firstLineChars="200"/>
        <w:rPr>
          <w:rFonts w:hint="eastAsia" w:ascii="宋体" w:hAnsi="宋体" w:eastAsia="宋体" w:cs="宋体"/>
          <w:bCs/>
          <w:sz w:val="24"/>
          <w:szCs w:val="32"/>
          <w:highlight w:val="none"/>
        </w:rPr>
      </w:pPr>
      <w:r>
        <w:rPr>
          <w:rFonts w:hint="eastAsia" w:ascii="宋体" w:hAnsi="宋体" w:eastAsia="宋体" w:cs="宋体"/>
          <w:bCs/>
          <w:sz w:val="24"/>
          <w:szCs w:val="32"/>
          <w:highlight w:val="none"/>
        </w:rPr>
        <w:t>开标结束。</w:t>
      </w:r>
    </w:p>
    <w:p w14:paraId="5B7BA58C">
      <w:pPr>
        <w:bidi w:val="0"/>
      </w:pPr>
    </w:p>
    <w:p w14:paraId="729B8F18">
      <w:pPr>
        <w:pStyle w:val="5"/>
        <w:keepNext/>
        <w:keepLines/>
        <w:pageBreakBefore w:val="0"/>
        <w:widowControl w:val="0"/>
        <w:kinsoku/>
        <w:wordWrap/>
        <w:overflowPunct/>
        <w:topLinePunct w:val="0"/>
        <w:autoSpaceDE/>
        <w:autoSpaceDN/>
        <w:bidi w:val="0"/>
        <w:adjustRightInd/>
        <w:snapToGrid/>
        <w:spacing w:before="200" w:beforeLines="0" w:after="200" w:afterLines="0" w:line="500" w:lineRule="exact"/>
        <w:ind w:left="0" w:leftChars="0" w:right="0" w:rightChars="0" w:firstLine="0" w:firstLineChars="0"/>
        <w:jc w:val="center"/>
        <w:textAlignment w:val="auto"/>
        <w:outlineLvl w:val="2"/>
      </w:pPr>
      <w:bookmarkStart w:id="18" w:name="_Toc985"/>
      <w:r>
        <w:rPr>
          <w:rFonts w:hint="eastAsia"/>
        </w:rPr>
        <w:t>六、评标</w:t>
      </w:r>
      <w:bookmarkEnd w:id="18"/>
    </w:p>
    <w:p w14:paraId="531F709F">
      <w:pPr>
        <w:adjustRightInd w:val="0"/>
        <w:snapToGrid w:val="0"/>
        <w:spacing w:line="500" w:lineRule="exact"/>
        <w:ind w:firstLine="482" w:firstLineChars="200"/>
        <w:rPr>
          <w:rFonts w:ascii="宋体" w:hAnsi="宋体" w:eastAsia="宋体" w:cs="宋体"/>
          <w:b/>
          <w:bCs/>
          <w:sz w:val="24"/>
          <w:szCs w:val="32"/>
          <w:highlight w:val="none"/>
        </w:rPr>
      </w:pPr>
      <w:r>
        <w:rPr>
          <w:rFonts w:hint="eastAsia" w:ascii="宋体" w:hAnsi="宋体" w:eastAsia="宋体" w:cs="宋体"/>
          <w:b/>
          <w:bCs/>
          <w:sz w:val="24"/>
          <w:szCs w:val="32"/>
          <w:highlight w:val="none"/>
        </w:rPr>
        <w:t>21、资格性审查</w:t>
      </w:r>
    </w:p>
    <w:p w14:paraId="7EF530D0">
      <w:pPr>
        <w:adjustRightInd w:val="0"/>
        <w:snapToGrid w:val="0"/>
        <w:spacing w:line="500" w:lineRule="exact"/>
        <w:ind w:firstLine="480" w:firstLineChars="200"/>
        <w:rPr>
          <w:rFonts w:hint="eastAsia" w:ascii="宋体" w:hAnsi="宋体" w:eastAsia="宋体" w:cs="宋体"/>
          <w:bCs/>
          <w:sz w:val="24"/>
          <w:szCs w:val="32"/>
          <w:highlight w:val="none"/>
        </w:rPr>
      </w:pPr>
      <w:r>
        <w:rPr>
          <w:rFonts w:hint="eastAsia" w:ascii="宋体" w:hAnsi="宋体" w:eastAsia="宋体" w:cs="宋体"/>
          <w:bCs/>
          <w:sz w:val="24"/>
          <w:szCs w:val="32"/>
          <w:highlight w:val="none"/>
        </w:rPr>
        <w:t>21.1根据《政府采购货物和服务招标投标管理办法》(财政部令第87号)第44条的规定，公开招标采购项目开标结束后，采购人或者采购代理机构应当依法对投标人的资格进行审查，合格投标人不足3家的，不得评标。</w:t>
      </w:r>
    </w:p>
    <w:p w14:paraId="3AEDCEE5">
      <w:pPr>
        <w:adjustRightInd w:val="0"/>
        <w:snapToGrid w:val="0"/>
        <w:spacing w:line="500" w:lineRule="exact"/>
        <w:ind w:firstLine="480" w:firstLineChars="200"/>
        <w:rPr>
          <w:rFonts w:hint="eastAsia" w:ascii="宋体" w:hAnsi="宋体" w:eastAsia="宋体" w:cs="宋体"/>
          <w:bCs/>
          <w:sz w:val="24"/>
          <w:szCs w:val="32"/>
          <w:highlight w:val="none"/>
          <w:lang w:eastAsia="zh-CN"/>
        </w:rPr>
      </w:pPr>
      <w:r>
        <w:rPr>
          <w:rFonts w:hint="eastAsia" w:ascii="宋体" w:hAnsi="宋体" w:eastAsia="宋体" w:cs="宋体"/>
          <w:bCs/>
          <w:sz w:val="24"/>
          <w:szCs w:val="32"/>
          <w:highlight w:val="none"/>
          <w:lang w:eastAsia="zh-CN"/>
        </w:rPr>
        <w:t>21.2资格审查时间：开标结束后</w:t>
      </w:r>
    </w:p>
    <w:p w14:paraId="3C2E8DED">
      <w:pPr>
        <w:adjustRightInd w:val="0"/>
        <w:snapToGrid w:val="0"/>
        <w:spacing w:line="500" w:lineRule="exact"/>
        <w:ind w:firstLine="480" w:firstLineChars="200"/>
        <w:rPr>
          <w:rFonts w:hint="eastAsia" w:ascii="宋体" w:hAnsi="宋体" w:eastAsia="宋体" w:cs="宋体"/>
          <w:bCs/>
          <w:sz w:val="24"/>
          <w:szCs w:val="32"/>
          <w:highlight w:val="none"/>
          <w:lang w:eastAsia="zh-CN"/>
        </w:rPr>
      </w:pPr>
      <w:r>
        <w:rPr>
          <w:rFonts w:hint="eastAsia" w:ascii="宋体" w:hAnsi="宋体" w:eastAsia="宋体" w:cs="宋体"/>
          <w:bCs/>
          <w:sz w:val="24"/>
          <w:szCs w:val="32"/>
          <w:highlight w:val="none"/>
          <w:lang w:eastAsia="zh-CN"/>
        </w:rPr>
        <w:t>2</w:t>
      </w:r>
      <w:r>
        <w:rPr>
          <w:rFonts w:hint="eastAsia" w:ascii="宋体" w:hAnsi="宋体" w:eastAsia="宋体" w:cs="宋体"/>
          <w:bCs/>
          <w:sz w:val="24"/>
          <w:szCs w:val="32"/>
          <w:highlight w:val="none"/>
          <w:lang w:val="en-US" w:eastAsia="zh-CN"/>
        </w:rPr>
        <w:t>1</w:t>
      </w:r>
      <w:r>
        <w:rPr>
          <w:rFonts w:hint="eastAsia" w:ascii="宋体" w:hAnsi="宋体" w:eastAsia="宋体" w:cs="宋体"/>
          <w:bCs/>
          <w:sz w:val="24"/>
          <w:szCs w:val="32"/>
          <w:highlight w:val="none"/>
          <w:lang w:eastAsia="zh-CN"/>
        </w:rPr>
        <w:t>.</w:t>
      </w:r>
      <w:r>
        <w:rPr>
          <w:rFonts w:hint="eastAsia" w:ascii="宋体" w:hAnsi="宋体" w:eastAsia="宋体" w:cs="宋体"/>
          <w:bCs/>
          <w:sz w:val="24"/>
          <w:szCs w:val="32"/>
          <w:highlight w:val="none"/>
          <w:lang w:val="en-US" w:eastAsia="zh-CN"/>
        </w:rPr>
        <w:t>2</w:t>
      </w:r>
      <w:r>
        <w:rPr>
          <w:rFonts w:hint="eastAsia" w:ascii="宋体" w:hAnsi="宋体" w:eastAsia="宋体" w:cs="宋体"/>
          <w:bCs/>
          <w:sz w:val="24"/>
          <w:szCs w:val="32"/>
          <w:highlight w:val="none"/>
          <w:lang w:eastAsia="zh-CN"/>
        </w:rPr>
        <w:t>资格审查地点：同评标地点</w:t>
      </w:r>
    </w:p>
    <w:p w14:paraId="4F4E777F">
      <w:pPr>
        <w:adjustRightInd w:val="0"/>
        <w:snapToGrid w:val="0"/>
        <w:spacing w:line="500" w:lineRule="exact"/>
        <w:ind w:firstLine="480" w:firstLineChars="200"/>
        <w:rPr>
          <w:rFonts w:hint="eastAsia" w:ascii="宋体" w:hAnsi="宋体" w:eastAsia="宋体" w:cs="宋体"/>
          <w:bCs/>
          <w:sz w:val="24"/>
          <w:szCs w:val="32"/>
          <w:highlight w:val="none"/>
        </w:rPr>
      </w:pPr>
      <w:r>
        <w:rPr>
          <w:rFonts w:hint="eastAsia" w:ascii="宋体" w:hAnsi="宋体" w:eastAsia="宋体" w:cs="宋体"/>
          <w:bCs/>
          <w:sz w:val="24"/>
          <w:szCs w:val="32"/>
          <w:highlight w:val="none"/>
          <w:lang w:eastAsia="zh-CN"/>
        </w:rPr>
        <w:t>2</w:t>
      </w:r>
      <w:r>
        <w:rPr>
          <w:rFonts w:hint="eastAsia" w:ascii="宋体" w:hAnsi="宋体" w:eastAsia="宋体" w:cs="宋体"/>
          <w:bCs/>
          <w:sz w:val="24"/>
          <w:szCs w:val="32"/>
          <w:highlight w:val="none"/>
          <w:lang w:val="en-US" w:eastAsia="zh-CN"/>
        </w:rPr>
        <w:t>1</w:t>
      </w:r>
      <w:r>
        <w:rPr>
          <w:rFonts w:hint="eastAsia" w:ascii="宋体" w:hAnsi="宋体" w:eastAsia="宋体" w:cs="宋体"/>
          <w:bCs/>
          <w:sz w:val="24"/>
          <w:szCs w:val="32"/>
          <w:highlight w:val="none"/>
          <w:lang w:eastAsia="zh-CN"/>
        </w:rPr>
        <w:t>.</w:t>
      </w:r>
      <w:r>
        <w:rPr>
          <w:rFonts w:hint="eastAsia" w:ascii="宋体" w:hAnsi="宋体" w:eastAsia="宋体" w:cs="宋体"/>
          <w:bCs/>
          <w:sz w:val="24"/>
          <w:szCs w:val="32"/>
          <w:highlight w:val="none"/>
          <w:lang w:val="en-US" w:eastAsia="zh-CN"/>
        </w:rPr>
        <w:t>4</w:t>
      </w:r>
      <w:r>
        <w:rPr>
          <w:rFonts w:hint="eastAsia" w:ascii="宋体" w:hAnsi="宋体" w:eastAsia="宋体" w:cs="宋体"/>
          <w:bCs/>
          <w:sz w:val="24"/>
          <w:szCs w:val="32"/>
          <w:highlight w:val="none"/>
          <w:lang w:eastAsia="zh-CN"/>
        </w:rPr>
        <w:t>资格审查小组构成：</w:t>
      </w:r>
      <w:r>
        <w:rPr>
          <w:rFonts w:hint="eastAsia" w:ascii="宋体" w:hAnsi="宋体" w:eastAsia="宋体" w:cs="宋体"/>
          <w:b/>
          <w:bCs w:val="0"/>
          <w:sz w:val="24"/>
          <w:szCs w:val="32"/>
          <w:highlight w:val="none"/>
          <w:lang w:eastAsia="zh-CN"/>
        </w:rPr>
        <w:t>由采购人组成。</w:t>
      </w:r>
    </w:p>
    <w:p w14:paraId="59B34547">
      <w:pPr>
        <w:adjustRightInd w:val="0"/>
        <w:snapToGrid w:val="0"/>
        <w:spacing w:line="500" w:lineRule="exact"/>
        <w:ind w:firstLine="480" w:firstLineChars="200"/>
        <w:rPr>
          <w:rFonts w:hint="eastAsia" w:ascii="宋体" w:hAnsi="宋体" w:eastAsia="宋体" w:cs="宋体"/>
          <w:bCs/>
          <w:sz w:val="24"/>
          <w:szCs w:val="32"/>
          <w:highlight w:val="none"/>
          <w:lang w:val="en-US" w:eastAsia="zh-CN"/>
        </w:rPr>
      </w:pPr>
      <w:r>
        <w:rPr>
          <w:rFonts w:hint="eastAsia" w:ascii="宋体" w:hAnsi="宋体" w:eastAsia="宋体" w:cs="宋体"/>
          <w:bCs/>
          <w:sz w:val="24"/>
          <w:szCs w:val="32"/>
          <w:highlight w:val="none"/>
          <w:lang w:val="en-US" w:eastAsia="zh-CN"/>
        </w:rPr>
        <w:t>21.5</w:t>
      </w:r>
      <w:r>
        <w:rPr>
          <w:rFonts w:hint="eastAsia" w:ascii="宋体" w:hAnsi="宋体" w:eastAsia="宋体" w:cs="宋体"/>
          <w:bCs/>
          <w:sz w:val="24"/>
          <w:szCs w:val="32"/>
          <w:highlight w:val="none"/>
          <w:lang w:eastAsia="zh-CN"/>
        </w:rPr>
        <w:t>资格审查内容</w:t>
      </w:r>
      <w:r>
        <w:rPr>
          <w:rFonts w:hint="eastAsia" w:ascii="宋体" w:hAnsi="宋体" w:eastAsia="宋体" w:cs="宋体"/>
          <w:bCs/>
          <w:sz w:val="24"/>
          <w:szCs w:val="32"/>
          <w:highlight w:val="none"/>
          <w:lang w:val="en-US" w:eastAsia="zh-CN"/>
        </w:rPr>
        <w:t>详见资格审查表</w:t>
      </w:r>
    </w:p>
    <w:p w14:paraId="4F5E782D">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21.</w:t>
      </w:r>
      <w:r>
        <w:rPr>
          <w:rFonts w:hint="eastAsia" w:ascii="宋体" w:hAnsi="宋体" w:eastAsia="宋体" w:cs="宋体"/>
          <w:bCs/>
          <w:sz w:val="24"/>
          <w:szCs w:val="32"/>
          <w:highlight w:val="none"/>
          <w:lang w:val="en-US" w:eastAsia="zh-CN"/>
        </w:rPr>
        <w:t>6</w:t>
      </w:r>
      <w:r>
        <w:rPr>
          <w:rFonts w:hint="eastAsia" w:ascii="宋体" w:hAnsi="宋体" w:eastAsia="宋体" w:cs="宋体"/>
          <w:bCs/>
          <w:sz w:val="24"/>
          <w:szCs w:val="32"/>
          <w:highlight w:val="none"/>
        </w:rPr>
        <w:t>资格审查说明：</w:t>
      </w:r>
    </w:p>
    <w:p w14:paraId="1016B7BA">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21.</w:t>
      </w:r>
      <w:r>
        <w:rPr>
          <w:rFonts w:hint="eastAsia" w:ascii="宋体" w:hAnsi="宋体" w:eastAsia="宋体" w:cs="宋体"/>
          <w:bCs/>
          <w:sz w:val="24"/>
          <w:szCs w:val="32"/>
          <w:highlight w:val="none"/>
          <w:lang w:val="en-US" w:eastAsia="zh-CN"/>
        </w:rPr>
        <w:t>6</w:t>
      </w:r>
      <w:r>
        <w:rPr>
          <w:rFonts w:hint="eastAsia" w:ascii="宋体" w:hAnsi="宋体" w:eastAsia="宋体" w:cs="宋体"/>
          <w:bCs/>
          <w:sz w:val="24"/>
          <w:szCs w:val="32"/>
          <w:highlight w:val="none"/>
        </w:rPr>
        <w:t>.1根据济源产城融合示范区财政局《关于推行政府采购资格审查环节信用承诺制的通知》的规定，在采购活动中，投标人只需在资格审查环节提供满足相应条件的书面承诺书，不再需要提供以下证明材料：</w:t>
      </w:r>
    </w:p>
    <w:p w14:paraId="41B39812">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(1)具有独立承担民事责任的能力；</w:t>
      </w:r>
    </w:p>
    <w:p w14:paraId="1347E8FC">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(2)具有良好的商业信誉和健全的财务会计制度；</w:t>
      </w:r>
    </w:p>
    <w:p w14:paraId="02BF5FFC">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(3)具有履行政府采购合同所必需的设备和专业技术能力的证明材料；</w:t>
      </w:r>
    </w:p>
    <w:p w14:paraId="5F3C801F">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(4)依法缴纳税收的证明材料和依法缴纳社会保障资金的证明材料；</w:t>
      </w:r>
    </w:p>
    <w:p w14:paraId="4DDD3AFA">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(5)参加政府采购活动前三年内在经营活动中没有重大违法记录的证明材料；</w:t>
      </w:r>
    </w:p>
    <w:p w14:paraId="340E88EB">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(6)未被列入失信被执行人、重大税收违法案件当事人名单、政府采购严重违法失信行为记录名单的资料。</w:t>
      </w:r>
    </w:p>
    <w:p w14:paraId="195CFC4C">
      <w:pPr>
        <w:adjustRightInd w:val="0"/>
        <w:snapToGrid w:val="0"/>
        <w:spacing w:line="500" w:lineRule="exact"/>
        <w:ind w:firstLine="482" w:firstLineChars="200"/>
        <w:rPr>
          <w:rFonts w:ascii="宋体" w:hAnsi="宋体" w:eastAsia="宋体" w:cs="宋体"/>
          <w:b/>
          <w:sz w:val="24"/>
          <w:szCs w:val="32"/>
          <w:highlight w:val="none"/>
        </w:rPr>
      </w:pPr>
      <w:r>
        <w:rPr>
          <w:rFonts w:hint="eastAsia" w:ascii="宋体" w:hAnsi="宋体" w:eastAsia="宋体" w:cs="宋体"/>
          <w:b/>
          <w:sz w:val="24"/>
          <w:szCs w:val="32"/>
          <w:highlight w:val="none"/>
        </w:rPr>
        <w:t>21.</w:t>
      </w:r>
      <w:r>
        <w:rPr>
          <w:rFonts w:hint="eastAsia" w:ascii="宋体" w:hAnsi="宋体" w:eastAsia="宋体" w:cs="宋体"/>
          <w:b/>
          <w:sz w:val="24"/>
          <w:szCs w:val="32"/>
          <w:highlight w:val="none"/>
          <w:lang w:val="en-US" w:eastAsia="zh-CN"/>
        </w:rPr>
        <w:t>6</w:t>
      </w:r>
      <w:r>
        <w:rPr>
          <w:rFonts w:hint="eastAsia" w:ascii="宋体" w:hAnsi="宋体" w:eastAsia="宋体" w:cs="宋体"/>
          <w:b/>
          <w:sz w:val="24"/>
          <w:szCs w:val="32"/>
          <w:highlight w:val="none"/>
        </w:rPr>
        <w:t>.</w:t>
      </w:r>
      <w:r>
        <w:rPr>
          <w:rFonts w:hint="eastAsia" w:ascii="宋体" w:hAnsi="宋体" w:eastAsia="宋体" w:cs="宋体"/>
          <w:b/>
          <w:sz w:val="24"/>
          <w:szCs w:val="32"/>
          <w:highlight w:val="none"/>
          <w:lang w:val="en-US" w:eastAsia="zh-CN"/>
        </w:rPr>
        <w:t>2</w:t>
      </w:r>
      <w:r>
        <w:rPr>
          <w:rFonts w:hint="eastAsia" w:ascii="宋体" w:hAnsi="宋体" w:eastAsia="宋体" w:cs="宋体"/>
          <w:b/>
          <w:sz w:val="24"/>
          <w:szCs w:val="32"/>
          <w:highlight w:val="none"/>
        </w:rPr>
        <w:t>承诺函内容及格式详见投标文件格式《供应商信用承诺函》，未按照规定提供承诺函的按无效投标处理。</w:t>
      </w:r>
    </w:p>
    <w:p w14:paraId="0C42C714">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21.</w:t>
      </w:r>
      <w:r>
        <w:rPr>
          <w:rFonts w:hint="eastAsia" w:ascii="宋体" w:hAnsi="宋体" w:eastAsia="宋体" w:cs="宋体"/>
          <w:bCs/>
          <w:sz w:val="24"/>
          <w:szCs w:val="32"/>
          <w:highlight w:val="none"/>
          <w:lang w:val="en-US" w:eastAsia="zh-CN"/>
        </w:rPr>
        <w:t>6</w:t>
      </w:r>
      <w:r>
        <w:rPr>
          <w:rFonts w:hint="eastAsia" w:ascii="宋体" w:hAnsi="宋体" w:eastAsia="宋体" w:cs="宋体"/>
          <w:bCs/>
          <w:sz w:val="24"/>
          <w:szCs w:val="32"/>
          <w:highlight w:val="none"/>
        </w:rPr>
        <w:t>.</w:t>
      </w:r>
      <w:r>
        <w:rPr>
          <w:rFonts w:hint="eastAsia" w:ascii="宋体" w:hAnsi="宋体" w:eastAsia="宋体" w:cs="宋体"/>
          <w:bCs/>
          <w:sz w:val="24"/>
          <w:szCs w:val="32"/>
          <w:highlight w:val="none"/>
          <w:lang w:val="en-US" w:eastAsia="zh-CN"/>
        </w:rPr>
        <w:t>3</w:t>
      </w:r>
      <w:r>
        <w:rPr>
          <w:rFonts w:hint="eastAsia" w:ascii="宋体" w:hAnsi="宋体" w:eastAsia="宋体" w:cs="宋体"/>
          <w:b/>
          <w:bCs w:val="0"/>
          <w:sz w:val="24"/>
          <w:szCs w:val="32"/>
          <w:highlight w:val="none"/>
        </w:rPr>
        <w:t>不适用信用承诺的情形（供应商有下列情形的不能提交信用承诺书）：</w:t>
      </w:r>
    </w:p>
    <w:p w14:paraId="45CEEF78">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（1）供应商被列入严重违法失信名单、失信被执行人、重大税收违法失信主体、政府采购严重违法失信行为记录名单；</w:t>
      </w:r>
    </w:p>
    <w:p w14:paraId="55552C51">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（2）被相关监管部门作出行政处罚且尚在处罚有效期内；</w:t>
      </w:r>
    </w:p>
    <w:p w14:paraId="23F4FF8C">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（3）曾作出采购虚假承诺；</w:t>
      </w:r>
    </w:p>
    <w:p w14:paraId="345841AB">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（4）其他法律、行政法规、行政规章或者各级政策文件规定的不适用信用承诺的情形。</w:t>
      </w:r>
    </w:p>
    <w:p w14:paraId="6B4A451E">
      <w:pPr>
        <w:adjustRightInd w:val="0"/>
        <w:snapToGrid w:val="0"/>
        <w:spacing w:line="500" w:lineRule="exact"/>
        <w:ind w:firstLine="482" w:firstLineChars="200"/>
        <w:rPr>
          <w:rFonts w:hint="eastAsia" w:ascii="宋体" w:hAnsi="宋体" w:eastAsia="宋体" w:cs="宋体"/>
          <w:b/>
          <w:bCs w:val="0"/>
          <w:sz w:val="24"/>
          <w:szCs w:val="32"/>
          <w:highlight w:val="none"/>
          <w:lang w:eastAsia="zh-CN"/>
        </w:rPr>
      </w:pPr>
      <w:r>
        <w:rPr>
          <w:rFonts w:hint="eastAsia" w:ascii="宋体" w:hAnsi="宋体" w:eastAsia="宋体" w:cs="宋体"/>
          <w:b/>
          <w:bCs w:val="0"/>
          <w:sz w:val="24"/>
          <w:szCs w:val="32"/>
          <w:highlight w:val="none"/>
          <w:lang w:val="en-US" w:eastAsia="zh-CN"/>
        </w:rPr>
        <w:t>21.7</w:t>
      </w:r>
      <w:r>
        <w:rPr>
          <w:rFonts w:hint="eastAsia" w:ascii="宋体" w:hAnsi="宋体" w:eastAsia="宋体" w:cs="宋体"/>
          <w:b/>
          <w:bCs w:val="0"/>
          <w:sz w:val="24"/>
          <w:szCs w:val="32"/>
          <w:highlight w:val="none"/>
          <w:lang w:eastAsia="zh-CN"/>
        </w:rPr>
        <w:t>资格审查方法：合格制</w:t>
      </w:r>
    </w:p>
    <w:p w14:paraId="5B9D46BB">
      <w:pPr>
        <w:adjustRightInd w:val="0"/>
        <w:snapToGrid w:val="0"/>
        <w:spacing w:line="500" w:lineRule="exact"/>
        <w:ind w:firstLine="482" w:firstLineChars="200"/>
        <w:rPr>
          <w:rFonts w:hint="eastAsia" w:ascii="宋体" w:hAnsi="宋体" w:eastAsia="宋体" w:cs="宋体"/>
          <w:b/>
          <w:bCs w:val="0"/>
          <w:sz w:val="24"/>
          <w:szCs w:val="32"/>
          <w:highlight w:val="none"/>
        </w:rPr>
      </w:pPr>
      <w:r>
        <w:rPr>
          <w:rFonts w:hint="eastAsia" w:ascii="宋体" w:hAnsi="宋体" w:eastAsia="宋体" w:cs="宋体"/>
          <w:b/>
          <w:bCs w:val="0"/>
          <w:sz w:val="24"/>
          <w:szCs w:val="32"/>
          <w:highlight w:val="none"/>
          <w:lang w:val="en-US" w:eastAsia="zh-CN"/>
        </w:rPr>
        <w:t>21.8</w:t>
      </w:r>
      <w:r>
        <w:rPr>
          <w:rFonts w:hint="eastAsia" w:ascii="宋体" w:hAnsi="宋体" w:eastAsia="宋体" w:cs="宋体"/>
          <w:b/>
          <w:bCs w:val="0"/>
          <w:sz w:val="24"/>
          <w:szCs w:val="32"/>
          <w:highlight w:val="none"/>
          <w:lang w:eastAsia="zh-CN"/>
        </w:rPr>
        <w:t>编制资格审查报告，合格投标人不足3家的，不得评标。</w:t>
      </w:r>
    </w:p>
    <w:p w14:paraId="58B08426">
      <w:pPr>
        <w:adjustRightInd w:val="0"/>
        <w:snapToGrid w:val="0"/>
        <w:spacing w:line="500" w:lineRule="exact"/>
        <w:ind w:firstLine="482" w:firstLineChars="200"/>
        <w:rPr>
          <w:rFonts w:hint="eastAsia" w:ascii="宋体" w:hAnsi="宋体" w:eastAsia="宋体" w:cs="宋体"/>
          <w:b/>
          <w:bCs w:val="0"/>
          <w:sz w:val="24"/>
          <w:szCs w:val="32"/>
          <w:highlight w:val="none"/>
        </w:rPr>
      </w:pPr>
      <w:r>
        <w:rPr>
          <w:rFonts w:hint="eastAsia" w:ascii="宋体" w:hAnsi="宋体" w:eastAsia="宋体" w:cs="宋体"/>
          <w:b/>
          <w:bCs w:val="0"/>
          <w:sz w:val="24"/>
          <w:szCs w:val="32"/>
          <w:highlight w:val="none"/>
        </w:rPr>
        <w:t>22、评标原则</w:t>
      </w:r>
    </w:p>
    <w:p w14:paraId="3506ACC6">
      <w:pPr>
        <w:adjustRightInd w:val="0"/>
        <w:snapToGrid w:val="0"/>
        <w:spacing w:line="500" w:lineRule="exact"/>
        <w:ind w:firstLine="480" w:firstLineChars="200"/>
        <w:rPr>
          <w:rFonts w:hint="eastAsia" w:ascii="宋体" w:hAnsi="宋体" w:eastAsia="宋体" w:cs="宋体"/>
          <w:bCs/>
          <w:sz w:val="24"/>
          <w:szCs w:val="32"/>
          <w:highlight w:val="none"/>
          <w:lang w:eastAsia="zh-CN"/>
        </w:rPr>
      </w:pPr>
      <w:r>
        <w:rPr>
          <w:rFonts w:hint="eastAsia" w:ascii="宋体" w:hAnsi="宋体" w:eastAsia="宋体" w:cs="宋体"/>
          <w:bCs/>
          <w:sz w:val="24"/>
          <w:szCs w:val="32"/>
          <w:highlight w:val="none"/>
        </w:rPr>
        <w:t>评标活动遵循客观、公正、审慎的原则。</w:t>
      </w:r>
    </w:p>
    <w:p w14:paraId="6D046D74">
      <w:pPr>
        <w:adjustRightInd w:val="0"/>
        <w:snapToGrid w:val="0"/>
        <w:spacing w:line="500" w:lineRule="exact"/>
        <w:ind w:firstLine="482" w:firstLineChars="200"/>
        <w:rPr>
          <w:rFonts w:ascii="宋体" w:hAnsi="宋体" w:eastAsia="宋体" w:cs="宋体"/>
          <w:b/>
          <w:bCs/>
          <w:sz w:val="24"/>
          <w:szCs w:val="32"/>
          <w:highlight w:val="none"/>
        </w:rPr>
      </w:pPr>
      <w:r>
        <w:rPr>
          <w:rFonts w:hint="eastAsia" w:ascii="宋体" w:hAnsi="宋体" w:eastAsia="宋体" w:cs="宋体"/>
          <w:b/>
          <w:bCs/>
          <w:sz w:val="24"/>
          <w:szCs w:val="32"/>
          <w:highlight w:val="none"/>
        </w:rPr>
        <w:t>23、采购人或者采购代理机构负责组织评标工作，并履行下列职</w:t>
      </w:r>
      <w:r>
        <w:rPr>
          <w:rFonts w:hint="eastAsia" w:ascii="宋体" w:hAnsi="宋体" w:eastAsia="宋体" w:cs="宋体"/>
          <w:b/>
          <w:bCs/>
          <w:sz w:val="24"/>
          <w:szCs w:val="32"/>
          <w:highlight w:val="none"/>
          <w:lang w:val="en-US" w:eastAsia="zh-CN"/>
        </w:rPr>
        <w:t>责</w:t>
      </w:r>
      <w:r>
        <w:rPr>
          <w:rFonts w:hint="eastAsia" w:ascii="宋体" w:hAnsi="宋体" w:eastAsia="宋体" w:cs="宋体"/>
          <w:b/>
          <w:bCs/>
          <w:sz w:val="24"/>
          <w:szCs w:val="32"/>
          <w:highlight w:val="none"/>
        </w:rPr>
        <w:t>：</w:t>
      </w:r>
    </w:p>
    <w:p w14:paraId="1A0FDD9E">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23.1核对评审专家身份和采购人代表授权函，对评审专家在采购活动中的职责履行情况予以记录，并及时将有关违法违规行为向相关主管部门报告；</w:t>
      </w:r>
    </w:p>
    <w:p w14:paraId="2930C3C6">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23.2在评审活动开始前宣布评审工作纪律,并书面记载评审工作纪律执行情况；</w:t>
      </w:r>
    </w:p>
    <w:p w14:paraId="5B23452F">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23.3公布投标人名单，告知评审专家应当回避的情形；</w:t>
      </w:r>
    </w:p>
    <w:p w14:paraId="2E71FCAB">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23.4组织评标委员会推选评标组长，采购人代表不得担任组长；</w:t>
      </w:r>
    </w:p>
    <w:p w14:paraId="78F38416">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23.5在评标期间采取必要的通讯管理措施，保证评标活动不受外界干扰；</w:t>
      </w:r>
    </w:p>
    <w:p w14:paraId="20EC6055">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23.6根据评标委员会的要求介绍政府采购相关政策法规、招标文件；</w:t>
      </w:r>
    </w:p>
    <w:p w14:paraId="30AACDB5">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23.7维护评标秩序，监督评标委员会依照招标文件规定的评标程序、方法和标准进行独立评审，及时制止和纠正采购人代表、评审专家的倾向性言论或者违法违规行为；</w:t>
      </w:r>
    </w:p>
    <w:p w14:paraId="00094F28">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23.8核对评标结果，有《政府采购货物和服务招标投标管理办法》财政部令第87号第六十四条规定情形的，要求评标委员会复核或者书面说明理由，评标委员会拒绝的，应予记录并向本级相关主管部门报告；</w:t>
      </w:r>
    </w:p>
    <w:p w14:paraId="185D4E81">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23.9评审工作完成后，按照规定向评审专家支付劳务报酬和异地评审差旅费，不得向评审专家以外的其他人员支付评审劳务报酬；</w:t>
      </w:r>
    </w:p>
    <w:p w14:paraId="4B9E9F0E">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23.10处理与评标有关的其他事项。</w:t>
      </w:r>
    </w:p>
    <w:p w14:paraId="0367CD1E">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采购人可以在评标前说明项目背景和采购需求，说明内容不得含有歧视性、倾向性意见，不得超出招标文件所述范围。说明应当提交书面材料，并随招标文件一并存档。</w:t>
      </w:r>
    </w:p>
    <w:p w14:paraId="2C8F06AE">
      <w:pPr>
        <w:adjustRightInd w:val="0"/>
        <w:snapToGrid w:val="0"/>
        <w:spacing w:line="500" w:lineRule="exact"/>
        <w:ind w:firstLine="482" w:firstLineChars="200"/>
        <w:rPr>
          <w:rFonts w:ascii="宋体" w:hAnsi="宋体" w:eastAsia="宋体" w:cs="宋体"/>
          <w:b/>
          <w:bCs/>
          <w:sz w:val="24"/>
          <w:szCs w:val="32"/>
          <w:highlight w:val="none"/>
        </w:rPr>
      </w:pPr>
      <w:r>
        <w:rPr>
          <w:rFonts w:hint="eastAsia" w:ascii="宋体" w:hAnsi="宋体" w:eastAsia="宋体" w:cs="宋体"/>
          <w:b/>
          <w:bCs/>
          <w:sz w:val="24"/>
          <w:szCs w:val="32"/>
          <w:highlight w:val="none"/>
        </w:rPr>
        <w:t>24、评标委员会负责具体评标事务，并独立履行下列职责：</w:t>
      </w:r>
    </w:p>
    <w:p w14:paraId="222F2675">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24.1审查、评价投标文件是否符合招标文件的商务、技术等实质性要求；</w:t>
      </w:r>
    </w:p>
    <w:p w14:paraId="5A6445F0">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24.2要求投标人对投标文件有关事项作出澄清或者说明；</w:t>
      </w:r>
    </w:p>
    <w:p w14:paraId="5F81D22E">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24.3对投标文件进行比较和评价；</w:t>
      </w:r>
    </w:p>
    <w:p w14:paraId="38FDD905">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24.4确定中标候选人名单，以及根据采购人委托直接确定中标人；</w:t>
      </w:r>
    </w:p>
    <w:p w14:paraId="05843C95">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24.5向采购人、采购代理机构或者有关部门报告评标中发现的违法行为。</w:t>
      </w:r>
    </w:p>
    <w:p w14:paraId="5DE762D9">
      <w:pPr>
        <w:adjustRightInd w:val="0"/>
        <w:snapToGrid w:val="0"/>
        <w:spacing w:line="500" w:lineRule="exact"/>
        <w:ind w:firstLine="482" w:firstLineChars="200"/>
        <w:rPr>
          <w:rFonts w:ascii="宋体" w:hAnsi="宋体" w:eastAsia="宋体" w:cs="宋体"/>
          <w:b/>
          <w:bCs w:val="0"/>
          <w:sz w:val="24"/>
          <w:szCs w:val="32"/>
          <w:highlight w:val="none"/>
        </w:rPr>
      </w:pPr>
      <w:r>
        <w:rPr>
          <w:rFonts w:hint="eastAsia" w:ascii="宋体" w:hAnsi="宋体" w:eastAsia="宋体" w:cs="宋体"/>
          <w:b/>
          <w:bCs w:val="0"/>
          <w:sz w:val="24"/>
          <w:szCs w:val="32"/>
          <w:highlight w:val="none"/>
        </w:rPr>
        <w:t>24.6评标委员会及其成员不得有下列行为：</w:t>
      </w:r>
    </w:p>
    <w:p w14:paraId="1267993D">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（1）确定参与评标至评标结束前私自接触投标人；</w:t>
      </w:r>
    </w:p>
    <w:p w14:paraId="067BC756">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（2）接受投标人提出的与投标文件不一致的澄清或者说明，财政部令第87号第五十一条规定的情形除外；</w:t>
      </w:r>
    </w:p>
    <w:p w14:paraId="2FF096A0">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（3）违反评标纪律发表倾向性意见或者征询采购人的倾向性意见；</w:t>
      </w:r>
    </w:p>
    <w:p w14:paraId="5D954468">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（4）对需要专业判断的主观评审因素协商评分；</w:t>
      </w:r>
    </w:p>
    <w:p w14:paraId="3A279358">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（5）在评标过程中擅离职守，影响评标程序正常进行的；</w:t>
      </w:r>
    </w:p>
    <w:p w14:paraId="07097617">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（6）记录、复制或者带走任何评标资料；</w:t>
      </w:r>
    </w:p>
    <w:p w14:paraId="63860E78">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（7）其他不遵守评标纪律的行为。</w:t>
      </w:r>
    </w:p>
    <w:p w14:paraId="25FE41C7">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评标委员会成员有上述第一至五项行为之一的，其评审意见无效，并不得获取评审劳务报酬和报销异地评审差旅费。</w:t>
      </w:r>
    </w:p>
    <w:p w14:paraId="0DACD026">
      <w:pPr>
        <w:adjustRightInd w:val="0"/>
        <w:snapToGrid w:val="0"/>
        <w:spacing w:line="500" w:lineRule="exact"/>
        <w:ind w:firstLine="482" w:firstLineChars="200"/>
        <w:rPr>
          <w:rFonts w:ascii="宋体" w:hAnsi="宋体" w:eastAsia="宋体" w:cs="宋体"/>
          <w:b/>
          <w:bCs/>
          <w:sz w:val="24"/>
          <w:szCs w:val="32"/>
          <w:highlight w:val="none"/>
        </w:rPr>
      </w:pPr>
      <w:r>
        <w:rPr>
          <w:rFonts w:hint="eastAsia" w:ascii="宋体" w:hAnsi="宋体" w:eastAsia="宋体" w:cs="宋体"/>
          <w:b/>
          <w:bCs/>
          <w:sz w:val="24"/>
          <w:szCs w:val="32"/>
          <w:highlight w:val="none"/>
        </w:rPr>
        <w:t>25、评标委员会</w:t>
      </w:r>
    </w:p>
    <w:p w14:paraId="5144947F">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评标委员会组成：按照《中华人民共和国政府采购法》和相关法律的规定，评标由依法组建的评标委员会负责。评标委员会由采购人代表和评审专家5人构成，其中评审专家不得少于成员总数的三分之二；参加评标的专家从财政部门建立的专家库中随机抽取，评标委员会成员不得参加开标活动。</w:t>
      </w:r>
    </w:p>
    <w:p w14:paraId="5CBCC088">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25.1评标委员会成员有下列情形之一的，应当回避：</w:t>
      </w:r>
    </w:p>
    <w:p w14:paraId="3A43ECA4">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（1）参加采购活动前3年内与投标人存在劳动关系；</w:t>
      </w:r>
    </w:p>
    <w:p w14:paraId="62F7C786">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（2）参加采购活动前3年内担任投标人的董事、监事；</w:t>
      </w:r>
    </w:p>
    <w:p w14:paraId="0242DFB6">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（3）参加采购活动前3年内是投标人的控股股东或者实际控制人；</w:t>
      </w:r>
    </w:p>
    <w:p w14:paraId="78A29F62">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（4）与投标人的法定代表人或者负责人有夫妻、直系血亲、三代以内旁系血亲或者近姻亲关系；</w:t>
      </w:r>
    </w:p>
    <w:p w14:paraId="3C3D8DA9">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（5）与投标人有其他可能影响政府采购活动公平、公正进行的关系。</w:t>
      </w:r>
    </w:p>
    <w:p w14:paraId="0E5E5EC7">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25.2采购人代表不得以评审专家身份参加本部门或本单位采购项目的评标，《政府采购货物和服务招标投报管理办法》财政部第87号令第四十八条第二款“对技术复杂、专业性强的采购项目，通过随机方式难以确定合适评审专家的，经主管预算单位同意，采购人可以自行选定相应专业领域的评审专家。”规定的情形除外。采购代理机构人员不得参加本机构代理的采购项目的评标。</w:t>
      </w:r>
    </w:p>
    <w:p w14:paraId="14B888DE">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25.3评标中因评标委员会成员缺席、回避或者健康等特殊原因导致评标委员会组成不符合本办法规定的，采购人或者采购代理机构应当依法补足后继续评标。被更换的评标委员会成员所作出的评标意见无效。</w:t>
      </w:r>
    </w:p>
    <w:p w14:paraId="4BA2A79F">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无法及时补足评标委员会成员的，采购人或者采购代理机构应当停止评标活动，封存所有投标文件和开标、评标资料，依法重新组建评标委员会进行评标。原评标委员会所作出的评标意见无效。</w:t>
      </w:r>
    </w:p>
    <w:p w14:paraId="5CFC791A">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采购人或者采购代理机构应当将变更、重新组建评标委员会的情况予以记录，并随招标文件一并存档。</w:t>
      </w:r>
    </w:p>
    <w:p w14:paraId="10CA0F6C">
      <w:pPr>
        <w:adjustRightInd w:val="0"/>
        <w:snapToGrid w:val="0"/>
        <w:spacing w:line="500" w:lineRule="exact"/>
        <w:ind w:firstLine="480" w:firstLineChars="200"/>
        <w:rPr>
          <w:rFonts w:hint="eastAsia" w:ascii="宋体" w:hAnsi="宋体" w:eastAsia="宋体" w:cs="宋体"/>
          <w:bCs/>
          <w:sz w:val="24"/>
          <w:szCs w:val="32"/>
          <w:highlight w:val="none"/>
          <w:lang w:eastAsia="zh-CN"/>
        </w:rPr>
      </w:pPr>
      <w:r>
        <w:rPr>
          <w:rFonts w:hint="eastAsia" w:ascii="宋体" w:hAnsi="宋体" w:eastAsia="宋体" w:cs="宋体"/>
          <w:bCs/>
          <w:sz w:val="24"/>
          <w:szCs w:val="32"/>
          <w:highlight w:val="none"/>
        </w:rPr>
        <w:t>25.4评标委员会成员名单在评标结果公告前应当保密。</w:t>
      </w:r>
    </w:p>
    <w:p w14:paraId="322171E6">
      <w:pPr>
        <w:adjustRightInd w:val="0"/>
        <w:snapToGrid w:val="0"/>
        <w:spacing w:line="500" w:lineRule="exact"/>
        <w:ind w:firstLine="482" w:firstLineChars="200"/>
        <w:rPr>
          <w:rFonts w:ascii="宋体" w:hAnsi="宋体" w:eastAsia="宋体" w:cs="宋体"/>
          <w:b/>
          <w:bCs/>
          <w:sz w:val="24"/>
          <w:szCs w:val="32"/>
          <w:highlight w:val="none"/>
        </w:rPr>
      </w:pPr>
      <w:r>
        <w:rPr>
          <w:rFonts w:hint="eastAsia" w:ascii="宋体" w:hAnsi="宋体" w:eastAsia="宋体" w:cs="宋体"/>
          <w:b/>
          <w:bCs/>
          <w:sz w:val="24"/>
          <w:szCs w:val="32"/>
          <w:highlight w:val="none"/>
        </w:rPr>
        <w:t>26、符合性审查</w:t>
      </w:r>
    </w:p>
    <w:p w14:paraId="41E20A8E">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26.1评标委员会应当对通过资格性审查的投标人的投标文件进行符合性审查，以确定其是否满足招标文件的实质性要求。其中供应商存在下列情形的，视为无效投标：</w:t>
      </w:r>
    </w:p>
    <w:p w14:paraId="3DE8A69F">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（1）投标文件未提供投标承诺函的；</w:t>
      </w:r>
    </w:p>
    <w:p w14:paraId="69F93008">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（2）投标有效期不满足招标文件要求的；</w:t>
      </w:r>
    </w:p>
    <w:p w14:paraId="448FCFF9">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（3）报价超过招标文件中规定的预算金额或者最高限价的；</w:t>
      </w:r>
    </w:p>
    <w:p w14:paraId="2E17402D">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（4）投标文件未按招标文件要求签署、盖章的；</w:t>
      </w:r>
    </w:p>
    <w:p w14:paraId="0283DA08">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（5）采购产品数量不满足招标文件要求的；</w:t>
      </w:r>
    </w:p>
    <w:p w14:paraId="5BD49E93">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（6）质保期及</w:t>
      </w:r>
      <w:r>
        <w:rPr>
          <w:rFonts w:hint="eastAsia" w:ascii="宋体" w:hAnsi="宋体" w:eastAsia="宋体" w:cs="宋体"/>
          <w:bCs/>
          <w:sz w:val="24"/>
          <w:szCs w:val="32"/>
          <w:highlight w:val="none"/>
          <w:lang w:val="en-US" w:eastAsia="zh-CN"/>
        </w:rPr>
        <w:t>服务</w:t>
      </w:r>
      <w:r>
        <w:rPr>
          <w:rFonts w:hint="eastAsia" w:ascii="宋体" w:hAnsi="宋体" w:eastAsia="宋体" w:cs="宋体"/>
          <w:bCs/>
          <w:sz w:val="24"/>
          <w:szCs w:val="32"/>
          <w:highlight w:val="none"/>
        </w:rPr>
        <w:t>期不满足招标文件要求的；</w:t>
      </w:r>
    </w:p>
    <w:p w14:paraId="1D2FFC3E">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（7）法律、法规和招标文件规定的其他无效情形；</w:t>
      </w:r>
    </w:p>
    <w:p w14:paraId="2D03E382">
      <w:pPr>
        <w:adjustRightInd w:val="0"/>
        <w:snapToGrid w:val="0"/>
        <w:spacing w:line="500" w:lineRule="exact"/>
        <w:ind w:firstLine="482" w:firstLineChars="200"/>
        <w:rPr>
          <w:rFonts w:ascii="宋体" w:hAnsi="宋体" w:eastAsia="宋体" w:cs="宋体"/>
          <w:b/>
          <w:bCs/>
          <w:sz w:val="24"/>
          <w:szCs w:val="32"/>
          <w:highlight w:val="none"/>
        </w:rPr>
      </w:pPr>
      <w:r>
        <w:rPr>
          <w:rFonts w:hint="eastAsia" w:ascii="宋体" w:hAnsi="宋体" w:eastAsia="宋体" w:cs="宋体"/>
          <w:b/>
          <w:bCs/>
          <w:sz w:val="24"/>
          <w:szCs w:val="32"/>
          <w:highlight w:val="none"/>
        </w:rPr>
        <w:t>27、投标文件的澄清和补正</w:t>
      </w:r>
    </w:p>
    <w:p w14:paraId="28446E9B">
      <w:pPr>
        <w:adjustRightInd w:val="0"/>
        <w:snapToGrid w:val="0"/>
        <w:spacing w:line="500" w:lineRule="exact"/>
        <w:ind w:firstLine="480" w:firstLineChars="200"/>
        <w:rPr>
          <w:rFonts w:ascii="宋体" w:hAnsi="宋体" w:eastAsia="宋体" w:cs="宋体"/>
          <w:b/>
          <w:bCs w:val="0"/>
          <w:sz w:val="24"/>
          <w:szCs w:val="32"/>
          <w:highlight w:val="none"/>
        </w:rPr>
      </w:pPr>
      <w:r>
        <w:rPr>
          <w:rFonts w:hint="eastAsia" w:ascii="宋体" w:hAnsi="宋体" w:eastAsia="宋体" w:cs="宋体"/>
          <w:bCs/>
          <w:sz w:val="24"/>
          <w:szCs w:val="32"/>
          <w:highlight w:val="none"/>
        </w:rPr>
        <w:t>27.1</w:t>
      </w:r>
      <w:r>
        <w:rPr>
          <w:rFonts w:hint="eastAsia" w:ascii="宋体" w:hAnsi="宋体" w:eastAsia="宋体" w:cs="宋体"/>
          <w:b/>
          <w:bCs w:val="0"/>
          <w:sz w:val="24"/>
          <w:szCs w:val="32"/>
          <w:highlight w:val="none"/>
        </w:rPr>
        <w:t>评标委员会对于投标文件中含义不明确、同类问题表述不一致或者有明显文字和计算错误的内容，评标委员会应当以书面形式要求供应商作出必要的澄清、说明或者补正。</w:t>
      </w:r>
    </w:p>
    <w:p w14:paraId="46B87F7B">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27.2供应商的澄清、说明或者补正应当采用书面形式，并加盖公章，或者由法定代表人或其授权的代表签字。投标人的澄清、说明或者补正不得超出投标文件的范围或者改变投标文件的实质性内容。</w:t>
      </w:r>
    </w:p>
    <w:p w14:paraId="262D7735">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27.3</w:t>
      </w:r>
      <w:r>
        <w:rPr>
          <w:rFonts w:hint="eastAsia" w:ascii="宋体" w:hAnsi="宋体" w:eastAsia="宋体" w:cs="宋体"/>
          <w:b/>
          <w:bCs w:val="0"/>
          <w:sz w:val="24"/>
          <w:szCs w:val="32"/>
          <w:highlight w:val="none"/>
        </w:rPr>
        <w:t>供应商澄清和补正方式：采用电子邮件模式</w:t>
      </w:r>
      <w:r>
        <w:rPr>
          <w:rFonts w:hint="eastAsia" w:ascii="宋体" w:hAnsi="宋体" w:eastAsia="宋体" w:cs="宋体"/>
          <w:bCs/>
          <w:sz w:val="24"/>
          <w:szCs w:val="32"/>
          <w:highlight w:val="none"/>
        </w:rPr>
        <w:t>。供应商须在投标文件中提供有效接收邮件的电子邮箱，采购代理机构通过电子邮件方式将需要澄清和补正的内容发送至供应商电子邮箱。如供应商在评标期间无法取得联系或未按照要求在规定的时间作出邮件回复，所有后果均由供应商自行承担。</w:t>
      </w:r>
    </w:p>
    <w:p w14:paraId="32085C4F">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27.4评标委员会不接受供应商主动提出的澄清、说明或补正。澄清、说明和补正不得改变投标文件的实质性内容（算术性错误修正的除外）。评标委员会对供应商提交的澄清、说明或补正有疑问的，可以要求供应商进一步澄清、说明或补正，直至满足评标委员会的要求。供应商的书面澄清、说明和补正属于投标文件的组成部分。</w:t>
      </w:r>
    </w:p>
    <w:p w14:paraId="05A5D43E">
      <w:pPr>
        <w:adjustRightInd w:val="0"/>
        <w:snapToGrid w:val="0"/>
        <w:spacing w:line="500" w:lineRule="exact"/>
        <w:ind w:firstLine="482" w:firstLineChars="200"/>
        <w:rPr>
          <w:rFonts w:ascii="宋体" w:hAnsi="宋体" w:eastAsia="宋体" w:cs="宋体"/>
          <w:b/>
          <w:bCs/>
          <w:sz w:val="24"/>
          <w:szCs w:val="32"/>
          <w:highlight w:val="none"/>
        </w:rPr>
      </w:pPr>
      <w:r>
        <w:rPr>
          <w:rFonts w:hint="eastAsia" w:ascii="宋体" w:hAnsi="宋体" w:eastAsia="宋体" w:cs="宋体"/>
          <w:b/>
          <w:bCs/>
          <w:sz w:val="24"/>
          <w:szCs w:val="32"/>
          <w:highlight w:val="none"/>
        </w:rPr>
        <w:t>28、评标办法</w:t>
      </w:r>
    </w:p>
    <w:p w14:paraId="274C6CF1">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28.1本次评标采用综合评分法。评标委员会按照第三章“评标办法”规定的评审因素、标准和程序对满足招标文件实质性要求的投标文件进行综合评分，并按得分由高到低顺序推荐中标候选人。（评分分值计算保留小数点后两位，小数点后第三位“四舍五入”。）最终得分相同的，按投标报价由低到高顺序排列。评标办法没有规定的方法、评审因素和标准，不作为评标依据。采购人不保证投标总报价最低者为中标候选人。</w:t>
      </w:r>
    </w:p>
    <w:p w14:paraId="3D8CBF7A">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28.2评标委员会成员对需要共同认定的事项存在争议的，应当按照少数服从多数的原则作出结论。持不同意见的评标委员会成员应当在评标报告上签署不同意见及理由，否则视为同意评标报告。</w:t>
      </w:r>
    </w:p>
    <w:p w14:paraId="44D44B64">
      <w:pPr>
        <w:adjustRightInd w:val="0"/>
        <w:snapToGrid w:val="0"/>
        <w:spacing w:line="500" w:lineRule="exact"/>
        <w:ind w:firstLine="480" w:firstLineChars="200"/>
        <w:rPr>
          <w:rFonts w:hint="eastAsia" w:ascii="宋体" w:hAnsi="宋体" w:eastAsia="宋体" w:cs="宋体"/>
          <w:bCs/>
          <w:sz w:val="24"/>
          <w:szCs w:val="32"/>
          <w:highlight w:val="none"/>
        </w:rPr>
      </w:pPr>
      <w:r>
        <w:rPr>
          <w:rFonts w:hint="eastAsia" w:ascii="宋体" w:hAnsi="宋体" w:eastAsia="宋体" w:cs="宋体"/>
          <w:bCs/>
          <w:sz w:val="24"/>
          <w:szCs w:val="32"/>
          <w:highlight w:val="none"/>
        </w:rPr>
        <w:t>28.3评标委员会评标结束后将向采购人提交评标报告，并按得分高低按顺序向采购人推荐3名中标候选人；中标候选供应商数量应当根据采购需要确定，但必须按顺序排列中标候选人。</w:t>
      </w:r>
    </w:p>
    <w:p w14:paraId="049A13A6">
      <w:pPr>
        <w:bidi w:val="0"/>
      </w:pPr>
    </w:p>
    <w:p w14:paraId="75828CA6">
      <w:pPr>
        <w:pStyle w:val="5"/>
        <w:keepNext/>
        <w:keepLines/>
        <w:pageBreakBefore w:val="0"/>
        <w:widowControl w:val="0"/>
        <w:kinsoku/>
        <w:wordWrap/>
        <w:overflowPunct/>
        <w:topLinePunct w:val="0"/>
        <w:autoSpaceDE/>
        <w:autoSpaceDN/>
        <w:bidi w:val="0"/>
        <w:adjustRightInd/>
        <w:snapToGrid/>
        <w:spacing w:before="200" w:beforeLines="0" w:after="200" w:afterLines="0" w:line="500" w:lineRule="exact"/>
        <w:ind w:left="0" w:leftChars="0" w:right="0" w:rightChars="0" w:firstLine="0" w:firstLineChars="0"/>
        <w:jc w:val="center"/>
        <w:textAlignment w:val="auto"/>
        <w:outlineLvl w:val="2"/>
        <w:rPr>
          <w:sz w:val="28"/>
          <w:szCs w:val="28"/>
        </w:rPr>
      </w:pPr>
      <w:bookmarkStart w:id="19" w:name="_Toc9905"/>
      <w:r>
        <w:rPr>
          <w:rFonts w:hint="eastAsia"/>
          <w:sz w:val="28"/>
          <w:szCs w:val="28"/>
        </w:rPr>
        <w:t>七、授予合同</w:t>
      </w:r>
      <w:bookmarkEnd w:id="19"/>
    </w:p>
    <w:p w14:paraId="19C98880">
      <w:pPr>
        <w:adjustRightInd w:val="0"/>
        <w:snapToGrid w:val="0"/>
        <w:spacing w:line="500" w:lineRule="exact"/>
        <w:ind w:firstLine="482" w:firstLineChars="200"/>
        <w:rPr>
          <w:rFonts w:ascii="宋体" w:hAnsi="宋体" w:eastAsia="宋体" w:cs="宋体"/>
          <w:b/>
          <w:bCs/>
          <w:sz w:val="24"/>
          <w:szCs w:val="32"/>
          <w:highlight w:val="none"/>
        </w:rPr>
      </w:pPr>
      <w:r>
        <w:rPr>
          <w:rFonts w:hint="eastAsia" w:ascii="宋体" w:hAnsi="宋体" w:eastAsia="宋体" w:cs="宋体"/>
          <w:b/>
          <w:bCs/>
          <w:sz w:val="24"/>
          <w:szCs w:val="32"/>
          <w:highlight w:val="none"/>
        </w:rPr>
        <w:t>29、定标方式</w:t>
      </w:r>
    </w:p>
    <w:p w14:paraId="7E92A6A7">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采购人依据评标委员会推荐的中标候选人确定最终中标人，评标委员会将向采购人提交评标报告，并按综合得分高低按顺序向采购人推荐3名中标候选人，采购人原则上按中标候选人排名顺序确定最后中标人。</w:t>
      </w:r>
    </w:p>
    <w:p w14:paraId="0675036D">
      <w:pPr>
        <w:adjustRightInd w:val="0"/>
        <w:snapToGrid w:val="0"/>
        <w:spacing w:line="500" w:lineRule="exact"/>
        <w:ind w:firstLine="482" w:firstLineChars="200"/>
        <w:rPr>
          <w:rFonts w:ascii="宋体" w:hAnsi="宋体" w:eastAsia="宋体" w:cs="宋体"/>
          <w:b/>
          <w:bCs/>
          <w:sz w:val="24"/>
          <w:szCs w:val="32"/>
          <w:highlight w:val="none"/>
        </w:rPr>
      </w:pPr>
      <w:r>
        <w:rPr>
          <w:rFonts w:hint="eastAsia" w:ascii="宋体" w:hAnsi="宋体" w:eastAsia="宋体" w:cs="宋体"/>
          <w:b/>
          <w:bCs/>
          <w:sz w:val="24"/>
          <w:szCs w:val="32"/>
          <w:highlight w:val="none"/>
        </w:rPr>
        <w:t>30、中标通知</w:t>
      </w:r>
    </w:p>
    <w:p w14:paraId="2DC1730E">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确定中标人后，在发布中标结果公告的同时，采购人或采购代理机构应当向中标人发出中标通知书。中标人应在接到通知后及时领取中标通知书，采购人应当在领取通知书后1个工作日内按规定与中标人签订采购合同，并在1个工作日内在相关媒体上公告。逾期不领取中标通知书的将视为放弃中标项目，按《政府采购货物与服务招标投标管理办法》(财政部第87号令)第七十条和招标文件第15.2条的规定，对其进行相应处罚。</w:t>
      </w:r>
    </w:p>
    <w:p w14:paraId="179ADAB6">
      <w:pPr>
        <w:adjustRightInd w:val="0"/>
        <w:snapToGrid w:val="0"/>
        <w:spacing w:line="500" w:lineRule="exact"/>
        <w:ind w:firstLine="482" w:firstLineChars="200"/>
        <w:rPr>
          <w:rFonts w:ascii="宋体" w:hAnsi="宋体" w:eastAsia="宋体" w:cs="宋体"/>
          <w:bCs/>
          <w:sz w:val="24"/>
          <w:szCs w:val="32"/>
          <w:highlight w:val="none"/>
        </w:rPr>
      </w:pPr>
      <w:r>
        <w:rPr>
          <w:rFonts w:hint="eastAsia" w:ascii="宋体" w:hAnsi="宋体" w:eastAsia="宋体" w:cs="宋体"/>
          <w:b/>
          <w:bCs/>
          <w:sz w:val="24"/>
          <w:szCs w:val="32"/>
          <w:highlight w:val="none"/>
        </w:rPr>
        <w:t>31、接受和拒绝任何或所有报价的权利</w:t>
      </w:r>
    </w:p>
    <w:p w14:paraId="276B5C1B">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如出现重大变故、采购任务取消的情况，采购人保留因此原因在授予合同之前任何时候接受或拒绝任何报价、以及宣布招标无效或拒绝所有报价的权利，对受影响的投标人不承担任何责任。</w:t>
      </w:r>
    </w:p>
    <w:p w14:paraId="72D5D72D">
      <w:pPr>
        <w:adjustRightInd w:val="0"/>
        <w:snapToGrid w:val="0"/>
        <w:spacing w:line="500" w:lineRule="exact"/>
        <w:ind w:firstLine="482" w:firstLineChars="200"/>
        <w:rPr>
          <w:rFonts w:ascii="宋体" w:hAnsi="宋体" w:eastAsia="宋体" w:cs="宋体"/>
          <w:b/>
          <w:bCs/>
          <w:sz w:val="24"/>
          <w:szCs w:val="32"/>
          <w:highlight w:val="none"/>
        </w:rPr>
      </w:pPr>
      <w:r>
        <w:rPr>
          <w:rFonts w:hint="eastAsia" w:ascii="宋体" w:hAnsi="宋体" w:eastAsia="宋体" w:cs="宋体"/>
          <w:b/>
          <w:bCs/>
          <w:sz w:val="24"/>
          <w:szCs w:val="32"/>
          <w:highlight w:val="none"/>
        </w:rPr>
        <w:t>32、签订合同</w:t>
      </w:r>
    </w:p>
    <w:p w14:paraId="603FC351">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32.1采购人和中标人应当自中标通知书发出之日起1个工作日内，根据招标文件和中标人的投标文件订立书面合同。所签订的合同不得对招标文件确定的事项和中标人投标文件作实质性修改。</w:t>
      </w:r>
    </w:p>
    <w:p w14:paraId="71BB2B52">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32.2中标人无正当理由拒签合同的，采购人取消其中标资格，并按照招标文件第15.2条的规定，对其进行相应处罚；给采购人造成损失的，中标人还应当予以赔偿。</w:t>
      </w:r>
    </w:p>
    <w:p w14:paraId="3E428780">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32.3发出中标通知书后，如因采购人无正当理由拒签合同给中标人造成损失的，应当赔偿其损失。</w:t>
      </w:r>
    </w:p>
    <w:p w14:paraId="5ADEA273">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32.4采购人应当自采购合同签订之日起1个工作日内，将采购合同在省级以上人民政府财政部门指定的媒体上公告，但政府采购合同中涉及国家秘密、商业秘密的内容除外，并按照有关规定备案。</w:t>
      </w:r>
    </w:p>
    <w:p w14:paraId="24D78CEE">
      <w:pPr>
        <w:adjustRightInd w:val="0"/>
        <w:snapToGrid w:val="0"/>
        <w:spacing w:line="500" w:lineRule="exact"/>
        <w:ind w:firstLine="482" w:firstLineChars="200"/>
        <w:rPr>
          <w:rFonts w:ascii="宋体" w:hAnsi="宋体" w:eastAsia="宋体" w:cs="宋体"/>
          <w:b/>
          <w:bCs/>
          <w:sz w:val="24"/>
          <w:szCs w:val="32"/>
          <w:highlight w:val="none"/>
        </w:rPr>
      </w:pPr>
      <w:r>
        <w:rPr>
          <w:rFonts w:hint="eastAsia" w:ascii="宋体" w:hAnsi="宋体" w:eastAsia="宋体" w:cs="宋体"/>
          <w:b/>
          <w:bCs/>
          <w:sz w:val="24"/>
          <w:szCs w:val="32"/>
          <w:highlight w:val="none"/>
        </w:rPr>
        <w:t>33、付款方式：</w:t>
      </w:r>
      <w:r>
        <w:rPr>
          <w:rFonts w:hint="eastAsia" w:ascii="宋体" w:hAnsi="宋体" w:eastAsia="宋体" w:cs="宋体"/>
          <w:sz w:val="24"/>
          <w:szCs w:val="24"/>
          <w:highlight w:val="none"/>
          <w:lang w:val="en-US" w:eastAsia="zh-CN"/>
        </w:rPr>
        <w:t>合同签订后，采购人向中标供应商首付当年合同金额的15%作为预付款，同时中标供应商须向采购人提交同等金额的一年期银行保函。其余金额按月均分并支付，次月支付上月的服务费。</w:t>
      </w:r>
    </w:p>
    <w:p w14:paraId="19C6F4D0">
      <w:pPr>
        <w:pStyle w:val="10"/>
        <w:rPr>
          <w:rFonts w:hint="eastAsia"/>
        </w:rPr>
      </w:pPr>
    </w:p>
    <w:p w14:paraId="48797725">
      <w:pPr>
        <w:pStyle w:val="5"/>
        <w:keepNext/>
        <w:keepLines/>
        <w:pageBreakBefore w:val="0"/>
        <w:widowControl w:val="0"/>
        <w:kinsoku/>
        <w:wordWrap/>
        <w:overflowPunct/>
        <w:topLinePunct w:val="0"/>
        <w:autoSpaceDE/>
        <w:autoSpaceDN/>
        <w:bidi w:val="0"/>
        <w:adjustRightInd/>
        <w:snapToGrid/>
        <w:spacing w:before="200" w:beforeLines="0" w:after="200" w:afterLines="0" w:line="500" w:lineRule="exact"/>
        <w:ind w:left="0" w:leftChars="0" w:right="0" w:rightChars="0" w:firstLine="0" w:firstLineChars="0"/>
        <w:jc w:val="center"/>
        <w:textAlignment w:val="auto"/>
        <w:outlineLvl w:val="2"/>
        <w:rPr>
          <w:sz w:val="28"/>
          <w:szCs w:val="28"/>
        </w:rPr>
      </w:pPr>
      <w:bookmarkStart w:id="20" w:name="_Toc4350"/>
      <w:r>
        <w:rPr>
          <w:rFonts w:hint="eastAsia"/>
          <w:sz w:val="28"/>
          <w:szCs w:val="28"/>
        </w:rPr>
        <w:t>八、废标条件和招标方式变更</w:t>
      </w:r>
      <w:bookmarkEnd w:id="20"/>
    </w:p>
    <w:p w14:paraId="2804F46D">
      <w:pPr>
        <w:adjustRightInd w:val="0"/>
        <w:snapToGrid w:val="0"/>
        <w:spacing w:line="500" w:lineRule="exact"/>
        <w:ind w:firstLine="482" w:firstLineChars="200"/>
        <w:rPr>
          <w:rFonts w:ascii="宋体" w:hAnsi="宋体" w:eastAsia="宋体" w:cs="宋体"/>
          <w:b/>
          <w:bCs/>
          <w:sz w:val="24"/>
          <w:szCs w:val="32"/>
          <w:highlight w:val="none"/>
        </w:rPr>
      </w:pPr>
      <w:r>
        <w:rPr>
          <w:rFonts w:hint="eastAsia" w:ascii="宋体" w:hAnsi="宋体" w:eastAsia="宋体" w:cs="宋体"/>
          <w:b/>
          <w:bCs/>
          <w:sz w:val="24"/>
          <w:szCs w:val="32"/>
          <w:highlight w:val="none"/>
        </w:rPr>
        <w:t>34、废标条件</w:t>
      </w:r>
    </w:p>
    <w:p w14:paraId="6E7BB59A">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34.1在采购活动中，出现下列情形之一的，将予以废标：</w:t>
      </w:r>
    </w:p>
    <w:p w14:paraId="6CE36616">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（1）符合专业条件的投标人或者对招标文件作实质投标的投标人不足三家的；</w:t>
      </w:r>
    </w:p>
    <w:p w14:paraId="1C1994F2">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（2）出现影响采购公正的违法、违规行为的；</w:t>
      </w:r>
    </w:p>
    <w:p w14:paraId="0DE60545">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（3）投标人的报价均超过了采购预算，采购人不能支付的；</w:t>
      </w:r>
    </w:p>
    <w:p w14:paraId="60EB5DEE">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（4）因重大变故，采购任务取消的。</w:t>
      </w:r>
    </w:p>
    <w:p w14:paraId="3CF71A3E">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34.2采购方式变更</w:t>
      </w:r>
    </w:p>
    <w:p w14:paraId="5032112F">
      <w:pPr>
        <w:adjustRightInd w:val="0"/>
        <w:snapToGrid w:val="0"/>
        <w:spacing w:line="500" w:lineRule="exact"/>
        <w:ind w:firstLine="480" w:firstLineChars="200"/>
        <w:rPr>
          <w:rFonts w:hint="eastAsia" w:ascii="宋体" w:hAnsi="宋体" w:eastAsia="宋体" w:cs="宋体"/>
          <w:bCs/>
          <w:sz w:val="24"/>
          <w:szCs w:val="32"/>
          <w:highlight w:val="none"/>
        </w:rPr>
      </w:pPr>
      <w:r>
        <w:rPr>
          <w:rFonts w:hint="eastAsia" w:ascii="宋体" w:hAnsi="宋体" w:eastAsia="宋体" w:cs="宋体"/>
          <w:bCs/>
          <w:sz w:val="24"/>
          <w:szCs w:val="32"/>
          <w:highlight w:val="none"/>
        </w:rPr>
        <w:t>废标后，除采购任务取消情形外，将重新组织招标；或在采购活动开始前获得设区的市、自治州以上人民政府采购监督管理部门或者政府有关部门批准，采取其他方式采购。</w:t>
      </w:r>
    </w:p>
    <w:p w14:paraId="6D8A705A">
      <w:pPr>
        <w:bidi w:val="0"/>
      </w:pPr>
    </w:p>
    <w:p w14:paraId="094F9759">
      <w:pPr>
        <w:pStyle w:val="5"/>
        <w:keepNext/>
        <w:keepLines/>
        <w:pageBreakBefore w:val="0"/>
        <w:widowControl w:val="0"/>
        <w:kinsoku/>
        <w:wordWrap/>
        <w:overflowPunct/>
        <w:topLinePunct w:val="0"/>
        <w:autoSpaceDE/>
        <w:autoSpaceDN/>
        <w:bidi w:val="0"/>
        <w:adjustRightInd/>
        <w:snapToGrid/>
        <w:spacing w:before="200" w:beforeLines="0" w:after="200" w:afterLines="0" w:line="500" w:lineRule="exact"/>
        <w:ind w:left="0" w:leftChars="0" w:right="0" w:rightChars="0" w:firstLine="0" w:firstLineChars="0"/>
        <w:jc w:val="center"/>
        <w:textAlignment w:val="auto"/>
        <w:outlineLvl w:val="2"/>
        <w:rPr>
          <w:sz w:val="28"/>
          <w:szCs w:val="28"/>
        </w:rPr>
      </w:pPr>
      <w:bookmarkStart w:id="21" w:name="_Toc20683"/>
      <w:r>
        <w:rPr>
          <w:rFonts w:hint="eastAsia"/>
          <w:sz w:val="28"/>
          <w:szCs w:val="28"/>
        </w:rPr>
        <w:t>九、纪律和监督</w:t>
      </w:r>
      <w:bookmarkEnd w:id="21"/>
    </w:p>
    <w:p w14:paraId="02272D9C">
      <w:pPr>
        <w:adjustRightInd w:val="0"/>
        <w:snapToGrid w:val="0"/>
        <w:spacing w:line="500" w:lineRule="exact"/>
        <w:ind w:firstLine="482" w:firstLineChars="200"/>
        <w:rPr>
          <w:rFonts w:ascii="宋体" w:hAnsi="宋体" w:eastAsia="宋体" w:cs="宋体"/>
          <w:b/>
          <w:bCs/>
          <w:sz w:val="24"/>
          <w:szCs w:val="32"/>
          <w:highlight w:val="none"/>
        </w:rPr>
      </w:pPr>
      <w:r>
        <w:rPr>
          <w:rFonts w:hint="eastAsia" w:ascii="宋体" w:hAnsi="宋体" w:eastAsia="宋体" w:cs="宋体"/>
          <w:b/>
          <w:bCs/>
          <w:sz w:val="24"/>
          <w:szCs w:val="32"/>
          <w:highlight w:val="none"/>
        </w:rPr>
        <w:t>35、对采购人的纪律要求</w:t>
      </w:r>
    </w:p>
    <w:p w14:paraId="0322A4BA">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采购人不得泄露采购活动中应当保密的情况和资料，不得与投标人串通损害国家利益、社会公共利益或者他人合法权益。</w:t>
      </w:r>
    </w:p>
    <w:p w14:paraId="53D33F21">
      <w:pPr>
        <w:adjustRightInd w:val="0"/>
        <w:snapToGrid w:val="0"/>
        <w:spacing w:line="500" w:lineRule="exact"/>
        <w:ind w:firstLine="482" w:firstLineChars="200"/>
        <w:rPr>
          <w:rFonts w:ascii="宋体" w:hAnsi="宋体" w:eastAsia="宋体" w:cs="宋体"/>
          <w:b/>
          <w:bCs/>
          <w:sz w:val="24"/>
          <w:szCs w:val="32"/>
          <w:highlight w:val="none"/>
        </w:rPr>
      </w:pPr>
      <w:r>
        <w:rPr>
          <w:rFonts w:hint="eastAsia" w:ascii="宋体" w:hAnsi="宋体" w:eastAsia="宋体" w:cs="宋体"/>
          <w:b/>
          <w:bCs/>
          <w:sz w:val="24"/>
          <w:szCs w:val="32"/>
          <w:highlight w:val="none"/>
        </w:rPr>
        <w:t>36、对投标人的纪律要求</w:t>
      </w:r>
    </w:p>
    <w:p w14:paraId="5F29DA39">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投标人不得相互串通投标或者与采购人串通投标，不得向采购人或者评标委员会成员行贿谋取中标，不得以他人名义投标或者以其他方式弄虚作假骗取中标；投标人不得以任何方式干扰、影响评标工作。</w:t>
      </w:r>
    </w:p>
    <w:p w14:paraId="17F4DCD8">
      <w:pPr>
        <w:adjustRightInd w:val="0"/>
        <w:snapToGrid w:val="0"/>
        <w:spacing w:line="500" w:lineRule="exact"/>
        <w:ind w:firstLine="482" w:firstLineChars="200"/>
        <w:rPr>
          <w:rFonts w:ascii="宋体" w:hAnsi="宋体" w:eastAsia="宋体" w:cs="宋体"/>
          <w:b/>
          <w:bCs/>
          <w:sz w:val="24"/>
          <w:szCs w:val="32"/>
          <w:highlight w:val="none"/>
        </w:rPr>
      </w:pPr>
      <w:r>
        <w:rPr>
          <w:rFonts w:hint="eastAsia" w:ascii="宋体" w:hAnsi="宋体" w:eastAsia="宋体" w:cs="宋体"/>
          <w:b/>
          <w:bCs/>
          <w:sz w:val="24"/>
          <w:szCs w:val="32"/>
          <w:highlight w:val="none"/>
        </w:rPr>
        <w:t>37、对评标委员会成员的纪律要求</w:t>
      </w:r>
    </w:p>
    <w:p w14:paraId="6FDD7E3B">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评标办法”没有规定的评审因素和标准进行评标。</w:t>
      </w:r>
    </w:p>
    <w:p w14:paraId="5802DB41">
      <w:pPr>
        <w:adjustRightInd w:val="0"/>
        <w:snapToGrid w:val="0"/>
        <w:spacing w:line="500" w:lineRule="exact"/>
        <w:ind w:firstLine="482" w:firstLineChars="200"/>
        <w:rPr>
          <w:rFonts w:ascii="宋体" w:hAnsi="宋体" w:eastAsia="宋体" w:cs="宋体"/>
          <w:b/>
          <w:bCs/>
          <w:sz w:val="24"/>
          <w:szCs w:val="32"/>
          <w:highlight w:val="none"/>
        </w:rPr>
      </w:pPr>
      <w:r>
        <w:rPr>
          <w:rFonts w:hint="eastAsia" w:ascii="宋体" w:hAnsi="宋体" w:eastAsia="宋体" w:cs="宋体"/>
          <w:b/>
          <w:bCs/>
          <w:sz w:val="24"/>
          <w:szCs w:val="32"/>
          <w:highlight w:val="none"/>
        </w:rPr>
        <w:t>38、对与评标活动有关的工作人员的纪律要求</w:t>
      </w:r>
    </w:p>
    <w:p w14:paraId="22FC1515">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3C7C4F1D">
      <w:pPr>
        <w:adjustRightInd w:val="0"/>
        <w:snapToGrid w:val="0"/>
        <w:spacing w:line="500" w:lineRule="exact"/>
        <w:ind w:firstLine="482" w:firstLineChars="200"/>
        <w:rPr>
          <w:rFonts w:ascii="宋体" w:hAnsi="宋体" w:eastAsia="宋体" w:cs="宋体"/>
          <w:b/>
          <w:bCs/>
          <w:sz w:val="24"/>
          <w:szCs w:val="32"/>
          <w:highlight w:val="none"/>
        </w:rPr>
      </w:pPr>
      <w:r>
        <w:rPr>
          <w:rFonts w:hint="eastAsia" w:ascii="宋体" w:hAnsi="宋体" w:eastAsia="宋体" w:cs="宋体"/>
          <w:b/>
          <w:bCs/>
          <w:sz w:val="24"/>
          <w:szCs w:val="32"/>
          <w:highlight w:val="none"/>
        </w:rPr>
        <w:t>39、质疑</w:t>
      </w:r>
    </w:p>
    <w:p w14:paraId="74450831">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39.1供应商认为招标文件、采购过程、中标或者成交结果使自己的权益受到损害的，可以在知道或者应知其权益受到损害之日起七个工作日内，以书面形式向采购人提出质疑。投标人对招标文件提出质疑的应在获取招标文件之日起七个工作日内提出。投标人应在法定质疑期内一次性提出针对同一采购程序环节的质疑。</w:t>
      </w:r>
    </w:p>
    <w:p w14:paraId="581A3546">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39.2采购人应当在收到投标人的书面质疑后七个工作日内作出答复，并以书面形式通知质疑投标人和其他有关投标人，但答复的内容不得涉及商业秘密。</w:t>
      </w:r>
    </w:p>
    <w:p w14:paraId="0B4DB44F">
      <w:pPr>
        <w:adjustRightInd w:val="0"/>
        <w:snapToGrid w:val="0"/>
        <w:spacing w:line="500" w:lineRule="exact"/>
        <w:ind w:firstLine="480" w:firstLineChars="200"/>
        <w:rPr>
          <w:rFonts w:hint="eastAsia" w:ascii="宋体" w:hAnsi="宋体" w:eastAsia="宋体" w:cs="宋体"/>
          <w:bCs/>
          <w:sz w:val="24"/>
          <w:szCs w:val="32"/>
          <w:highlight w:val="none"/>
        </w:rPr>
      </w:pPr>
      <w:r>
        <w:rPr>
          <w:rFonts w:hint="eastAsia" w:ascii="宋体" w:hAnsi="宋体" w:eastAsia="宋体" w:cs="宋体"/>
          <w:bCs/>
          <w:sz w:val="24"/>
          <w:szCs w:val="32"/>
          <w:highlight w:val="none"/>
        </w:rPr>
        <w:t>39.3采购人委托采购代理机构采购的，投标人可以向采购代理机构提出询问或者质疑，采购代理机构应当依照《中华人民共和国政府采购法》第五十一条、第五十三条的规定就采购人委托授权范围内的事项作出答复。</w:t>
      </w:r>
    </w:p>
    <w:p w14:paraId="2BB4E8BF">
      <w:pPr>
        <w:adjustRightInd w:val="0"/>
        <w:snapToGrid w:val="0"/>
        <w:spacing w:line="500" w:lineRule="exact"/>
        <w:ind w:firstLine="480" w:firstLineChars="200"/>
        <w:rPr>
          <w:rFonts w:hint="eastAsia" w:ascii="宋体" w:hAnsi="宋体" w:eastAsia="宋体" w:cs="宋体"/>
          <w:bCs/>
          <w:sz w:val="24"/>
          <w:szCs w:val="32"/>
          <w:highlight w:val="none"/>
        </w:rPr>
      </w:pPr>
      <w:r>
        <w:rPr>
          <w:rFonts w:hint="eastAsia" w:ascii="宋体" w:hAnsi="宋体" w:eastAsia="宋体" w:cs="宋体"/>
          <w:bCs/>
          <w:sz w:val="24"/>
          <w:szCs w:val="32"/>
          <w:highlight w:val="none"/>
        </w:rPr>
        <w:t>39.4</w:t>
      </w:r>
      <w:r>
        <w:rPr>
          <w:rFonts w:hint="eastAsia" w:ascii="宋体" w:hAnsi="宋体" w:eastAsia="宋体" w:cs="宋体"/>
          <w:b/>
          <w:bCs/>
          <w:snapToGrid/>
          <w:color w:val="auto"/>
          <w:kern w:val="2"/>
          <w:sz w:val="24"/>
          <w:szCs w:val="24"/>
          <w:highlight w:val="none"/>
          <w:lang w:val="en-US" w:eastAsia="zh-CN" w:bidi="ar-SA"/>
        </w:rPr>
        <w:t>提出质疑的供应商符合《政府采购质疑和投诉办法》财政部令第94号的相关规定，方可提出质疑；否则，应承担对其不利的后果。</w:t>
      </w:r>
    </w:p>
    <w:p w14:paraId="59706EF9">
      <w:pPr>
        <w:adjustRightInd w:val="0"/>
        <w:snapToGrid w:val="0"/>
        <w:spacing w:line="500" w:lineRule="exact"/>
        <w:ind w:firstLine="482" w:firstLineChars="200"/>
        <w:rPr>
          <w:rFonts w:ascii="宋体" w:hAnsi="宋体" w:eastAsia="宋体" w:cs="宋体"/>
          <w:b/>
          <w:bCs/>
          <w:sz w:val="24"/>
          <w:szCs w:val="32"/>
          <w:highlight w:val="none"/>
        </w:rPr>
      </w:pPr>
      <w:r>
        <w:rPr>
          <w:rFonts w:hint="eastAsia" w:ascii="宋体" w:hAnsi="宋体" w:eastAsia="宋体" w:cs="宋体"/>
          <w:b/>
          <w:bCs/>
          <w:sz w:val="24"/>
          <w:szCs w:val="32"/>
          <w:highlight w:val="none"/>
        </w:rPr>
        <w:t>40、投诉</w:t>
      </w:r>
    </w:p>
    <w:p w14:paraId="78B56F96">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质疑投标人对采购人、采购代理机构的答复不满意，或者采购人、采购代理机构未在规定时间内作出答复的，可以在答复期满后1个工作日内向财政部门提起投诉。</w:t>
      </w:r>
    </w:p>
    <w:p w14:paraId="574A26A3">
      <w:pPr>
        <w:adjustRightInd w:val="0"/>
        <w:snapToGrid w:val="0"/>
        <w:spacing w:line="500" w:lineRule="exact"/>
        <w:ind w:firstLine="482" w:firstLineChars="200"/>
        <w:rPr>
          <w:rFonts w:ascii="宋体" w:hAnsi="宋体" w:eastAsia="宋体" w:cs="宋体"/>
          <w:b/>
          <w:bCs/>
          <w:sz w:val="24"/>
          <w:szCs w:val="32"/>
          <w:highlight w:val="none"/>
        </w:rPr>
      </w:pPr>
      <w:r>
        <w:rPr>
          <w:rFonts w:hint="eastAsia" w:ascii="宋体" w:hAnsi="宋体" w:eastAsia="宋体" w:cs="宋体"/>
          <w:b/>
          <w:bCs/>
          <w:sz w:val="24"/>
          <w:szCs w:val="32"/>
          <w:highlight w:val="none"/>
        </w:rPr>
        <w:t>41、其他</w:t>
      </w:r>
    </w:p>
    <w:p w14:paraId="0750A2A3">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本招标文件未尽事宜按现行政府采购有关法律法规和规定执行。如投标人在本次招标活动中有违反相关法律法规的将根据相关法律法规和规定对其进行处罚。</w:t>
      </w:r>
    </w:p>
    <w:p w14:paraId="206DEDF7">
      <w:pPr>
        <w:bidi w:val="0"/>
        <w:rPr>
          <w:rFonts w:hint="eastAsia"/>
        </w:rPr>
      </w:pPr>
    </w:p>
    <w:p w14:paraId="65BE87B3">
      <w:pPr>
        <w:pStyle w:val="5"/>
        <w:keepNext/>
        <w:keepLines/>
        <w:pageBreakBefore w:val="0"/>
        <w:widowControl w:val="0"/>
        <w:kinsoku/>
        <w:wordWrap/>
        <w:overflowPunct/>
        <w:topLinePunct w:val="0"/>
        <w:autoSpaceDE/>
        <w:autoSpaceDN/>
        <w:bidi w:val="0"/>
        <w:adjustRightInd/>
        <w:snapToGrid/>
        <w:spacing w:before="200" w:beforeLines="0" w:after="200" w:afterLines="0" w:line="500" w:lineRule="exact"/>
        <w:ind w:left="0" w:leftChars="0" w:right="0" w:rightChars="0" w:firstLine="0" w:firstLineChars="0"/>
        <w:jc w:val="center"/>
        <w:textAlignment w:val="auto"/>
        <w:outlineLvl w:val="2"/>
        <w:rPr>
          <w:sz w:val="28"/>
          <w:szCs w:val="28"/>
        </w:rPr>
      </w:pPr>
      <w:bookmarkStart w:id="22" w:name="_Toc28601"/>
      <w:r>
        <w:rPr>
          <w:rFonts w:hint="eastAsia"/>
          <w:sz w:val="28"/>
          <w:szCs w:val="28"/>
        </w:rPr>
        <w:t>十、政府采购政策功能</w:t>
      </w:r>
      <w:bookmarkEnd w:id="22"/>
    </w:p>
    <w:p w14:paraId="66E0A16A">
      <w:pPr>
        <w:adjustRightInd w:val="0"/>
        <w:snapToGrid w:val="0"/>
        <w:spacing w:line="500" w:lineRule="exact"/>
        <w:ind w:firstLine="482" w:firstLineChars="200"/>
        <w:rPr>
          <w:rFonts w:ascii="宋体" w:hAnsi="宋体" w:eastAsia="宋体" w:cs="宋体"/>
          <w:b/>
          <w:bCs/>
          <w:sz w:val="24"/>
          <w:szCs w:val="32"/>
          <w:highlight w:val="none"/>
        </w:rPr>
      </w:pPr>
      <w:r>
        <w:rPr>
          <w:rFonts w:hint="eastAsia" w:ascii="宋体" w:hAnsi="宋体" w:eastAsia="宋体" w:cs="宋体"/>
          <w:b/>
          <w:bCs/>
          <w:sz w:val="24"/>
          <w:szCs w:val="32"/>
          <w:highlight w:val="none"/>
        </w:rPr>
        <w:t>42、执行国家采购政策：</w:t>
      </w:r>
    </w:p>
    <w:p w14:paraId="0B4373C1">
      <w:pPr>
        <w:adjustRightInd w:val="0"/>
        <w:snapToGrid w:val="0"/>
        <w:spacing w:line="500" w:lineRule="exact"/>
        <w:ind w:firstLine="480" w:firstLineChars="200"/>
        <w:rPr>
          <w:rFonts w:hint="eastAsia" w:ascii="宋体" w:hAnsi="宋体" w:eastAsia="宋体" w:cs="宋体"/>
          <w:bCs/>
          <w:sz w:val="24"/>
          <w:szCs w:val="32"/>
          <w:highlight w:val="none"/>
        </w:rPr>
      </w:pPr>
      <w:r>
        <w:rPr>
          <w:rFonts w:hint="eastAsia" w:ascii="宋体" w:hAnsi="宋体" w:eastAsia="宋体" w:cs="宋体"/>
          <w:bCs/>
          <w:sz w:val="24"/>
          <w:szCs w:val="32"/>
          <w:highlight w:val="none"/>
        </w:rPr>
        <w:t>42.1《政府采购促进中小企业发展管理办法》（财库﹝2020﹞46号）、《关于进一步加大政府采购支持中小企业力度的通知》（财库〔2022〕19号）</w:t>
      </w:r>
    </w:p>
    <w:p w14:paraId="6332E11E">
      <w:pPr>
        <w:adjustRightInd w:val="0"/>
        <w:snapToGrid w:val="0"/>
        <w:spacing w:line="500" w:lineRule="exact"/>
        <w:ind w:firstLine="480" w:firstLineChars="200"/>
        <w:rPr>
          <w:rFonts w:hint="eastAsia" w:ascii="宋体" w:hAnsi="宋体" w:eastAsia="宋体" w:cs="宋体"/>
          <w:bCs/>
          <w:sz w:val="24"/>
          <w:szCs w:val="32"/>
          <w:highlight w:val="none"/>
        </w:rPr>
      </w:pPr>
      <w:r>
        <w:rPr>
          <w:rFonts w:hint="eastAsia" w:ascii="宋体" w:hAnsi="宋体" w:eastAsia="宋体" w:cs="宋体"/>
          <w:bCs/>
          <w:sz w:val="24"/>
          <w:szCs w:val="32"/>
          <w:highlight w:val="none"/>
        </w:rPr>
        <w:t>42.2《财政部、司法部关于政府采购支持监狱企业发展有关问题的通知》（财库〔2014〕68号）</w:t>
      </w:r>
    </w:p>
    <w:p w14:paraId="6AD2C51F">
      <w:pPr>
        <w:adjustRightInd w:val="0"/>
        <w:snapToGrid w:val="0"/>
        <w:spacing w:line="500" w:lineRule="exact"/>
        <w:ind w:firstLine="480" w:firstLineChars="200"/>
        <w:rPr>
          <w:rFonts w:hint="eastAsia" w:ascii="宋体" w:hAnsi="宋体" w:eastAsia="宋体" w:cs="宋体"/>
          <w:bCs/>
          <w:sz w:val="24"/>
          <w:szCs w:val="32"/>
          <w:highlight w:val="none"/>
        </w:rPr>
      </w:pPr>
      <w:r>
        <w:rPr>
          <w:rFonts w:hint="eastAsia" w:ascii="宋体" w:hAnsi="宋体" w:eastAsia="宋体" w:cs="宋体"/>
          <w:bCs/>
          <w:sz w:val="24"/>
          <w:szCs w:val="32"/>
          <w:highlight w:val="none"/>
        </w:rPr>
        <w:t>42.3《财政部民政部中国残疾人联合会关于促进残疾人就业政府采购政策的通知》（财库〔2017〕141号）</w:t>
      </w:r>
    </w:p>
    <w:p w14:paraId="1161BA3D">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42.4《国务院办公厅关于建立政府强制采购节能产品制度的通知》（国办发〔2007〕51号）、财政部国家发展改革委关于印发《节能产品政府采购实施意见》的通知（财库〔2004〕185号）、财政部、国家环保总局关于印发《环境标志产品政府采购实施的意见》（财库〔2006〕90号）、《财政部发展改革委生态环境部市场监管总局关于调整优化节能产品环境标志产品政府采购执行机制的通知》（财库〔2019〕9号）、《财政部生态环境部关于印发环境标志产品政府采购品目清单的通知》（财库〔2019〕18号）、《财政部发展改革委关于印发节能产品政府采购品目清单的通知》（财库〔2019〕19号）和《市场监督总局关于发布参与实施政府采购节能产品、环境标志产品认证机构名录的公告》（2019年第16号）、《河南省财政支持生态环境保护若干政策》（豫政办〔2019〕13号）</w:t>
      </w:r>
    </w:p>
    <w:p w14:paraId="2172AA32">
      <w:pPr>
        <w:spacing w:line="54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42.5《政府采购支持绿色建材促进建筑品质提升政策项目实施指南的通知》财办库〔2023〕52号</w:t>
      </w:r>
    </w:p>
    <w:p w14:paraId="7BCC217F">
      <w:pPr>
        <w:spacing w:line="54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42.6</w:t>
      </w:r>
      <w:r>
        <w:rPr>
          <w:rFonts w:hint="eastAsia" w:ascii="宋体" w:hAnsi="宋体" w:eastAsia="宋体" w:cs="宋体"/>
          <w:sz w:val="24"/>
          <w:szCs w:val="24"/>
          <w:highlight w:val="none"/>
        </w:rPr>
        <w:t>其它未尽事宜，按国家有关法律、法规执行。</w:t>
      </w:r>
    </w:p>
    <w:p w14:paraId="50444D15">
      <w:pPr>
        <w:bidi w:val="0"/>
      </w:pPr>
    </w:p>
    <w:p w14:paraId="535C4BC2">
      <w:pPr>
        <w:bidi w:val="0"/>
      </w:pPr>
    </w:p>
    <w:p w14:paraId="38F79016">
      <w:pPr>
        <w:bidi w:val="0"/>
      </w:pPr>
    </w:p>
    <w:p w14:paraId="659039ED">
      <w:pPr>
        <w:bidi w:val="0"/>
      </w:pPr>
    </w:p>
    <w:p w14:paraId="5DC7EB6D">
      <w:pPr>
        <w:bidi w:val="0"/>
      </w:pPr>
    </w:p>
    <w:p w14:paraId="621C67BE">
      <w:pPr>
        <w:pStyle w:val="5"/>
        <w:keepNext/>
        <w:keepLines/>
        <w:pageBreakBefore w:val="0"/>
        <w:widowControl w:val="0"/>
        <w:kinsoku/>
        <w:wordWrap/>
        <w:overflowPunct/>
        <w:topLinePunct w:val="0"/>
        <w:autoSpaceDE/>
        <w:autoSpaceDN/>
        <w:bidi w:val="0"/>
        <w:adjustRightInd/>
        <w:snapToGrid/>
        <w:spacing w:before="200" w:beforeLines="0" w:after="200" w:afterLines="0" w:line="500" w:lineRule="exact"/>
        <w:ind w:left="0" w:leftChars="0" w:right="0" w:rightChars="0" w:firstLine="0" w:firstLineChars="0"/>
        <w:jc w:val="center"/>
        <w:textAlignment w:val="auto"/>
        <w:outlineLvl w:val="2"/>
        <w:rPr>
          <w:sz w:val="28"/>
          <w:szCs w:val="28"/>
        </w:rPr>
      </w:pPr>
      <w:bookmarkStart w:id="23" w:name="_Toc10402"/>
      <w:r>
        <w:rPr>
          <w:rFonts w:hint="eastAsia"/>
          <w:sz w:val="28"/>
          <w:szCs w:val="28"/>
        </w:rPr>
        <w:t>十一、政府采购合同融资政策</w:t>
      </w:r>
      <w:bookmarkEnd w:id="23"/>
    </w:p>
    <w:p w14:paraId="05D30357">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为贯彻落实《中国人民银行、工业和信息化部、财政部、商务部、国资委、银监会、外汇局关于印发&lt;小微企业应收账款融资专项行动工作方案（2017-2019年）&gt;》（银发〔2017〕104号）和《河南省人民政府办公厅关于转发河南省支持转型发展攻坚战若干财政政策的通知》（豫政办〔2017〕71号）精神，支持政府采购供应商依法依规开展融资，促进中小微企业发展，政府采购供应商可根据《河南省政府采购合同融资工作实施方案》（豫财购〔2017〕10号）进行政府采购合同融资。</w:t>
      </w:r>
    </w:p>
    <w:p w14:paraId="7658A8F4">
      <w:pPr>
        <w:adjustRightInd w:val="0"/>
        <w:snapToGrid w:val="0"/>
        <w:spacing w:line="500" w:lineRule="exact"/>
        <w:ind w:firstLine="480" w:firstLineChars="200"/>
        <w:rPr>
          <w:rFonts w:ascii="宋体" w:hAnsi="宋体" w:eastAsia="宋体" w:cs="宋体"/>
          <w:bCs/>
          <w:sz w:val="24"/>
          <w:szCs w:val="32"/>
          <w:highlight w:val="none"/>
        </w:rPr>
      </w:pPr>
    </w:p>
    <w:p w14:paraId="5BD36C31">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附件：河南省政府采购合同融资政策告知函</w:t>
      </w:r>
    </w:p>
    <w:p w14:paraId="6A87B33F">
      <w:pPr>
        <w:widowControl/>
        <w:jc w:val="left"/>
        <w:rPr>
          <w:rFonts w:ascii="宋体" w:hAnsi="宋体" w:eastAsia="宋体" w:cs="宋体"/>
          <w:bCs/>
          <w:sz w:val="24"/>
          <w:szCs w:val="32"/>
          <w:highlight w:val="none"/>
        </w:rPr>
      </w:pPr>
      <w:r>
        <w:rPr>
          <w:rFonts w:ascii="宋体" w:hAnsi="宋体" w:eastAsia="宋体" w:cs="宋体"/>
          <w:bCs/>
          <w:sz w:val="24"/>
          <w:szCs w:val="32"/>
          <w:highlight w:val="none"/>
        </w:rPr>
        <w:br w:type="page"/>
      </w:r>
    </w:p>
    <w:p w14:paraId="0692BBC4">
      <w:pPr>
        <w:spacing w:before="212" w:line="385" w:lineRule="auto"/>
        <w:ind w:right="91"/>
        <w:rPr>
          <w:rFonts w:ascii="宋体" w:hAnsi="宋体" w:eastAsia="宋体" w:cs="宋体"/>
          <w:b/>
          <w:bCs/>
          <w:spacing w:val="-7"/>
          <w:sz w:val="24"/>
          <w:szCs w:val="24"/>
          <w:highlight w:val="none"/>
        </w:rPr>
      </w:pPr>
      <w:r>
        <w:rPr>
          <w:rFonts w:ascii="宋体" w:hAnsi="宋体" w:eastAsia="宋体" w:cs="宋体"/>
          <w:b/>
          <w:bCs/>
          <w:spacing w:val="-7"/>
          <w:sz w:val="24"/>
          <w:szCs w:val="24"/>
          <w:highlight w:val="none"/>
        </w:rPr>
        <w:t>附件：</w:t>
      </w:r>
    </w:p>
    <w:p w14:paraId="343AD4C0">
      <w:pPr>
        <w:bidi w:val="0"/>
        <w:jc w:val="center"/>
        <w:rPr>
          <w:b/>
          <w:bCs/>
          <w:sz w:val="30"/>
          <w:szCs w:val="30"/>
        </w:rPr>
      </w:pPr>
      <w:bookmarkStart w:id="24" w:name="_Toc31885"/>
      <w:bookmarkStart w:id="25" w:name="_Toc173857137"/>
      <w:r>
        <w:rPr>
          <w:rFonts w:hint="eastAsia"/>
          <w:b/>
          <w:bCs/>
          <w:sz w:val="30"/>
          <w:szCs w:val="30"/>
        </w:rPr>
        <w:t>河南省政府采购合同融资政策告知函</w:t>
      </w:r>
      <w:bookmarkEnd w:id="24"/>
      <w:bookmarkEnd w:id="25"/>
    </w:p>
    <w:p w14:paraId="6B362A3E">
      <w:pPr>
        <w:spacing w:line="255" w:lineRule="auto"/>
        <w:rPr>
          <w:highlight w:val="none"/>
        </w:rPr>
      </w:pPr>
    </w:p>
    <w:p w14:paraId="53E9EFFA">
      <w:pPr>
        <w:adjustRightInd w:val="0"/>
        <w:snapToGrid w:val="0"/>
        <w:spacing w:line="500" w:lineRule="exact"/>
        <w:rPr>
          <w:rFonts w:hint="eastAsia" w:ascii="宋体" w:hAnsi="宋体" w:eastAsia="宋体" w:cs="宋体"/>
          <w:bCs/>
          <w:sz w:val="24"/>
          <w:szCs w:val="32"/>
          <w:highlight w:val="none"/>
        </w:rPr>
      </w:pPr>
      <w:r>
        <w:rPr>
          <w:rFonts w:hint="eastAsia" w:ascii="宋体" w:hAnsi="宋体" w:eastAsia="宋体" w:cs="宋体"/>
          <w:bCs/>
          <w:sz w:val="24"/>
          <w:szCs w:val="32"/>
          <w:highlight w:val="none"/>
        </w:rPr>
        <w:t>各投标人：</w:t>
      </w:r>
    </w:p>
    <w:p w14:paraId="59044FFC">
      <w:pPr>
        <w:adjustRightInd w:val="0"/>
        <w:snapToGrid w:val="0"/>
        <w:spacing w:line="500" w:lineRule="exact"/>
        <w:ind w:firstLine="480" w:firstLineChars="200"/>
        <w:rPr>
          <w:rFonts w:hint="eastAsia" w:ascii="宋体" w:hAnsi="宋体" w:eastAsia="宋体" w:cs="宋体"/>
          <w:bCs/>
          <w:sz w:val="24"/>
          <w:szCs w:val="32"/>
          <w:highlight w:val="none"/>
        </w:rPr>
      </w:pPr>
      <w:r>
        <w:rPr>
          <w:rFonts w:hint="eastAsia" w:ascii="宋体" w:hAnsi="宋体" w:eastAsia="宋体" w:cs="宋体"/>
          <w:bCs/>
          <w:sz w:val="24"/>
          <w:szCs w:val="32"/>
          <w:highlight w:val="none"/>
        </w:rPr>
        <w:t>欢迎贵公司参与河南省政府采购活动！</w:t>
      </w:r>
    </w:p>
    <w:p w14:paraId="71B477A6">
      <w:pPr>
        <w:adjustRightInd w:val="0"/>
        <w:snapToGrid w:val="0"/>
        <w:spacing w:line="500" w:lineRule="exact"/>
        <w:ind w:firstLine="480" w:firstLineChars="200"/>
        <w:rPr>
          <w:rFonts w:hint="eastAsia" w:ascii="宋体" w:hAnsi="宋体" w:eastAsia="宋体" w:cs="宋体"/>
          <w:bCs/>
          <w:sz w:val="24"/>
          <w:szCs w:val="32"/>
          <w:highlight w:val="none"/>
        </w:rPr>
      </w:pPr>
      <w:r>
        <w:rPr>
          <w:rFonts w:hint="eastAsia" w:ascii="宋体" w:hAnsi="宋体" w:eastAsia="宋体" w:cs="宋体"/>
          <w:bCs/>
          <w:sz w:val="24"/>
          <w:szCs w:val="32"/>
          <w:highlight w:val="none"/>
        </w:rPr>
        <w:t>政府采购合同融资是河南省财政厅支持中小企业发展，针对参与政府采购活动的投标人融资难、融资贵问题推出的一项融资政策。贵公司若成为本次政府采购项目的中标成交投标人，可持政府采购合同向金融机构申请贷款，无需抵押、担保，融资机构将根据《河南省政府采购合同融资工作实施方案》(豫财购〔2017〕10号)，按照双方自愿的原则提供便捷、优惠的贷款服务。</w:t>
      </w:r>
    </w:p>
    <w:p w14:paraId="1AF7AA92">
      <w:pPr>
        <w:adjustRightInd w:val="0"/>
        <w:snapToGrid w:val="0"/>
        <w:spacing w:line="500" w:lineRule="exact"/>
        <w:ind w:firstLine="480" w:firstLineChars="200"/>
        <w:rPr>
          <w:rFonts w:hint="eastAsia" w:ascii="宋体" w:hAnsi="宋体" w:eastAsia="宋体" w:cs="宋体"/>
          <w:bCs/>
          <w:sz w:val="24"/>
          <w:szCs w:val="32"/>
          <w:highlight w:val="none"/>
        </w:rPr>
      </w:pPr>
      <w:r>
        <w:rPr>
          <w:rFonts w:hint="eastAsia" w:ascii="宋体" w:hAnsi="宋体" w:eastAsia="宋体" w:cs="宋体"/>
          <w:bCs/>
          <w:sz w:val="24"/>
          <w:szCs w:val="32"/>
          <w:highlight w:val="none"/>
        </w:rPr>
        <w:t>贷款渠道和提供贷款的金融机构。可在河南省政府采购网“河南省政府采购合同融资平台”查询联系。</w:t>
      </w:r>
    </w:p>
    <w:p w14:paraId="4A6A240D">
      <w:pPr>
        <w:adjustRightInd w:val="0"/>
        <w:snapToGrid w:val="0"/>
        <w:spacing w:line="500" w:lineRule="exact"/>
        <w:ind w:firstLine="480" w:firstLineChars="200"/>
        <w:rPr>
          <w:rFonts w:hint="eastAsia" w:ascii="宋体" w:hAnsi="宋体" w:eastAsia="宋体" w:cs="宋体"/>
          <w:bCs/>
          <w:sz w:val="24"/>
          <w:szCs w:val="32"/>
          <w:highlight w:val="none"/>
        </w:rPr>
      </w:pPr>
      <w:r>
        <w:rPr>
          <w:rFonts w:hint="eastAsia" w:ascii="宋体" w:hAnsi="宋体" w:eastAsia="宋体" w:cs="宋体"/>
          <w:bCs/>
          <w:sz w:val="24"/>
          <w:szCs w:val="32"/>
          <w:highlight w:val="none"/>
        </w:rPr>
        <w:br w:type="page"/>
      </w:r>
    </w:p>
    <w:p w14:paraId="298E3D08">
      <w:pPr>
        <w:adjustRightInd w:val="0"/>
        <w:snapToGrid w:val="0"/>
        <w:spacing w:line="500" w:lineRule="exact"/>
        <w:ind w:firstLine="480" w:firstLineChars="200"/>
        <w:rPr>
          <w:rFonts w:ascii="宋体" w:hAnsi="宋体" w:eastAsia="宋体" w:cs="宋体"/>
          <w:bCs/>
          <w:sz w:val="24"/>
          <w:szCs w:val="32"/>
          <w:highlight w:val="none"/>
        </w:rPr>
      </w:pPr>
    </w:p>
    <w:p w14:paraId="6FB02FCA">
      <w:pPr>
        <w:adjustRightInd w:val="0"/>
        <w:snapToGrid w:val="0"/>
        <w:spacing w:line="500" w:lineRule="exact"/>
        <w:ind w:firstLine="480" w:firstLineChars="200"/>
        <w:rPr>
          <w:rFonts w:ascii="宋体" w:hAnsi="宋体" w:eastAsia="宋体" w:cs="宋体"/>
          <w:bCs/>
          <w:sz w:val="24"/>
          <w:szCs w:val="32"/>
          <w:highlight w:val="none"/>
        </w:rPr>
      </w:pPr>
    </w:p>
    <w:p w14:paraId="2DCAE31C">
      <w:pPr>
        <w:adjustRightInd w:val="0"/>
        <w:snapToGrid w:val="0"/>
        <w:spacing w:line="500" w:lineRule="exact"/>
        <w:ind w:firstLine="480" w:firstLineChars="200"/>
        <w:rPr>
          <w:rFonts w:ascii="宋体" w:hAnsi="宋体" w:eastAsia="宋体" w:cs="宋体"/>
          <w:bCs/>
          <w:sz w:val="24"/>
          <w:szCs w:val="32"/>
          <w:highlight w:val="none"/>
        </w:rPr>
      </w:pPr>
    </w:p>
    <w:p w14:paraId="2B8E6346">
      <w:pPr>
        <w:adjustRightInd w:val="0"/>
        <w:snapToGrid w:val="0"/>
        <w:spacing w:line="500" w:lineRule="exact"/>
        <w:ind w:firstLine="480" w:firstLineChars="200"/>
        <w:rPr>
          <w:rFonts w:ascii="宋体" w:hAnsi="宋体" w:eastAsia="宋体" w:cs="宋体"/>
          <w:bCs/>
          <w:sz w:val="24"/>
          <w:szCs w:val="32"/>
          <w:highlight w:val="none"/>
        </w:rPr>
      </w:pPr>
    </w:p>
    <w:p w14:paraId="14ADB8F2">
      <w:pPr>
        <w:adjustRightInd w:val="0"/>
        <w:snapToGrid w:val="0"/>
        <w:spacing w:line="500" w:lineRule="exact"/>
        <w:ind w:firstLine="480" w:firstLineChars="200"/>
        <w:rPr>
          <w:rFonts w:ascii="宋体" w:hAnsi="宋体" w:eastAsia="宋体" w:cs="宋体"/>
          <w:bCs/>
          <w:sz w:val="24"/>
          <w:szCs w:val="32"/>
          <w:highlight w:val="none"/>
        </w:rPr>
      </w:pPr>
    </w:p>
    <w:p w14:paraId="4D33A28F">
      <w:pPr>
        <w:adjustRightInd w:val="0"/>
        <w:snapToGrid w:val="0"/>
        <w:spacing w:line="500" w:lineRule="exact"/>
        <w:ind w:firstLine="480" w:firstLineChars="200"/>
        <w:rPr>
          <w:rFonts w:ascii="宋体" w:hAnsi="宋体" w:eastAsia="宋体" w:cs="宋体"/>
          <w:bCs/>
          <w:sz w:val="24"/>
          <w:szCs w:val="32"/>
          <w:highlight w:val="none"/>
        </w:rPr>
      </w:pPr>
    </w:p>
    <w:p w14:paraId="74D8F1CF">
      <w:pPr>
        <w:adjustRightInd w:val="0"/>
        <w:snapToGrid w:val="0"/>
        <w:spacing w:line="500" w:lineRule="exact"/>
        <w:rPr>
          <w:rFonts w:ascii="宋体" w:hAnsi="宋体" w:eastAsia="宋体" w:cs="宋体"/>
          <w:bCs/>
          <w:sz w:val="24"/>
          <w:szCs w:val="32"/>
          <w:highlight w:val="none"/>
        </w:rPr>
      </w:pPr>
    </w:p>
    <w:p w14:paraId="7613D2C6">
      <w:pPr>
        <w:adjustRightInd w:val="0"/>
        <w:snapToGrid w:val="0"/>
        <w:spacing w:line="500" w:lineRule="exact"/>
        <w:ind w:firstLine="480" w:firstLineChars="200"/>
        <w:rPr>
          <w:rFonts w:ascii="宋体" w:hAnsi="宋体" w:eastAsia="宋体" w:cs="宋体"/>
          <w:bCs/>
          <w:sz w:val="24"/>
          <w:szCs w:val="32"/>
          <w:highlight w:val="none"/>
        </w:rPr>
      </w:pPr>
    </w:p>
    <w:p w14:paraId="1E978334">
      <w:pPr>
        <w:adjustRightInd w:val="0"/>
        <w:snapToGrid w:val="0"/>
        <w:spacing w:line="500" w:lineRule="exact"/>
        <w:jc w:val="center"/>
        <w:rPr>
          <w:rFonts w:ascii="宋体" w:hAnsi="宋体" w:eastAsia="宋体" w:cs="宋体"/>
          <w:bCs/>
          <w:sz w:val="24"/>
          <w:szCs w:val="32"/>
          <w:highlight w:val="none"/>
        </w:rPr>
      </w:pPr>
    </w:p>
    <w:p w14:paraId="5992F1C6">
      <w:pPr>
        <w:pStyle w:val="3"/>
        <w:jc w:val="center"/>
        <w:rPr>
          <w:sz w:val="48"/>
          <w:szCs w:val="48"/>
        </w:rPr>
      </w:pPr>
      <w:bookmarkStart w:id="26" w:name="_Toc27327"/>
      <w:r>
        <w:rPr>
          <w:sz w:val="48"/>
          <w:szCs w:val="48"/>
        </w:rPr>
        <w:t>第三章</w:t>
      </w:r>
      <w:r>
        <w:rPr>
          <w:rFonts w:hint="eastAsia"/>
          <w:sz w:val="48"/>
          <w:szCs w:val="48"/>
          <w:lang w:val="en-US" w:eastAsia="zh-CN"/>
        </w:rPr>
        <w:t xml:space="preserve">  </w:t>
      </w:r>
      <w:r>
        <w:rPr>
          <w:rFonts w:hint="eastAsia"/>
          <w:sz w:val="48"/>
          <w:szCs w:val="48"/>
        </w:rPr>
        <w:t>评标办法</w:t>
      </w:r>
      <w:bookmarkEnd w:id="26"/>
    </w:p>
    <w:p w14:paraId="7147A950">
      <w:pPr>
        <w:adjustRightInd w:val="0"/>
        <w:snapToGrid w:val="0"/>
        <w:spacing w:line="500" w:lineRule="exact"/>
        <w:jc w:val="center"/>
        <w:rPr>
          <w:rFonts w:ascii="宋体" w:hAnsi="宋体" w:eastAsia="宋体" w:cs="宋体"/>
          <w:spacing w:val="9"/>
          <w:sz w:val="44"/>
          <w:szCs w:val="44"/>
          <w:highlight w:val="none"/>
          <w14:textOutline w14:w="6540" w14:cap="sq" w14:cmpd="sng" w14:algn="ctr">
            <w14:solidFill>
              <w14:srgbClr w14:val="000000"/>
            </w14:solidFill>
            <w14:prstDash w14:val="solid"/>
            <w14:bevel/>
          </w14:textOutline>
        </w:rPr>
      </w:pPr>
    </w:p>
    <w:p w14:paraId="75A0100F">
      <w:pPr>
        <w:widowControl/>
        <w:jc w:val="left"/>
        <w:rPr>
          <w:rFonts w:ascii="宋体" w:hAnsi="宋体" w:eastAsia="宋体" w:cs="宋体"/>
          <w:spacing w:val="9"/>
          <w:sz w:val="44"/>
          <w:szCs w:val="44"/>
          <w:highlight w:val="none"/>
          <w14:textOutline w14:w="6540" w14:cap="sq" w14:cmpd="sng" w14:algn="ctr">
            <w14:solidFill>
              <w14:srgbClr w14:val="000000"/>
            </w14:solidFill>
            <w14:prstDash w14:val="solid"/>
            <w14:bevel/>
          </w14:textOutline>
        </w:rPr>
      </w:pPr>
      <w:r>
        <w:rPr>
          <w:rFonts w:ascii="宋体" w:hAnsi="宋体" w:eastAsia="宋体" w:cs="宋体"/>
          <w:spacing w:val="9"/>
          <w:sz w:val="44"/>
          <w:szCs w:val="44"/>
          <w:highlight w:val="none"/>
          <w14:textOutline w14:w="6540" w14:cap="sq" w14:cmpd="sng" w14:algn="ctr">
            <w14:solidFill>
              <w14:srgbClr w14:val="000000"/>
            </w14:solidFill>
            <w14:prstDash w14:val="solid"/>
            <w14:bevel/>
          </w14:textOutline>
        </w:rPr>
        <w:br w:type="page"/>
      </w:r>
    </w:p>
    <w:p w14:paraId="73ECAEC9">
      <w:pPr>
        <w:adjustRightInd w:val="0"/>
        <w:snapToGrid w:val="0"/>
        <w:spacing w:line="500" w:lineRule="exact"/>
        <w:jc w:val="center"/>
        <w:outlineLvl w:val="1"/>
        <w:rPr>
          <w:rFonts w:eastAsia="宋体"/>
          <w:b/>
          <w:bCs/>
          <w:sz w:val="28"/>
          <w:szCs w:val="28"/>
          <w:highlight w:val="none"/>
        </w:rPr>
      </w:pPr>
      <w:bookmarkStart w:id="27" w:name="_Toc173857139"/>
      <w:bookmarkStart w:id="28" w:name="_Toc5136"/>
      <w:bookmarkStart w:id="29" w:name="_Toc22641"/>
      <w:r>
        <w:rPr>
          <w:rFonts w:hint="eastAsia" w:eastAsia="宋体"/>
          <w:b/>
          <w:bCs/>
          <w:sz w:val="28"/>
          <w:szCs w:val="28"/>
          <w:highlight w:val="none"/>
        </w:rPr>
        <w:t>一、资格审查表</w:t>
      </w:r>
      <w:bookmarkEnd w:id="27"/>
      <w:bookmarkEnd w:id="28"/>
      <w:bookmarkEnd w:id="29"/>
    </w:p>
    <w:tbl>
      <w:tblPr>
        <w:tblStyle w:val="45"/>
        <w:tblW w:w="9293"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13" w:type="dxa"/>
          <w:bottom w:w="0" w:type="dxa"/>
          <w:right w:w="113" w:type="dxa"/>
        </w:tblCellMar>
      </w:tblPr>
      <w:tblGrid>
        <w:gridCol w:w="930"/>
        <w:gridCol w:w="3181"/>
        <w:gridCol w:w="3958"/>
        <w:gridCol w:w="1224"/>
      </w:tblGrid>
      <w:tr w14:paraId="63C410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730" w:hRule="atLeast"/>
        </w:trPr>
        <w:tc>
          <w:tcPr>
            <w:tcW w:w="930" w:type="dxa"/>
            <w:vMerge w:val="restart"/>
            <w:tcBorders>
              <w:top w:val="single" w:color="auto" w:sz="4" w:space="0"/>
              <w:left w:val="single" w:color="auto" w:sz="4" w:space="0"/>
              <w:right w:val="single" w:color="auto" w:sz="4" w:space="0"/>
            </w:tcBorders>
            <w:vAlign w:val="center"/>
          </w:tcPr>
          <w:p w14:paraId="4F8DF69D">
            <w:pPr>
              <w:snapToGrid w:val="0"/>
              <w:spacing w:line="500" w:lineRule="exact"/>
              <w:jc w:val="center"/>
              <w:rPr>
                <w:rFonts w:ascii="宋体" w:hAnsi="宋体" w:eastAsia="宋体" w:cs="宋体"/>
                <w:sz w:val="21"/>
                <w:szCs w:val="21"/>
                <w:highlight w:val="none"/>
              </w:rPr>
            </w:pPr>
            <w:r>
              <w:rPr>
                <w:rFonts w:hint="eastAsia" w:ascii="宋体" w:hAnsi="宋体" w:eastAsia="宋体" w:cs="宋体"/>
                <w:sz w:val="21"/>
                <w:szCs w:val="21"/>
                <w:highlight w:val="none"/>
              </w:rPr>
              <w:t>资格性评审标准</w:t>
            </w:r>
          </w:p>
        </w:tc>
        <w:tc>
          <w:tcPr>
            <w:tcW w:w="3181" w:type="dxa"/>
            <w:tcBorders>
              <w:left w:val="single" w:color="auto" w:sz="4" w:space="0"/>
            </w:tcBorders>
            <w:vAlign w:val="center"/>
          </w:tcPr>
          <w:p w14:paraId="0C079EB8">
            <w:pPr>
              <w:snapToGrid w:val="0"/>
              <w:spacing w:line="500" w:lineRule="exact"/>
              <w:jc w:val="center"/>
              <w:rPr>
                <w:rFonts w:ascii="宋体" w:hAnsi="宋体" w:eastAsia="宋体" w:cs="宋体"/>
                <w:sz w:val="21"/>
                <w:szCs w:val="21"/>
                <w:highlight w:val="none"/>
              </w:rPr>
            </w:pPr>
            <w:r>
              <w:rPr>
                <w:rFonts w:hint="eastAsia" w:ascii="宋体" w:hAnsi="宋体" w:eastAsia="宋体" w:cs="宋体"/>
                <w:sz w:val="21"/>
                <w:szCs w:val="21"/>
                <w:highlight w:val="none"/>
                <w:lang w:val="en-US" w:eastAsia="zh-CN"/>
              </w:rPr>
              <w:t>审查</w:t>
            </w:r>
            <w:r>
              <w:rPr>
                <w:rFonts w:hint="eastAsia" w:ascii="宋体" w:hAnsi="宋体" w:eastAsia="宋体" w:cs="宋体"/>
                <w:sz w:val="21"/>
                <w:szCs w:val="21"/>
                <w:highlight w:val="none"/>
              </w:rPr>
              <w:t>因素</w:t>
            </w:r>
          </w:p>
        </w:tc>
        <w:tc>
          <w:tcPr>
            <w:tcW w:w="3958" w:type="dxa"/>
            <w:vAlign w:val="center"/>
          </w:tcPr>
          <w:p w14:paraId="632B9AC5">
            <w:pPr>
              <w:snapToGrid w:val="0"/>
              <w:spacing w:line="500" w:lineRule="exact"/>
              <w:jc w:val="center"/>
              <w:rPr>
                <w:rFonts w:ascii="宋体" w:hAnsi="宋体" w:eastAsia="宋体" w:cs="宋体"/>
                <w:sz w:val="21"/>
                <w:szCs w:val="21"/>
                <w:highlight w:val="none"/>
              </w:rPr>
            </w:pPr>
            <w:r>
              <w:rPr>
                <w:rFonts w:hint="eastAsia" w:ascii="宋体" w:hAnsi="宋体" w:eastAsia="宋体" w:cs="宋体"/>
                <w:sz w:val="21"/>
                <w:szCs w:val="21"/>
                <w:highlight w:val="none"/>
                <w:lang w:val="en-US" w:eastAsia="zh-CN"/>
              </w:rPr>
              <w:t>审查</w:t>
            </w:r>
            <w:r>
              <w:rPr>
                <w:rFonts w:hint="eastAsia" w:ascii="宋体" w:hAnsi="宋体" w:eastAsia="宋体" w:cs="宋体"/>
                <w:sz w:val="21"/>
                <w:szCs w:val="21"/>
                <w:highlight w:val="none"/>
              </w:rPr>
              <w:t>标准</w:t>
            </w:r>
          </w:p>
        </w:tc>
        <w:tc>
          <w:tcPr>
            <w:tcW w:w="1224" w:type="dxa"/>
            <w:vAlign w:val="center"/>
          </w:tcPr>
          <w:p w14:paraId="381E4CD6">
            <w:pPr>
              <w:snapToGrid w:val="0"/>
              <w:spacing w:line="500" w:lineRule="exact"/>
              <w:jc w:val="center"/>
              <w:rPr>
                <w:rFonts w:hint="default" w:ascii="宋体" w:hAnsi="宋体" w:eastAsia="宋体" w:cs="宋体"/>
                <w:sz w:val="21"/>
                <w:szCs w:val="21"/>
                <w:highlight w:val="none"/>
                <w:lang w:val="en-US"/>
              </w:rPr>
            </w:pPr>
            <w:r>
              <w:rPr>
                <w:rFonts w:hint="eastAsia" w:ascii="宋体" w:hAnsi="宋体" w:eastAsia="宋体" w:cs="宋体"/>
                <w:sz w:val="21"/>
                <w:szCs w:val="21"/>
                <w:highlight w:val="none"/>
                <w:lang w:val="en-US" w:eastAsia="zh-CN"/>
              </w:rPr>
              <w:t>审查人</w:t>
            </w:r>
          </w:p>
        </w:tc>
      </w:tr>
      <w:tr w14:paraId="0B87A4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825" w:hRule="atLeast"/>
        </w:trPr>
        <w:tc>
          <w:tcPr>
            <w:tcW w:w="930" w:type="dxa"/>
            <w:vMerge w:val="continue"/>
            <w:tcBorders>
              <w:left w:val="single" w:color="auto" w:sz="4" w:space="0"/>
              <w:right w:val="single" w:color="auto" w:sz="4" w:space="0"/>
            </w:tcBorders>
            <w:vAlign w:val="center"/>
          </w:tcPr>
          <w:p w14:paraId="5B5DCB50">
            <w:pPr>
              <w:snapToGrid w:val="0"/>
              <w:spacing w:line="500" w:lineRule="exact"/>
              <w:ind w:left="239" w:leftChars="114"/>
              <w:jc w:val="center"/>
              <w:rPr>
                <w:rFonts w:ascii="宋体" w:hAnsi="宋体" w:eastAsia="宋体" w:cs="宋体"/>
                <w:sz w:val="21"/>
                <w:szCs w:val="21"/>
                <w:highlight w:val="none"/>
              </w:rPr>
            </w:pPr>
          </w:p>
        </w:tc>
        <w:tc>
          <w:tcPr>
            <w:tcW w:w="3181" w:type="dxa"/>
            <w:tcBorders>
              <w:left w:val="single" w:color="auto" w:sz="4" w:space="0"/>
            </w:tcBorders>
            <w:vAlign w:val="center"/>
          </w:tcPr>
          <w:p w14:paraId="7A66B684">
            <w:pPr>
              <w:keepNext w:val="0"/>
              <w:keepLines w:val="0"/>
              <w:pageBreakBefore w:val="0"/>
              <w:widowControl w:val="0"/>
              <w:kinsoku/>
              <w:wordWrap/>
              <w:overflowPunct/>
              <w:topLinePunct w:val="0"/>
              <w:autoSpaceDE/>
              <w:autoSpaceDN/>
              <w:bidi w:val="0"/>
              <w:adjustRightInd/>
              <w:snapToGrid w:val="0"/>
              <w:spacing w:line="400" w:lineRule="exact"/>
              <w:ind w:left="105" w:leftChars="50" w:right="0" w:rightChars="0" w:firstLine="0" w:firstLineChars="0"/>
              <w:jc w:val="both"/>
              <w:textAlignment w:val="auto"/>
              <w:outlineLvl w:val="9"/>
              <w:rPr>
                <w:rFonts w:ascii="宋体" w:hAnsi="宋体" w:eastAsia="宋体" w:cs="宋体"/>
                <w:sz w:val="21"/>
                <w:szCs w:val="21"/>
                <w:highlight w:val="none"/>
              </w:rPr>
            </w:pPr>
            <w:r>
              <w:rPr>
                <w:rFonts w:hint="eastAsia" w:ascii="宋体" w:hAnsi="宋体" w:eastAsia="宋体" w:cs="宋体"/>
                <w:sz w:val="21"/>
                <w:szCs w:val="21"/>
                <w:highlight w:val="none"/>
              </w:rPr>
              <w:t>满足《中华人民共和国政府采购法》第二十二条规定</w:t>
            </w:r>
          </w:p>
        </w:tc>
        <w:tc>
          <w:tcPr>
            <w:tcW w:w="3958" w:type="dxa"/>
            <w:vAlign w:val="center"/>
          </w:tcPr>
          <w:p w14:paraId="094E49D9">
            <w:pPr>
              <w:keepNext w:val="0"/>
              <w:keepLines w:val="0"/>
              <w:pageBreakBefore w:val="0"/>
              <w:kinsoku/>
              <w:wordWrap/>
              <w:overflowPunct/>
              <w:topLinePunct w:val="0"/>
              <w:autoSpaceDE/>
              <w:autoSpaceDN/>
              <w:bidi w:val="0"/>
              <w:adjustRightInd/>
              <w:snapToGrid w:val="0"/>
              <w:spacing w:line="400" w:lineRule="exact"/>
              <w:ind w:left="42" w:leftChars="20" w:right="0" w:rightChars="0" w:firstLine="0" w:firstLineChars="0"/>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rPr>
              <w:t>提供供应商信用承诺函</w:t>
            </w:r>
          </w:p>
        </w:tc>
        <w:tc>
          <w:tcPr>
            <w:tcW w:w="1224" w:type="dxa"/>
            <w:vMerge w:val="restart"/>
            <w:vAlign w:val="center"/>
          </w:tcPr>
          <w:p w14:paraId="0C70482B">
            <w:pPr>
              <w:snapToGrid w:val="0"/>
              <w:spacing w:line="500" w:lineRule="exact"/>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采购人</w:t>
            </w:r>
          </w:p>
        </w:tc>
      </w:tr>
      <w:tr w14:paraId="196338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825" w:hRule="atLeast"/>
        </w:trPr>
        <w:tc>
          <w:tcPr>
            <w:tcW w:w="930" w:type="dxa"/>
            <w:vMerge w:val="continue"/>
            <w:tcBorders>
              <w:left w:val="single" w:color="auto" w:sz="4" w:space="0"/>
              <w:right w:val="single" w:color="auto" w:sz="4" w:space="0"/>
            </w:tcBorders>
            <w:vAlign w:val="center"/>
          </w:tcPr>
          <w:p w14:paraId="72D1C568">
            <w:pPr>
              <w:snapToGrid w:val="0"/>
              <w:spacing w:line="500" w:lineRule="exact"/>
              <w:ind w:left="239" w:leftChars="114"/>
              <w:jc w:val="center"/>
              <w:rPr>
                <w:rFonts w:ascii="宋体" w:hAnsi="宋体" w:eastAsia="宋体" w:cs="宋体"/>
                <w:sz w:val="21"/>
                <w:szCs w:val="21"/>
                <w:highlight w:val="none"/>
              </w:rPr>
            </w:pPr>
          </w:p>
        </w:tc>
        <w:tc>
          <w:tcPr>
            <w:tcW w:w="3181" w:type="dxa"/>
            <w:tcBorders>
              <w:left w:val="single" w:color="auto" w:sz="4" w:space="0"/>
            </w:tcBorders>
            <w:vAlign w:val="center"/>
          </w:tcPr>
          <w:p w14:paraId="058B4432">
            <w:pPr>
              <w:keepNext w:val="0"/>
              <w:keepLines w:val="0"/>
              <w:pageBreakBefore w:val="0"/>
              <w:widowControl w:val="0"/>
              <w:kinsoku/>
              <w:wordWrap/>
              <w:overflowPunct/>
              <w:topLinePunct w:val="0"/>
              <w:autoSpaceDE/>
              <w:autoSpaceDN/>
              <w:bidi w:val="0"/>
              <w:adjustRightInd/>
              <w:snapToGrid w:val="0"/>
              <w:spacing w:line="400" w:lineRule="exact"/>
              <w:ind w:left="105" w:leftChars="50" w:right="0" w:rightChars="0" w:firstLine="0" w:firstLineChars="0"/>
              <w:jc w:val="both"/>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rPr>
              <w:t>落实政府采购政策需满足的资格要求</w:t>
            </w:r>
          </w:p>
        </w:tc>
        <w:tc>
          <w:tcPr>
            <w:tcW w:w="3958" w:type="dxa"/>
            <w:vAlign w:val="center"/>
          </w:tcPr>
          <w:p w14:paraId="51AD5C52">
            <w:pPr>
              <w:keepNext w:val="0"/>
              <w:keepLines w:val="0"/>
              <w:pageBreakBefore w:val="0"/>
              <w:kinsoku/>
              <w:wordWrap/>
              <w:overflowPunct/>
              <w:topLinePunct w:val="0"/>
              <w:autoSpaceDE/>
              <w:autoSpaceDN/>
              <w:bidi w:val="0"/>
              <w:adjustRightInd/>
              <w:snapToGrid w:val="0"/>
              <w:spacing w:line="400" w:lineRule="exact"/>
              <w:ind w:left="42" w:leftChars="20" w:right="0" w:rightChars="0" w:firstLine="0" w:firstLineChars="0"/>
              <w:textAlignment w:val="auto"/>
              <w:outlineLvl w:val="9"/>
              <w:rPr>
                <w:rFonts w:hint="eastAsia" w:ascii="宋体" w:hAnsi="宋体" w:eastAsia="宋体" w:cs="宋体"/>
                <w:sz w:val="21"/>
                <w:szCs w:val="21"/>
                <w:highlight w:val="none"/>
              </w:rPr>
            </w:pPr>
            <w:r>
              <w:rPr>
                <w:rFonts w:hint="eastAsia" w:ascii="宋体" w:hAnsi="宋体" w:eastAsia="宋体" w:cs="宋体"/>
                <w:sz w:val="21"/>
                <w:szCs w:val="21"/>
                <w:highlight w:val="none"/>
              </w:rPr>
              <w:t>提供中小企业声明函或者残疾人福利性单位声明函或者监狱企业证明材料。</w:t>
            </w:r>
          </w:p>
        </w:tc>
        <w:tc>
          <w:tcPr>
            <w:tcW w:w="1224" w:type="dxa"/>
            <w:vMerge w:val="continue"/>
            <w:vAlign w:val="center"/>
          </w:tcPr>
          <w:p w14:paraId="27BE915D">
            <w:pPr>
              <w:snapToGrid w:val="0"/>
              <w:spacing w:line="500" w:lineRule="exact"/>
              <w:jc w:val="center"/>
              <w:rPr>
                <w:rFonts w:ascii="宋体" w:hAnsi="宋体" w:eastAsia="宋体" w:cs="宋体"/>
                <w:sz w:val="21"/>
                <w:szCs w:val="21"/>
                <w:highlight w:val="none"/>
              </w:rPr>
            </w:pPr>
          </w:p>
        </w:tc>
      </w:tr>
      <w:tr w14:paraId="365A14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1021" w:hRule="atLeast"/>
        </w:trPr>
        <w:tc>
          <w:tcPr>
            <w:tcW w:w="930" w:type="dxa"/>
            <w:vMerge w:val="continue"/>
            <w:tcBorders>
              <w:left w:val="single" w:color="auto" w:sz="4" w:space="0"/>
              <w:right w:val="single" w:color="auto" w:sz="4" w:space="0"/>
            </w:tcBorders>
            <w:vAlign w:val="center"/>
          </w:tcPr>
          <w:p w14:paraId="02F9C8E5">
            <w:pPr>
              <w:snapToGrid w:val="0"/>
              <w:spacing w:line="500" w:lineRule="exact"/>
              <w:ind w:left="239" w:leftChars="114"/>
              <w:jc w:val="center"/>
              <w:rPr>
                <w:rFonts w:ascii="宋体" w:hAnsi="宋体" w:eastAsia="宋体" w:cs="宋体"/>
                <w:sz w:val="21"/>
                <w:szCs w:val="21"/>
                <w:highlight w:val="none"/>
              </w:rPr>
            </w:pPr>
          </w:p>
        </w:tc>
        <w:tc>
          <w:tcPr>
            <w:tcW w:w="3181" w:type="dxa"/>
            <w:vMerge w:val="restart"/>
            <w:tcBorders>
              <w:left w:val="single" w:color="auto" w:sz="4" w:space="0"/>
            </w:tcBorders>
            <w:vAlign w:val="center"/>
          </w:tcPr>
          <w:p w14:paraId="74D93F72">
            <w:pPr>
              <w:keepNext w:val="0"/>
              <w:keepLines w:val="0"/>
              <w:pageBreakBefore w:val="0"/>
              <w:kinsoku/>
              <w:wordWrap/>
              <w:overflowPunct/>
              <w:topLinePunct w:val="0"/>
              <w:autoSpaceDE/>
              <w:autoSpaceDN/>
              <w:bidi w:val="0"/>
              <w:adjustRightInd/>
              <w:snapToGrid w:val="0"/>
              <w:spacing w:line="400" w:lineRule="exact"/>
              <w:ind w:left="105" w:leftChars="50" w:right="0" w:rightChars="0" w:firstLine="0" w:firstLineChars="0"/>
              <w:jc w:val="left"/>
              <w:textAlignment w:val="auto"/>
              <w:outlineLvl w:val="9"/>
              <w:rPr>
                <w:rFonts w:ascii="宋体" w:hAnsi="宋体" w:eastAsia="宋体" w:cs="宋体"/>
                <w:sz w:val="21"/>
                <w:szCs w:val="21"/>
                <w:highlight w:val="none"/>
              </w:rPr>
            </w:pPr>
            <w:r>
              <w:rPr>
                <w:rFonts w:hint="eastAsia" w:ascii="宋体" w:hAnsi="宋体" w:eastAsia="宋体" w:cs="宋体"/>
                <w:sz w:val="21"/>
                <w:szCs w:val="21"/>
                <w:highlight w:val="none"/>
              </w:rPr>
              <w:t>特定资格要求</w:t>
            </w:r>
          </w:p>
        </w:tc>
        <w:tc>
          <w:tcPr>
            <w:tcW w:w="3958" w:type="dxa"/>
            <w:vAlign w:val="center"/>
          </w:tcPr>
          <w:p w14:paraId="2F9A2D07">
            <w:pPr>
              <w:keepNext w:val="0"/>
              <w:keepLines w:val="0"/>
              <w:pageBreakBefore w:val="0"/>
              <w:widowControl w:val="0"/>
              <w:kinsoku/>
              <w:wordWrap w:val="0"/>
              <w:overflowPunct/>
              <w:topLinePunct/>
              <w:autoSpaceDE/>
              <w:autoSpaceDN/>
              <w:bidi w:val="0"/>
              <w:adjustRightInd/>
              <w:spacing w:line="440" w:lineRule="exact"/>
              <w:ind w:left="42" w:leftChars="20"/>
              <w:textAlignment w:val="auto"/>
              <w:rPr>
                <w:rFonts w:hint="eastAsia" w:ascii="宋体" w:hAnsi="宋体" w:eastAsia="宋体" w:cs="宋体"/>
                <w:kern w:val="0"/>
                <w:sz w:val="21"/>
                <w:szCs w:val="21"/>
                <w:highlight w:val="yellow"/>
                <w:lang w:val="en-US"/>
              </w:rPr>
            </w:pPr>
            <w:r>
              <w:rPr>
                <w:rFonts w:hint="eastAsia" w:ascii="宋体" w:hAnsi="宋体" w:eastAsia="宋体" w:cs="宋体"/>
                <w:color w:val="auto"/>
                <w:sz w:val="21"/>
                <w:szCs w:val="21"/>
                <w:highlight w:val="none"/>
                <w:lang w:val="en-US" w:eastAsia="zh-CN"/>
              </w:rPr>
              <w:t>供应商具有公安机关颁发的合法有效的《保安服务许可证》；</w:t>
            </w:r>
          </w:p>
        </w:tc>
        <w:tc>
          <w:tcPr>
            <w:tcW w:w="1224" w:type="dxa"/>
            <w:vMerge w:val="continue"/>
            <w:vAlign w:val="center"/>
          </w:tcPr>
          <w:p w14:paraId="4F32E6EE">
            <w:pPr>
              <w:snapToGrid w:val="0"/>
              <w:spacing w:line="500" w:lineRule="exact"/>
              <w:jc w:val="center"/>
              <w:rPr>
                <w:rFonts w:ascii="宋体" w:hAnsi="宋体" w:eastAsia="宋体" w:cs="宋体"/>
                <w:sz w:val="21"/>
                <w:szCs w:val="21"/>
                <w:highlight w:val="none"/>
              </w:rPr>
            </w:pPr>
          </w:p>
        </w:tc>
      </w:tr>
      <w:tr w14:paraId="2391C8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1535" w:hRule="atLeast"/>
        </w:trPr>
        <w:tc>
          <w:tcPr>
            <w:tcW w:w="930" w:type="dxa"/>
            <w:vMerge w:val="continue"/>
            <w:tcBorders>
              <w:left w:val="single" w:color="auto" w:sz="4" w:space="0"/>
              <w:right w:val="single" w:color="auto" w:sz="4" w:space="0"/>
            </w:tcBorders>
            <w:vAlign w:val="center"/>
          </w:tcPr>
          <w:p w14:paraId="455E2662">
            <w:pPr>
              <w:snapToGrid w:val="0"/>
              <w:spacing w:line="500" w:lineRule="exact"/>
              <w:ind w:left="239" w:leftChars="114"/>
              <w:jc w:val="center"/>
              <w:rPr>
                <w:rFonts w:ascii="宋体" w:hAnsi="宋体" w:eastAsia="宋体" w:cs="宋体"/>
                <w:sz w:val="21"/>
                <w:szCs w:val="21"/>
                <w:highlight w:val="none"/>
              </w:rPr>
            </w:pPr>
          </w:p>
        </w:tc>
        <w:tc>
          <w:tcPr>
            <w:tcW w:w="3181" w:type="dxa"/>
            <w:vMerge w:val="continue"/>
            <w:tcBorders>
              <w:left w:val="single" w:color="auto" w:sz="4" w:space="0"/>
            </w:tcBorders>
            <w:vAlign w:val="center"/>
          </w:tcPr>
          <w:p w14:paraId="372A3410">
            <w:pPr>
              <w:keepNext w:val="0"/>
              <w:keepLines w:val="0"/>
              <w:pageBreakBefore w:val="0"/>
              <w:kinsoku/>
              <w:wordWrap/>
              <w:overflowPunct/>
              <w:topLinePunct w:val="0"/>
              <w:autoSpaceDE/>
              <w:autoSpaceDN/>
              <w:bidi w:val="0"/>
              <w:adjustRightInd/>
              <w:snapToGrid w:val="0"/>
              <w:spacing w:line="400" w:lineRule="exact"/>
              <w:ind w:left="105" w:leftChars="50" w:right="0" w:rightChars="0" w:firstLine="0" w:firstLineChars="0"/>
              <w:jc w:val="left"/>
              <w:textAlignment w:val="auto"/>
              <w:outlineLvl w:val="9"/>
              <w:rPr>
                <w:rFonts w:hint="eastAsia" w:ascii="宋体" w:hAnsi="宋体" w:eastAsia="宋体" w:cs="宋体"/>
                <w:sz w:val="21"/>
                <w:szCs w:val="21"/>
                <w:highlight w:val="none"/>
              </w:rPr>
            </w:pPr>
          </w:p>
        </w:tc>
        <w:tc>
          <w:tcPr>
            <w:tcW w:w="3958" w:type="dxa"/>
            <w:vAlign w:val="center"/>
          </w:tcPr>
          <w:p w14:paraId="1F4BF6A2">
            <w:pPr>
              <w:keepNext w:val="0"/>
              <w:keepLines w:val="0"/>
              <w:pageBreakBefore w:val="0"/>
              <w:widowControl w:val="0"/>
              <w:kinsoku/>
              <w:wordWrap w:val="0"/>
              <w:overflowPunct/>
              <w:topLinePunct/>
              <w:autoSpaceDE/>
              <w:autoSpaceDN/>
              <w:bidi w:val="0"/>
              <w:adjustRightInd/>
              <w:spacing w:line="440" w:lineRule="exact"/>
              <w:ind w:left="42" w:leftChars="2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单位负责人为同一人或者存在直接控股、管理关系的不同供应商，不得同时参加本项目采购活动；</w:t>
            </w:r>
          </w:p>
        </w:tc>
        <w:tc>
          <w:tcPr>
            <w:tcW w:w="1224" w:type="dxa"/>
            <w:vMerge w:val="continue"/>
            <w:vAlign w:val="center"/>
          </w:tcPr>
          <w:p w14:paraId="7A6CB4EE">
            <w:pPr>
              <w:snapToGrid w:val="0"/>
              <w:spacing w:line="500" w:lineRule="exact"/>
              <w:jc w:val="center"/>
              <w:rPr>
                <w:rFonts w:ascii="宋体" w:hAnsi="宋体" w:eastAsia="宋体" w:cs="宋体"/>
                <w:sz w:val="21"/>
                <w:szCs w:val="21"/>
                <w:highlight w:val="none"/>
              </w:rPr>
            </w:pPr>
          </w:p>
        </w:tc>
      </w:tr>
      <w:tr w14:paraId="2225E8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1218" w:hRule="atLeast"/>
        </w:trPr>
        <w:tc>
          <w:tcPr>
            <w:tcW w:w="930" w:type="dxa"/>
            <w:vMerge w:val="continue"/>
            <w:tcBorders>
              <w:left w:val="single" w:color="auto" w:sz="4" w:space="0"/>
              <w:right w:val="single" w:color="auto" w:sz="4" w:space="0"/>
            </w:tcBorders>
            <w:vAlign w:val="center"/>
          </w:tcPr>
          <w:p w14:paraId="47362BC0">
            <w:pPr>
              <w:pStyle w:val="46"/>
              <w:snapToGrid w:val="0"/>
              <w:spacing w:line="400" w:lineRule="exact"/>
              <w:rPr>
                <w:rFonts w:hint="eastAsia"/>
                <w:kern w:val="0"/>
                <w:sz w:val="21"/>
                <w:szCs w:val="21"/>
                <w:highlight w:val="yellow"/>
                <w:lang w:val="en-US"/>
              </w:rPr>
            </w:pPr>
          </w:p>
        </w:tc>
        <w:tc>
          <w:tcPr>
            <w:tcW w:w="3181" w:type="dxa"/>
            <w:vMerge w:val="continue"/>
            <w:tcBorders>
              <w:left w:val="single" w:color="auto" w:sz="4" w:space="0"/>
            </w:tcBorders>
            <w:vAlign w:val="center"/>
          </w:tcPr>
          <w:p w14:paraId="14A7C922">
            <w:pPr>
              <w:pStyle w:val="46"/>
              <w:keepNext w:val="0"/>
              <w:keepLines w:val="0"/>
              <w:pageBreakBefore w:val="0"/>
              <w:kinsoku/>
              <w:wordWrap/>
              <w:overflowPunct/>
              <w:topLinePunct w:val="0"/>
              <w:autoSpaceDE/>
              <w:autoSpaceDN/>
              <w:bidi w:val="0"/>
              <w:adjustRightInd/>
              <w:snapToGrid w:val="0"/>
              <w:spacing w:line="400" w:lineRule="exact"/>
              <w:ind w:left="105" w:leftChars="50" w:right="0" w:rightChars="0" w:firstLine="0" w:firstLineChars="0"/>
              <w:textAlignment w:val="auto"/>
              <w:outlineLvl w:val="9"/>
              <w:rPr>
                <w:rFonts w:hint="eastAsia"/>
                <w:kern w:val="0"/>
                <w:sz w:val="21"/>
                <w:szCs w:val="21"/>
                <w:highlight w:val="yellow"/>
                <w:lang w:val="en-US"/>
              </w:rPr>
            </w:pPr>
          </w:p>
        </w:tc>
        <w:tc>
          <w:tcPr>
            <w:tcW w:w="3958" w:type="dxa"/>
            <w:vAlign w:val="center"/>
          </w:tcPr>
          <w:p w14:paraId="001F6215">
            <w:pPr>
              <w:pStyle w:val="46"/>
              <w:keepNext w:val="0"/>
              <w:keepLines w:val="0"/>
              <w:pageBreakBefore w:val="0"/>
              <w:widowControl/>
              <w:kinsoku/>
              <w:wordWrap/>
              <w:overflowPunct/>
              <w:topLinePunct w:val="0"/>
              <w:autoSpaceDE/>
              <w:autoSpaceDN/>
              <w:bidi w:val="0"/>
              <w:adjustRightInd/>
              <w:snapToGrid w:val="0"/>
              <w:spacing w:line="400" w:lineRule="exact"/>
              <w:ind w:left="42" w:leftChars="20" w:right="0" w:rightChars="0" w:firstLine="0" w:firstLineChars="0"/>
              <w:jc w:val="left"/>
              <w:textAlignment w:val="auto"/>
              <w:outlineLvl w:val="9"/>
              <w:rPr>
                <w:rFonts w:hint="eastAsia" w:ascii="宋体" w:hAnsi="宋体" w:eastAsia="宋体" w:cs="宋体"/>
                <w:kern w:val="0"/>
                <w:sz w:val="21"/>
                <w:szCs w:val="21"/>
                <w:highlight w:val="yellow"/>
                <w:lang w:val="en-US"/>
              </w:rPr>
            </w:pPr>
            <w:r>
              <w:rPr>
                <w:rFonts w:hint="eastAsia" w:ascii="宋体" w:hAnsi="宋体" w:eastAsia="宋体" w:cs="宋体"/>
                <w:color w:val="auto"/>
                <w:sz w:val="21"/>
                <w:szCs w:val="21"/>
                <w:highlight w:val="none"/>
                <w:lang w:val="en-US" w:eastAsia="zh-CN"/>
              </w:rPr>
              <w:t>根据《关于在政府采购活动中查询及使用信用记录有关问题的通知》（财库〔2016〕125号）的规定，对列入失信行为记录名单的供应商，拒绝参与本项目政府采购活动；（查询渠道：1.“信用中国网”，查询内容为：重大税收违法失信主体；2.“中国执行信息公开网”，查询内容为：失信被执行人；3.“中国政府采购网”，查询内容为：政府采购严重违法失信行为记录名单。查询时间：自招标公告发出之日起）。</w:t>
            </w:r>
          </w:p>
        </w:tc>
        <w:tc>
          <w:tcPr>
            <w:tcW w:w="1224" w:type="dxa"/>
            <w:vMerge w:val="continue"/>
            <w:vAlign w:val="center"/>
          </w:tcPr>
          <w:p w14:paraId="517B894F">
            <w:pPr>
              <w:pStyle w:val="46"/>
              <w:snapToGrid w:val="0"/>
              <w:spacing w:line="400" w:lineRule="exact"/>
              <w:rPr>
                <w:rFonts w:hint="eastAsia"/>
                <w:kern w:val="0"/>
                <w:sz w:val="21"/>
                <w:szCs w:val="21"/>
                <w:highlight w:val="none"/>
                <w:lang w:val="en-US"/>
              </w:rPr>
            </w:pPr>
          </w:p>
        </w:tc>
      </w:tr>
      <w:tr w14:paraId="221622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476" w:hRule="atLeast"/>
        </w:trPr>
        <w:tc>
          <w:tcPr>
            <w:tcW w:w="9293" w:type="dxa"/>
            <w:gridSpan w:val="4"/>
            <w:vAlign w:val="center"/>
          </w:tcPr>
          <w:p w14:paraId="178C2FED">
            <w:pPr>
              <w:snapToGrid w:val="0"/>
              <w:spacing w:line="500" w:lineRule="exact"/>
              <w:rPr>
                <w:rFonts w:hint="default"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审查结果：</w:t>
            </w:r>
          </w:p>
        </w:tc>
      </w:tr>
      <w:tr w14:paraId="0D5306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476" w:hRule="atLeast"/>
        </w:trPr>
        <w:tc>
          <w:tcPr>
            <w:tcW w:w="9293" w:type="dxa"/>
            <w:gridSpan w:val="4"/>
            <w:vAlign w:val="center"/>
          </w:tcPr>
          <w:p w14:paraId="47FEF25C">
            <w:pPr>
              <w:snapToGrid w:val="0"/>
              <w:spacing w:line="500" w:lineRule="exact"/>
              <w:rPr>
                <w:rFonts w:ascii="宋体" w:hAnsi="宋体" w:eastAsia="宋体" w:cs="宋体"/>
                <w:sz w:val="21"/>
                <w:szCs w:val="21"/>
                <w:highlight w:val="none"/>
              </w:rPr>
            </w:pPr>
            <w:r>
              <w:rPr>
                <w:rFonts w:hint="eastAsia" w:ascii="宋体" w:hAnsi="宋体" w:eastAsia="宋体" w:cs="宋体"/>
                <w:b/>
                <w:bCs/>
                <w:sz w:val="21"/>
                <w:szCs w:val="21"/>
                <w:highlight w:val="none"/>
                <w:lang w:val="en-US" w:eastAsia="zh-CN"/>
              </w:rPr>
              <w:t>注：以上各项评审因素有任意一项不符合要求的，将作无效投标处理。</w:t>
            </w:r>
          </w:p>
        </w:tc>
      </w:tr>
    </w:tbl>
    <w:p w14:paraId="24AF0428">
      <w:pPr>
        <w:pStyle w:val="46"/>
        <w:keepNext w:val="0"/>
        <w:keepLines w:val="0"/>
        <w:pageBreakBefore w:val="0"/>
        <w:widowControl/>
        <w:kinsoku/>
        <w:wordWrap/>
        <w:overflowPunct/>
        <w:topLinePunct w:val="0"/>
        <w:autoSpaceDE/>
        <w:autoSpaceDN/>
        <w:bidi w:val="0"/>
        <w:adjustRightInd/>
        <w:snapToGrid w:val="0"/>
        <w:spacing w:line="460" w:lineRule="exact"/>
        <w:ind w:left="0" w:leftChars="0" w:right="0" w:rightChars="0" w:firstLine="480" w:firstLineChars="200"/>
        <w:jc w:val="left"/>
        <w:textAlignment w:val="auto"/>
        <w:outlineLvl w:val="9"/>
        <w:rPr>
          <w:rFonts w:hint="eastAsia"/>
          <w:kern w:val="0"/>
          <w:sz w:val="24"/>
          <w:szCs w:val="24"/>
          <w:highlight w:val="none"/>
          <w:lang w:val="en-US"/>
        </w:rPr>
      </w:pPr>
      <w:r>
        <w:rPr>
          <w:rFonts w:hint="eastAsia"/>
          <w:kern w:val="0"/>
          <w:sz w:val="24"/>
          <w:szCs w:val="24"/>
          <w:highlight w:val="none"/>
          <w:lang w:val="en-US"/>
        </w:rPr>
        <w:t>根据《政府采购货物和服务招标投标管理办法》（财政部令第87号）第四十四条的规定，公开招标采购项目开标结束后，采购人依法对供应商的资格进行审查，确定供应商是否具备投标资格，</w:t>
      </w:r>
      <w:r>
        <w:rPr>
          <w:rFonts w:hint="eastAsia"/>
          <w:b/>
          <w:bCs/>
          <w:kern w:val="0"/>
          <w:sz w:val="24"/>
          <w:szCs w:val="24"/>
          <w:highlight w:val="none"/>
          <w:lang w:val="en-US"/>
        </w:rPr>
        <w:t>合格供应商不足3家的，不得评标</w:t>
      </w:r>
      <w:r>
        <w:rPr>
          <w:rFonts w:hint="eastAsia"/>
          <w:kern w:val="0"/>
          <w:sz w:val="24"/>
          <w:szCs w:val="24"/>
          <w:highlight w:val="none"/>
          <w:lang w:val="en-US"/>
        </w:rPr>
        <w:t>。</w:t>
      </w:r>
    </w:p>
    <w:p w14:paraId="7F7AD258">
      <w:pPr>
        <w:pStyle w:val="46"/>
        <w:keepNext w:val="0"/>
        <w:keepLines w:val="0"/>
        <w:pageBreakBefore w:val="0"/>
        <w:widowControl/>
        <w:kinsoku/>
        <w:wordWrap/>
        <w:overflowPunct/>
        <w:topLinePunct w:val="0"/>
        <w:autoSpaceDE/>
        <w:autoSpaceDN/>
        <w:bidi w:val="0"/>
        <w:adjustRightInd/>
        <w:snapToGrid w:val="0"/>
        <w:spacing w:line="460" w:lineRule="exact"/>
        <w:ind w:right="0" w:rightChars="0"/>
        <w:jc w:val="left"/>
        <w:textAlignment w:val="auto"/>
        <w:outlineLvl w:val="9"/>
        <w:rPr>
          <w:rFonts w:hint="eastAsia"/>
          <w:kern w:val="0"/>
          <w:sz w:val="24"/>
          <w:szCs w:val="24"/>
          <w:highlight w:val="none"/>
          <w:lang w:val="en-US"/>
        </w:rPr>
      </w:pPr>
    </w:p>
    <w:p w14:paraId="2FFA6CB2">
      <w:pPr>
        <w:pStyle w:val="46"/>
        <w:keepNext w:val="0"/>
        <w:keepLines w:val="0"/>
        <w:pageBreakBefore w:val="0"/>
        <w:widowControl/>
        <w:kinsoku/>
        <w:wordWrap/>
        <w:overflowPunct/>
        <w:topLinePunct w:val="0"/>
        <w:autoSpaceDE/>
        <w:autoSpaceDN/>
        <w:bidi w:val="0"/>
        <w:adjustRightInd/>
        <w:snapToGrid w:val="0"/>
        <w:spacing w:line="460" w:lineRule="exact"/>
        <w:ind w:right="0" w:rightChars="0"/>
        <w:jc w:val="left"/>
        <w:textAlignment w:val="auto"/>
        <w:outlineLvl w:val="9"/>
        <w:rPr>
          <w:rFonts w:hint="eastAsia"/>
          <w:kern w:val="0"/>
          <w:sz w:val="24"/>
          <w:szCs w:val="24"/>
          <w:highlight w:val="none"/>
          <w:lang w:val="en-US"/>
        </w:rPr>
      </w:pPr>
    </w:p>
    <w:p w14:paraId="33B79B5C">
      <w:pPr>
        <w:pStyle w:val="46"/>
        <w:keepNext w:val="0"/>
        <w:keepLines w:val="0"/>
        <w:pageBreakBefore w:val="0"/>
        <w:widowControl/>
        <w:kinsoku/>
        <w:wordWrap/>
        <w:overflowPunct/>
        <w:topLinePunct w:val="0"/>
        <w:autoSpaceDE/>
        <w:autoSpaceDN/>
        <w:bidi w:val="0"/>
        <w:adjustRightInd/>
        <w:snapToGrid w:val="0"/>
        <w:spacing w:line="460" w:lineRule="exact"/>
        <w:ind w:right="0" w:rightChars="0"/>
        <w:jc w:val="left"/>
        <w:textAlignment w:val="auto"/>
        <w:outlineLvl w:val="9"/>
        <w:rPr>
          <w:rFonts w:hint="eastAsia"/>
          <w:kern w:val="0"/>
          <w:sz w:val="24"/>
          <w:szCs w:val="24"/>
          <w:highlight w:val="none"/>
          <w:lang w:val="en-US"/>
        </w:rPr>
      </w:pPr>
    </w:p>
    <w:p w14:paraId="37BACC22">
      <w:pPr>
        <w:adjustRightInd w:val="0"/>
        <w:snapToGrid w:val="0"/>
        <w:spacing w:line="500" w:lineRule="exact"/>
        <w:jc w:val="center"/>
        <w:outlineLvl w:val="1"/>
        <w:rPr>
          <w:rFonts w:hint="eastAsia" w:ascii="宋体" w:hAnsi="宋体" w:eastAsia="宋体" w:cs="宋体"/>
          <w:bCs/>
          <w:sz w:val="24"/>
          <w:szCs w:val="32"/>
          <w:highlight w:val="none"/>
        </w:rPr>
      </w:pPr>
      <w:bookmarkStart w:id="30" w:name="_Toc26259"/>
      <w:r>
        <w:rPr>
          <w:rFonts w:hint="eastAsia" w:eastAsia="宋体"/>
          <w:b/>
          <w:bCs/>
          <w:sz w:val="28"/>
          <w:szCs w:val="28"/>
          <w:highlight w:val="none"/>
          <w:lang w:val="en-US" w:eastAsia="zh-CN"/>
        </w:rPr>
        <w:t>二、符合性评审表</w:t>
      </w:r>
      <w:bookmarkEnd w:id="30"/>
    </w:p>
    <w:tbl>
      <w:tblPr>
        <w:tblStyle w:val="45"/>
        <w:tblW w:w="9359"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13" w:type="dxa"/>
          <w:bottom w:w="0" w:type="dxa"/>
          <w:right w:w="113" w:type="dxa"/>
        </w:tblCellMar>
      </w:tblPr>
      <w:tblGrid>
        <w:gridCol w:w="930"/>
        <w:gridCol w:w="3181"/>
        <w:gridCol w:w="3958"/>
        <w:gridCol w:w="1290"/>
      </w:tblGrid>
      <w:tr w14:paraId="20A8F7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634" w:hRule="atLeast"/>
        </w:trPr>
        <w:tc>
          <w:tcPr>
            <w:tcW w:w="930" w:type="dxa"/>
            <w:vMerge w:val="restart"/>
            <w:tcBorders>
              <w:top w:val="single" w:color="auto" w:sz="4" w:space="0"/>
              <w:left w:val="single" w:color="auto" w:sz="4" w:space="0"/>
              <w:right w:val="single" w:color="auto" w:sz="4" w:space="0"/>
            </w:tcBorders>
            <w:vAlign w:val="center"/>
          </w:tcPr>
          <w:p w14:paraId="32280D7D">
            <w:pPr>
              <w:snapToGrid w:val="0"/>
              <w:spacing w:line="500" w:lineRule="exact"/>
              <w:jc w:val="center"/>
              <w:rPr>
                <w:rFonts w:ascii="宋体" w:hAnsi="宋体" w:eastAsia="宋体" w:cs="宋体"/>
                <w:sz w:val="24"/>
                <w:szCs w:val="24"/>
                <w:highlight w:val="none"/>
              </w:rPr>
            </w:pPr>
            <w:bookmarkStart w:id="31" w:name="_Toc173857140"/>
            <w:bookmarkStart w:id="32" w:name="_Toc15707"/>
            <w:r>
              <w:rPr>
                <w:rFonts w:hint="eastAsia" w:ascii="宋体" w:hAnsi="宋体" w:eastAsia="宋体" w:cs="宋体"/>
                <w:sz w:val="24"/>
                <w:szCs w:val="24"/>
                <w:highlight w:val="none"/>
              </w:rPr>
              <w:t>符合性评审标准</w:t>
            </w:r>
          </w:p>
        </w:tc>
        <w:tc>
          <w:tcPr>
            <w:tcW w:w="3181" w:type="dxa"/>
            <w:tcBorders>
              <w:left w:val="single" w:color="auto" w:sz="4" w:space="0"/>
            </w:tcBorders>
            <w:vAlign w:val="center"/>
          </w:tcPr>
          <w:p w14:paraId="638F67A2">
            <w:pPr>
              <w:snapToGrid w:val="0"/>
              <w:spacing w:line="50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评审因素</w:t>
            </w:r>
          </w:p>
        </w:tc>
        <w:tc>
          <w:tcPr>
            <w:tcW w:w="3958" w:type="dxa"/>
            <w:vAlign w:val="center"/>
          </w:tcPr>
          <w:p w14:paraId="5E24CC7D">
            <w:pPr>
              <w:snapToGrid w:val="0"/>
              <w:spacing w:line="50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评审标准</w:t>
            </w:r>
          </w:p>
        </w:tc>
        <w:tc>
          <w:tcPr>
            <w:tcW w:w="1290" w:type="dxa"/>
            <w:vAlign w:val="center"/>
          </w:tcPr>
          <w:p w14:paraId="0D53D67A">
            <w:pPr>
              <w:snapToGrid w:val="0"/>
              <w:spacing w:line="500" w:lineRule="exact"/>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审查人</w:t>
            </w:r>
          </w:p>
        </w:tc>
      </w:tr>
      <w:tr w14:paraId="5247E8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740" w:hRule="atLeast"/>
        </w:trPr>
        <w:tc>
          <w:tcPr>
            <w:tcW w:w="930" w:type="dxa"/>
            <w:vMerge w:val="continue"/>
            <w:tcBorders>
              <w:left w:val="single" w:color="auto" w:sz="4" w:space="0"/>
              <w:right w:val="single" w:color="auto" w:sz="4" w:space="0"/>
            </w:tcBorders>
            <w:vAlign w:val="center"/>
          </w:tcPr>
          <w:p w14:paraId="4B718FFD">
            <w:pPr>
              <w:snapToGrid w:val="0"/>
              <w:spacing w:line="500" w:lineRule="exact"/>
              <w:jc w:val="center"/>
              <w:rPr>
                <w:rFonts w:ascii="宋体" w:hAnsi="宋体" w:eastAsia="宋体" w:cs="宋体"/>
                <w:sz w:val="24"/>
                <w:szCs w:val="24"/>
                <w:highlight w:val="none"/>
              </w:rPr>
            </w:pPr>
          </w:p>
        </w:tc>
        <w:tc>
          <w:tcPr>
            <w:tcW w:w="3181" w:type="dxa"/>
            <w:tcBorders>
              <w:left w:val="single" w:color="auto" w:sz="4" w:space="0"/>
            </w:tcBorders>
            <w:vAlign w:val="center"/>
          </w:tcPr>
          <w:p w14:paraId="3FC84E1D">
            <w:pPr>
              <w:keepNext w:val="0"/>
              <w:keepLines w:val="0"/>
              <w:pageBreakBefore w:val="0"/>
              <w:kinsoku/>
              <w:wordWrap/>
              <w:overflowPunct/>
              <w:topLinePunct w:val="0"/>
              <w:autoSpaceDE/>
              <w:autoSpaceDN/>
              <w:bidi w:val="0"/>
              <w:adjustRightInd/>
              <w:snapToGrid w:val="0"/>
              <w:spacing w:line="400" w:lineRule="exact"/>
              <w:ind w:left="105" w:leftChars="50" w:right="0" w:rightChars="0" w:firstLine="0" w:firstLineChars="0"/>
              <w:jc w:val="center"/>
              <w:textAlignment w:val="auto"/>
              <w:outlineLvl w:val="9"/>
              <w:rPr>
                <w:rFonts w:ascii="宋体" w:hAnsi="宋体" w:eastAsia="宋体" w:cs="宋体"/>
                <w:sz w:val="24"/>
                <w:szCs w:val="24"/>
                <w:highlight w:val="none"/>
              </w:rPr>
            </w:pPr>
            <w:r>
              <w:rPr>
                <w:rFonts w:hint="eastAsia" w:ascii="宋体" w:hAnsi="宋体" w:eastAsia="宋体" w:cs="宋体"/>
                <w:sz w:val="24"/>
                <w:szCs w:val="24"/>
                <w:highlight w:val="none"/>
              </w:rPr>
              <w:t>投标文件的签署、盖章</w:t>
            </w:r>
          </w:p>
        </w:tc>
        <w:tc>
          <w:tcPr>
            <w:tcW w:w="3958" w:type="dxa"/>
            <w:tcBorders>
              <w:bottom w:val="single" w:color="auto" w:sz="4" w:space="0"/>
            </w:tcBorders>
            <w:vAlign w:val="center"/>
          </w:tcPr>
          <w:p w14:paraId="1B7C77DE">
            <w:pPr>
              <w:keepNext w:val="0"/>
              <w:keepLines w:val="0"/>
              <w:pageBreakBefore w:val="0"/>
              <w:kinsoku/>
              <w:wordWrap/>
              <w:overflowPunct/>
              <w:topLinePunct w:val="0"/>
              <w:autoSpaceDE/>
              <w:autoSpaceDN/>
              <w:bidi w:val="0"/>
              <w:adjustRightInd/>
              <w:snapToGrid w:val="0"/>
              <w:spacing w:line="400" w:lineRule="exact"/>
              <w:ind w:left="105" w:leftChars="50" w:right="0" w:rightChars="0" w:firstLine="0" w:firstLineChars="0"/>
              <w:textAlignment w:val="auto"/>
              <w:outlineLvl w:val="9"/>
              <w:rPr>
                <w:rFonts w:ascii="宋体" w:hAnsi="宋体" w:eastAsia="宋体" w:cs="宋体"/>
                <w:sz w:val="24"/>
                <w:szCs w:val="24"/>
                <w:highlight w:val="none"/>
              </w:rPr>
            </w:pPr>
            <w:r>
              <w:rPr>
                <w:rFonts w:hint="eastAsia" w:ascii="宋体" w:hAnsi="宋体" w:eastAsia="宋体" w:cs="宋体"/>
                <w:sz w:val="24"/>
                <w:szCs w:val="24"/>
                <w:highlight w:val="none"/>
              </w:rPr>
              <w:t>按照招标文件规定要求签署、盖章</w:t>
            </w:r>
          </w:p>
        </w:tc>
        <w:tc>
          <w:tcPr>
            <w:tcW w:w="1290" w:type="dxa"/>
            <w:vMerge w:val="restart"/>
            <w:vAlign w:val="center"/>
          </w:tcPr>
          <w:p w14:paraId="2C2B8057">
            <w:pPr>
              <w:snapToGrid w:val="0"/>
              <w:spacing w:line="500" w:lineRule="exact"/>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评标委员会</w:t>
            </w:r>
          </w:p>
        </w:tc>
      </w:tr>
      <w:tr w14:paraId="26D22D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783" w:hRule="atLeast"/>
        </w:trPr>
        <w:tc>
          <w:tcPr>
            <w:tcW w:w="930" w:type="dxa"/>
            <w:vMerge w:val="continue"/>
            <w:tcBorders>
              <w:left w:val="single" w:color="auto" w:sz="4" w:space="0"/>
              <w:right w:val="single" w:color="auto" w:sz="4" w:space="0"/>
            </w:tcBorders>
            <w:vAlign w:val="center"/>
          </w:tcPr>
          <w:p w14:paraId="2E7BCA40">
            <w:pPr>
              <w:snapToGrid w:val="0"/>
              <w:spacing w:line="500" w:lineRule="exact"/>
              <w:ind w:left="239" w:leftChars="114"/>
              <w:jc w:val="center"/>
              <w:rPr>
                <w:rFonts w:ascii="宋体" w:hAnsi="宋体" w:eastAsia="宋体" w:cs="宋体"/>
                <w:sz w:val="24"/>
                <w:szCs w:val="24"/>
                <w:highlight w:val="none"/>
              </w:rPr>
            </w:pPr>
          </w:p>
        </w:tc>
        <w:tc>
          <w:tcPr>
            <w:tcW w:w="3181" w:type="dxa"/>
            <w:tcBorders>
              <w:left w:val="single" w:color="auto" w:sz="4" w:space="0"/>
            </w:tcBorders>
            <w:vAlign w:val="center"/>
          </w:tcPr>
          <w:p w14:paraId="2F65879C">
            <w:pPr>
              <w:keepNext w:val="0"/>
              <w:keepLines w:val="0"/>
              <w:pageBreakBefore w:val="0"/>
              <w:kinsoku/>
              <w:wordWrap/>
              <w:overflowPunct/>
              <w:topLinePunct w:val="0"/>
              <w:autoSpaceDE/>
              <w:autoSpaceDN/>
              <w:bidi w:val="0"/>
              <w:adjustRightInd/>
              <w:snapToGrid w:val="0"/>
              <w:spacing w:line="400" w:lineRule="exact"/>
              <w:ind w:left="105" w:leftChars="50" w:right="0" w:rightChars="0" w:firstLine="0" w:firstLineChars="0"/>
              <w:jc w:val="center"/>
              <w:textAlignment w:val="auto"/>
              <w:outlineLvl w:val="9"/>
              <w:rPr>
                <w:rFonts w:ascii="宋体" w:hAnsi="宋体" w:eastAsia="宋体" w:cs="宋体"/>
                <w:sz w:val="24"/>
                <w:szCs w:val="24"/>
                <w:highlight w:val="none"/>
              </w:rPr>
            </w:pPr>
            <w:r>
              <w:rPr>
                <w:rFonts w:hint="eastAsia" w:ascii="宋体" w:hAnsi="宋体" w:eastAsia="宋体" w:cs="宋体"/>
                <w:sz w:val="24"/>
                <w:szCs w:val="24"/>
                <w:highlight w:val="none"/>
              </w:rPr>
              <w:t>投标报价</w:t>
            </w:r>
          </w:p>
        </w:tc>
        <w:tc>
          <w:tcPr>
            <w:tcW w:w="3958" w:type="dxa"/>
            <w:tcBorders>
              <w:top w:val="single" w:color="auto" w:sz="4" w:space="0"/>
              <w:bottom w:val="single" w:color="auto" w:sz="4" w:space="0"/>
            </w:tcBorders>
            <w:vAlign w:val="center"/>
          </w:tcPr>
          <w:p w14:paraId="34D9A6A7">
            <w:pPr>
              <w:keepNext w:val="0"/>
              <w:keepLines w:val="0"/>
              <w:pageBreakBefore w:val="0"/>
              <w:kinsoku/>
              <w:wordWrap/>
              <w:overflowPunct/>
              <w:topLinePunct w:val="0"/>
              <w:autoSpaceDE/>
              <w:autoSpaceDN/>
              <w:bidi w:val="0"/>
              <w:adjustRightInd/>
              <w:snapToGrid w:val="0"/>
              <w:spacing w:line="400" w:lineRule="exact"/>
              <w:ind w:left="105" w:leftChars="50" w:right="0" w:rightChars="0" w:firstLine="0" w:firstLineChars="0"/>
              <w:textAlignment w:val="auto"/>
              <w:outlineLvl w:val="9"/>
              <w:rPr>
                <w:rFonts w:ascii="宋体" w:hAnsi="宋体" w:eastAsia="宋体" w:cs="宋体"/>
                <w:sz w:val="24"/>
                <w:szCs w:val="24"/>
                <w:highlight w:val="none"/>
              </w:rPr>
            </w:pPr>
            <w:r>
              <w:rPr>
                <w:rFonts w:hint="eastAsia" w:ascii="宋体" w:hAnsi="宋体" w:eastAsia="宋体" w:cs="宋体"/>
                <w:sz w:val="24"/>
                <w:szCs w:val="24"/>
                <w:highlight w:val="none"/>
              </w:rPr>
              <w:t>不超过招标文件规定的最高限价</w:t>
            </w:r>
          </w:p>
        </w:tc>
        <w:tc>
          <w:tcPr>
            <w:tcW w:w="1290" w:type="dxa"/>
            <w:vMerge w:val="continue"/>
            <w:vAlign w:val="center"/>
          </w:tcPr>
          <w:p w14:paraId="22755E6B">
            <w:pPr>
              <w:snapToGrid w:val="0"/>
              <w:spacing w:line="500" w:lineRule="exact"/>
              <w:jc w:val="center"/>
              <w:rPr>
                <w:rFonts w:ascii="宋体" w:hAnsi="宋体" w:eastAsia="宋体" w:cs="宋体"/>
                <w:sz w:val="24"/>
                <w:szCs w:val="24"/>
                <w:highlight w:val="none"/>
              </w:rPr>
            </w:pPr>
          </w:p>
        </w:tc>
      </w:tr>
      <w:tr w14:paraId="209600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810" w:hRule="atLeast"/>
        </w:trPr>
        <w:tc>
          <w:tcPr>
            <w:tcW w:w="930" w:type="dxa"/>
            <w:vMerge w:val="continue"/>
            <w:tcBorders>
              <w:left w:val="single" w:color="auto" w:sz="4" w:space="0"/>
              <w:right w:val="single" w:color="auto" w:sz="4" w:space="0"/>
            </w:tcBorders>
            <w:vAlign w:val="center"/>
          </w:tcPr>
          <w:p w14:paraId="523155AF">
            <w:pPr>
              <w:snapToGrid w:val="0"/>
              <w:spacing w:line="500" w:lineRule="exact"/>
              <w:ind w:left="239" w:leftChars="114"/>
              <w:jc w:val="center"/>
              <w:rPr>
                <w:rFonts w:ascii="宋体" w:hAnsi="宋体" w:eastAsia="宋体" w:cs="宋体"/>
                <w:sz w:val="24"/>
                <w:szCs w:val="24"/>
                <w:highlight w:val="none"/>
              </w:rPr>
            </w:pPr>
          </w:p>
        </w:tc>
        <w:tc>
          <w:tcPr>
            <w:tcW w:w="3181" w:type="dxa"/>
            <w:tcBorders>
              <w:left w:val="single" w:color="auto" w:sz="4" w:space="0"/>
            </w:tcBorders>
            <w:vAlign w:val="center"/>
          </w:tcPr>
          <w:p w14:paraId="449100E5">
            <w:pPr>
              <w:keepNext w:val="0"/>
              <w:keepLines w:val="0"/>
              <w:pageBreakBefore w:val="0"/>
              <w:kinsoku/>
              <w:wordWrap/>
              <w:overflowPunct/>
              <w:topLinePunct w:val="0"/>
              <w:autoSpaceDE/>
              <w:autoSpaceDN/>
              <w:bidi w:val="0"/>
              <w:adjustRightInd/>
              <w:snapToGrid w:val="0"/>
              <w:spacing w:line="400" w:lineRule="exact"/>
              <w:ind w:left="105" w:leftChars="50" w:right="0" w:rightChars="0" w:firstLine="0" w:firstLineChars="0"/>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合同履行期限</w:t>
            </w:r>
          </w:p>
        </w:tc>
        <w:tc>
          <w:tcPr>
            <w:tcW w:w="3958" w:type="dxa"/>
            <w:tcBorders>
              <w:top w:val="single" w:color="auto" w:sz="4" w:space="0"/>
            </w:tcBorders>
            <w:vAlign w:val="center"/>
          </w:tcPr>
          <w:p w14:paraId="5198C2AA">
            <w:pPr>
              <w:keepNext w:val="0"/>
              <w:keepLines w:val="0"/>
              <w:pageBreakBefore w:val="0"/>
              <w:kinsoku/>
              <w:wordWrap/>
              <w:overflowPunct/>
              <w:topLinePunct w:val="0"/>
              <w:autoSpaceDE/>
              <w:autoSpaceDN/>
              <w:bidi w:val="0"/>
              <w:adjustRightInd/>
              <w:snapToGrid w:val="0"/>
              <w:spacing w:line="400" w:lineRule="exact"/>
              <w:ind w:left="105" w:leftChars="50" w:right="0" w:rightChars="0" w:firstLine="0" w:firstLineChars="0"/>
              <w:textAlignment w:val="auto"/>
              <w:outlineLvl w:val="9"/>
              <w:rPr>
                <w:rFonts w:ascii="宋体" w:hAnsi="宋体" w:eastAsia="宋体" w:cs="宋体"/>
                <w:sz w:val="24"/>
                <w:szCs w:val="24"/>
                <w:highlight w:val="none"/>
              </w:rPr>
            </w:pPr>
            <w:r>
              <w:rPr>
                <w:rFonts w:hint="eastAsia" w:ascii="宋体" w:hAnsi="宋体" w:eastAsia="宋体" w:cs="宋体"/>
                <w:sz w:val="24"/>
                <w:szCs w:val="24"/>
                <w:highlight w:val="none"/>
              </w:rPr>
              <w:t>符合招标文件规定</w:t>
            </w:r>
          </w:p>
        </w:tc>
        <w:tc>
          <w:tcPr>
            <w:tcW w:w="1290" w:type="dxa"/>
            <w:vMerge w:val="continue"/>
            <w:vAlign w:val="center"/>
          </w:tcPr>
          <w:p w14:paraId="67696667">
            <w:pPr>
              <w:snapToGrid w:val="0"/>
              <w:spacing w:line="500" w:lineRule="exact"/>
              <w:jc w:val="center"/>
              <w:rPr>
                <w:rFonts w:ascii="宋体" w:hAnsi="宋体" w:eastAsia="宋体" w:cs="宋体"/>
                <w:sz w:val="24"/>
                <w:szCs w:val="24"/>
                <w:highlight w:val="none"/>
              </w:rPr>
            </w:pPr>
          </w:p>
        </w:tc>
      </w:tr>
      <w:tr w14:paraId="11C871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809" w:hRule="atLeast"/>
        </w:trPr>
        <w:tc>
          <w:tcPr>
            <w:tcW w:w="930" w:type="dxa"/>
            <w:vMerge w:val="continue"/>
            <w:tcBorders>
              <w:left w:val="single" w:color="auto" w:sz="4" w:space="0"/>
              <w:right w:val="single" w:color="auto" w:sz="4" w:space="0"/>
            </w:tcBorders>
            <w:vAlign w:val="center"/>
          </w:tcPr>
          <w:p w14:paraId="5133E851">
            <w:pPr>
              <w:snapToGrid w:val="0"/>
              <w:spacing w:line="500" w:lineRule="exact"/>
              <w:ind w:left="239" w:leftChars="114"/>
              <w:jc w:val="center"/>
              <w:rPr>
                <w:rFonts w:ascii="宋体" w:hAnsi="宋体" w:eastAsia="宋体" w:cs="宋体"/>
                <w:sz w:val="24"/>
                <w:szCs w:val="24"/>
                <w:highlight w:val="none"/>
              </w:rPr>
            </w:pPr>
          </w:p>
        </w:tc>
        <w:tc>
          <w:tcPr>
            <w:tcW w:w="3181" w:type="dxa"/>
            <w:tcBorders>
              <w:left w:val="single" w:color="auto" w:sz="4" w:space="0"/>
            </w:tcBorders>
            <w:vAlign w:val="center"/>
          </w:tcPr>
          <w:p w14:paraId="45F83463">
            <w:pPr>
              <w:keepNext w:val="0"/>
              <w:keepLines w:val="0"/>
              <w:pageBreakBefore w:val="0"/>
              <w:kinsoku/>
              <w:wordWrap/>
              <w:overflowPunct/>
              <w:topLinePunct w:val="0"/>
              <w:autoSpaceDE/>
              <w:autoSpaceDN/>
              <w:bidi w:val="0"/>
              <w:adjustRightInd/>
              <w:snapToGrid w:val="0"/>
              <w:spacing w:line="400" w:lineRule="exact"/>
              <w:ind w:left="105" w:leftChars="50" w:right="0" w:rightChars="0" w:firstLine="0" w:firstLineChars="0"/>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服务标准</w:t>
            </w:r>
          </w:p>
        </w:tc>
        <w:tc>
          <w:tcPr>
            <w:tcW w:w="3958" w:type="dxa"/>
            <w:tcBorders>
              <w:bottom w:val="single" w:color="auto" w:sz="4" w:space="0"/>
            </w:tcBorders>
            <w:vAlign w:val="center"/>
          </w:tcPr>
          <w:p w14:paraId="2857265B">
            <w:pPr>
              <w:keepNext w:val="0"/>
              <w:keepLines w:val="0"/>
              <w:pageBreakBefore w:val="0"/>
              <w:kinsoku/>
              <w:wordWrap/>
              <w:overflowPunct/>
              <w:topLinePunct w:val="0"/>
              <w:autoSpaceDE/>
              <w:autoSpaceDN/>
              <w:bidi w:val="0"/>
              <w:adjustRightInd/>
              <w:snapToGrid w:val="0"/>
              <w:spacing w:line="400" w:lineRule="exact"/>
              <w:ind w:left="105" w:leftChars="50" w:right="0" w:rightChars="0" w:firstLine="0" w:firstLineChars="0"/>
              <w:textAlignment w:val="auto"/>
              <w:outlineLvl w:val="9"/>
              <w:rPr>
                <w:rFonts w:hint="eastAsia" w:ascii="宋体" w:hAnsi="宋体" w:eastAsia="宋体" w:cs="宋体"/>
                <w:sz w:val="24"/>
                <w:szCs w:val="24"/>
                <w:highlight w:val="none"/>
              </w:rPr>
            </w:pPr>
            <w:r>
              <w:rPr>
                <w:rFonts w:hint="eastAsia" w:ascii="宋体" w:hAnsi="宋体" w:eastAsia="宋体" w:cs="宋体"/>
                <w:b w:val="0"/>
                <w:bCs w:val="0"/>
                <w:snapToGrid/>
                <w:color w:val="auto"/>
                <w:kern w:val="2"/>
                <w:sz w:val="24"/>
                <w:szCs w:val="24"/>
                <w:highlight w:val="none"/>
                <w:lang w:val="en-US" w:eastAsia="zh-CN" w:bidi="ar-SA"/>
              </w:rPr>
              <w:t>符合招标文件规定</w:t>
            </w:r>
          </w:p>
        </w:tc>
        <w:tc>
          <w:tcPr>
            <w:tcW w:w="1290" w:type="dxa"/>
            <w:vMerge w:val="continue"/>
            <w:vAlign w:val="center"/>
          </w:tcPr>
          <w:p w14:paraId="7B085311">
            <w:pPr>
              <w:snapToGrid w:val="0"/>
              <w:spacing w:line="500" w:lineRule="exact"/>
              <w:jc w:val="center"/>
              <w:rPr>
                <w:rFonts w:ascii="宋体" w:hAnsi="宋体" w:eastAsia="宋体" w:cs="宋体"/>
                <w:sz w:val="24"/>
                <w:szCs w:val="24"/>
                <w:highlight w:val="none"/>
              </w:rPr>
            </w:pPr>
          </w:p>
        </w:tc>
      </w:tr>
      <w:tr w14:paraId="7FFE78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850" w:hRule="atLeast"/>
        </w:trPr>
        <w:tc>
          <w:tcPr>
            <w:tcW w:w="930" w:type="dxa"/>
            <w:vMerge w:val="continue"/>
            <w:tcBorders>
              <w:left w:val="single" w:color="auto" w:sz="4" w:space="0"/>
              <w:right w:val="single" w:color="auto" w:sz="4" w:space="0"/>
            </w:tcBorders>
            <w:vAlign w:val="center"/>
          </w:tcPr>
          <w:p w14:paraId="54F9EE91">
            <w:pPr>
              <w:snapToGrid w:val="0"/>
              <w:spacing w:line="500" w:lineRule="exact"/>
              <w:ind w:left="239" w:leftChars="114"/>
              <w:jc w:val="center"/>
              <w:rPr>
                <w:rFonts w:ascii="宋体" w:hAnsi="宋体" w:eastAsia="宋体" w:cs="宋体"/>
                <w:sz w:val="24"/>
                <w:szCs w:val="24"/>
                <w:highlight w:val="none"/>
              </w:rPr>
            </w:pPr>
          </w:p>
        </w:tc>
        <w:tc>
          <w:tcPr>
            <w:tcW w:w="3181" w:type="dxa"/>
            <w:tcBorders>
              <w:left w:val="single" w:color="auto" w:sz="4" w:space="0"/>
            </w:tcBorders>
            <w:vAlign w:val="center"/>
          </w:tcPr>
          <w:p w14:paraId="11388DD7">
            <w:pPr>
              <w:keepNext w:val="0"/>
              <w:keepLines w:val="0"/>
              <w:pageBreakBefore w:val="0"/>
              <w:kinsoku/>
              <w:wordWrap/>
              <w:overflowPunct/>
              <w:topLinePunct w:val="0"/>
              <w:autoSpaceDE/>
              <w:autoSpaceDN/>
              <w:bidi w:val="0"/>
              <w:adjustRightInd/>
              <w:snapToGrid w:val="0"/>
              <w:spacing w:line="400" w:lineRule="exact"/>
              <w:ind w:left="105" w:leftChars="50" w:right="0" w:rightChars="0" w:firstLine="0" w:firstLineChars="0"/>
              <w:jc w:val="center"/>
              <w:textAlignment w:val="auto"/>
              <w:outlineLvl w:val="9"/>
              <w:rPr>
                <w:rFonts w:ascii="宋体" w:hAnsi="宋体" w:eastAsia="宋体" w:cs="宋体"/>
                <w:sz w:val="24"/>
                <w:szCs w:val="24"/>
                <w:highlight w:val="none"/>
              </w:rPr>
            </w:pPr>
            <w:r>
              <w:rPr>
                <w:rFonts w:hint="eastAsia" w:ascii="宋体" w:hAnsi="宋体" w:eastAsia="宋体" w:cs="宋体"/>
                <w:sz w:val="24"/>
                <w:szCs w:val="24"/>
                <w:highlight w:val="none"/>
              </w:rPr>
              <w:t>投标承诺函</w:t>
            </w:r>
          </w:p>
        </w:tc>
        <w:tc>
          <w:tcPr>
            <w:tcW w:w="3958" w:type="dxa"/>
            <w:tcBorders>
              <w:bottom w:val="single" w:color="auto" w:sz="4" w:space="0"/>
            </w:tcBorders>
            <w:vAlign w:val="center"/>
          </w:tcPr>
          <w:p w14:paraId="0DE483F9">
            <w:pPr>
              <w:keepNext w:val="0"/>
              <w:keepLines w:val="0"/>
              <w:pageBreakBefore w:val="0"/>
              <w:kinsoku/>
              <w:wordWrap/>
              <w:overflowPunct/>
              <w:topLinePunct w:val="0"/>
              <w:autoSpaceDE/>
              <w:autoSpaceDN/>
              <w:bidi w:val="0"/>
              <w:adjustRightInd/>
              <w:snapToGrid w:val="0"/>
              <w:spacing w:line="400" w:lineRule="exact"/>
              <w:ind w:left="105" w:leftChars="50" w:right="0" w:rightChars="0" w:firstLine="0" w:firstLineChars="0"/>
              <w:textAlignment w:val="auto"/>
              <w:outlineLvl w:val="9"/>
              <w:rPr>
                <w:rFonts w:ascii="宋体" w:hAnsi="宋体" w:eastAsia="宋体" w:cs="宋体"/>
                <w:sz w:val="24"/>
                <w:szCs w:val="24"/>
                <w:highlight w:val="none"/>
              </w:rPr>
            </w:pPr>
            <w:r>
              <w:rPr>
                <w:rFonts w:hint="eastAsia" w:ascii="宋体" w:hAnsi="宋体" w:eastAsia="宋体" w:cs="宋体"/>
                <w:sz w:val="24"/>
                <w:szCs w:val="24"/>
                <w:highlight w:val="none"/>
              </w:rPr>
              <w:t>符合招标文件规定</w:t>
            </w:r>
          </w:p>
        </w:tc>
        <w:tc>
          <w:tcPr>
            <w:tcW w:w="1290" w:type="dxa"/>
            <w:vMerge w:val="continue"/>
            <w:vAlign w:val="center"/>
          </w:tcPr>
          <w:p w14:paraId="76430921">
            <w:pPr>
              <w:snapToGrid w:val="0"/>
              <w:spacing w:line="500" w:lineRule="exact"/>
              <w:jc w:val="center"/>
              <w:rPr>
                <w:rFonts w:ascii="宋体" w:hAnsi="宋体" w:eastAsia="宋体" w:cs="宋体"/>
                <w:sz w:val="24"/>
                <w:szCs w:val="24"/>
                <w:highlight w:val="none"/>
              </w:rPr>
            </w:pPr>
          </w:p>
        </w:tc>
      </w:tr>
      <w:tr w14:paraId="53E639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992" w:hRule="atLeast"/>
        </w:trPr>
        <w:tc>
          <w:tcPr>
            <w:tcW w:w="930" w:type="dxa"/>
            <w:vMerge w:val="continue"/>
            <w:tcBorders>
              <w:left w:val="single" w:color="auto" w:sz="4" w:space="0"/>
              <w:right w:val="single" w:color="auto" w:sz="4" w:space="0"/>
            </w:tcBorders>
            <w:vAlign w:val="center"/>
          </w:tcPr>
          <w:p w14:paraId="79FB15CC">
            <w:pPr>
              <w:snapToGrid w:val="0"/>
              <w:spacing w:line="500" w:lineRule="exact"/>
              <w:ind w:left="239" w:leftChars="114"/>
              <w:jc w:val="center"/>
              <w:rPr>
                <w:rFonts w:ascii="宋体" w:hAnsi="宋体" w:eastAsia="宋体" w:cs="宋体"/>
                <w:sz w:val="24"/>
                <w:szCs w:val="24"/>
                <w:highlight w:val="none"/>
              </w:rPr>
            </w:pPr>
          </w:p>
        </w:tc>
        <w:tc>
          <w:tcPr>
            <w:tcW w:w="3181" w:type="dxa"/>
            <w:tcBorders>
              <w:left w:val="single" w:color="auto" w:sz="4" w:space="0"/>
            </w:tcBorders>
            <w:vAlign w:val="center"/>
          </w:tcPr>
          <w:p w14:paraId="11E1E84F">
            <w:pPr>
              <w:keepNext w:val="0"/>
              <w:keepLines w:val="0"/>
              <w:pageBreakBefore w:val="0"/>
              <w:widowControl w:val="0"/>
              <w:kinsoku/>
              <w:wordWrap/>
              <w:overflowPunct/>
              <w:topLinePunct w:val="0"/>
              <w:autoSpaceDE/>
              <w:autoSpaceDN/>
              <w:bidi w:val="0"/>
              <w:adjustRightInd/>
              <w:snapToGrid w:val="0"/>
              <w:spacing w:line="400" w:lineRule="exact"/>
              <w:ind w:left="105" w:leftChars="50" w:right="0" w:rightChars="0" w:firstLine="0" w:firstLineChars="0"/>
              <w:jc w:val="center"/>
              <w:textAlignment w:val="auto"/>
              <w:outlineLvl w:val="9"/>
              <w:rPr>
                <w:rFonts w:ascii="宋体" w:hAnsi="宋体" w:eastAsia="宋体" w:cs="宋体"/>
                <w:spacing w:val="-4"/>
                <w:sz w:val="24"/>
                <w:szCs w:val="24"/>
                <w:highlight w:val="none"/>
              </w:rPr>
            </w:pPr>
            <w:r>
              <w:rPr>
                <w:rFonts w:hint="eastAsia" w:ascii="宋体" w:hAnsi="宋体" w:eastAsia="宋体" w:cs="宋体"/>
                <w:spacing w:val="-4"/>
                <w:sz w:val="24"/>
                <w:szCs w:val="24"/>
                <w:highlight w:val="none"/>
              </w:rPr>
              <w:t>政府采购供应商质量保证承诺函</w:t>
            </w:r>
          </w:p>
        </w:tc>
        <w:tc>
          <w:tcPr>
            <w:tcW w:w="3958" w:type="dxa"/>
            <w:tcBorders>
              <w:top w:val="single" w:color="auto" w:sz="4" w:space="0"/>
              <w:bottom w:val="single" w:color="auto" w:sz="4" w:space="0"/>
            </w:tcBorders>
            <w:vAlign w:val="center"/>
          </w:tcPr>
          <w:p w14:paraId="5B53B3A7">
            <w:pPr>
              <w:keepNext w:val="0"/>
              <w:keepLines w:val="0"/>
              <w:pageBreakBefore w:val="0"/>
              <w:kinsoku/>
              <w:wordWrap/>
              <w:overflowPunct/>
              <w:topLinePunct w:val="0"/>
              <w:autoSpaceDE/>
              <w:autoSpaceDN/>
              <w:bidi w:val="0"/>
              <w:adjustRightInd/>
              <w:snapToGrid w:val="0"/>
              <w:spacing w:line="400" w:lineRule="exact"/>
              <w:ind w:left="105" w:leftChars="50" w:right="0" w:rightChars="0" w:firstLine="0" w:firstLineChars="0"/>
              <w:textAlignment w:val="auto"/>
              <w:outlineLvl w:val="9"/>
              <w:rPr>
                <w:rFonts w:ascii="宋体" w:hAnsi="宋体" w:eastAsia="宋体" w:cs="宋体"/>
                <w:sz w:val="24"/>
                <w:szCs w:val="24"/>
                <w:highlight w:val="none"/>
              </w:rPr>
            </w:pPr>
            <w:r>
              <w:rPr>
                <w:rFonts w:hint="eastAsia" w:ascii="宋体" w:hAnsi="宋体" w:eastAsia="宋体" w:cs="宋体"/>
                <w:sz w:val="24"/>
                <w:szCs w:val="24"/>
                <w:highlight w:val="none"/>
              </w:rPr>
              <w:t>符合招标文件规定</w:t>
            </w:r>
          </w:p>
        </w:tc>
        <w:tc>
          <w:tcPr>
            <w:tcW w:w="1290" w:type="dxa"/>
            <w:vMerge w:val="continue"/>
            <w:vAlign w:val="center"/>
          </w:tcPr>
          <w:p w14:paraId="3F1AB90B">
            <w:pPr>
              <w:snapToGrid w:val="0"/>
              <w:spacing w:line="500" w:lineRule="exact"/>
              <w:jc w:val="center"/>
              <w:rPr>
                <w:rFonts w:ascii="宋体" w:hAnsi="宋体" w:eastAsia="宋体" w:cs="宋体"/>
                <w:sz w:val="24"/>
                <w:szCs w:val="24"/>
                <w:highlight w:val="none"/>
              </w:rPr>
            </w:pPr>
          </w:p>
        </w:tc>
      </w:tr>
      <w:tr w14:paraId="5802A4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780" w:hRule="atLeast"/>
        </w:trPr>
        <w:tc>
          <w:tcPr>
            <w:tcW w:w="930" w:type="dxa"/>
            <w:vMerge w:val="continue"/>
            <w:tcBorders>
              <w:left w:val="single" w:color="auto" w:sz="4" w:space="0"/>
              <w:right w:val="single" w:color="auto" w:sz="4" w:space="0"/>
            </w:tcBorders>
            <w:vAlign w:val="center"/>
          </w:tcPr>
          <w:p w14:paraId="1382BAFE">
            <w:pPr>
              <w:snapToGrid w:val="0"/>
              <w:spacing w:line="500" w:lineRule="exact"/>
              <w:ind w:left="239" w:leftChars="114"/>
              <w:jc w:val="center"/>
              <w:rPr>
                <w:rFonts w:ascii="宋体" w:hAnsi="宋体" w:eastAsia="宋体" w:cs="宋体"/>
                <w:sz w:val="24"/>
                <w:szCs w:val="24"/>
                <w:highlight w:val="none"/>
              </w:rPr>
            </w:pPr>
          </w:p>
        </w:tc>
        <w:tc>
          <w:tcPr>
            <w:tcW w:w="3181" w:type="dxa"/>
            <w:tcBorders>
              <w:left w:val="single" w:color="auto" w:sz="4" w:space="0"/>
            </w:tcBorders>
            <w:vAlign w:val="center"/>
          </w:tcPr>
          <w:p w14:paraId="29482A71">
            <w:pPr>
              <w:keepNext w:val="0"/>
              <w:keepLines w:val="0"/>
              <w:pageBreakBefore w:val="0"/>
              <w:kinsoku/>
              <w:wordWrap/>
              <w:overflowPunct/>
              <w:topLinePunct w:val="0"/>
              <w:autoSpaceDE/>
              <w:autoSpaceDN/>
              <w:bidi w:val="0"/>
              <w:adjustRightInd/>
              <w:snapToGrid w:val="0"/>
              <w:spacing w:line="400" w:lineRule="exact"/>
              <w:ind w:left="105" w:leftChars="50" w:right="0" w:rightChars="0" w:firstLine="0" w:firstLineChars="0"/>
              <w:jc w:val="center"/>
              <w:textAlignment w:val="auto"/>
              <w:outlineLvl w:val="9"/>
              <w:rPr>
                <w:rFonts w:ascii="宋体" w:hAnsi="宋体" w:eastAsia="宋体" w:cs="宋体"/>
                <w:sz w:val="24"/>
                <w:szCs w:val="24"/>
                <w:highlight w:val="none"/>
              </w:rPr>
            </w:pPr>
            <w:r>
              <w:rPr>
                <w:rFonts w:hint="eastAsia" w:ascii="宋体" w:hAnsi="宋体" w:eastAsia="宋体" w:cs="宋体"/>
                <w:sz w:val="24"/>
                <w:szCs w:val="24"/>
                <w:highlight w:val="none"/>
              </w:rPr>
              <w:t>投标有效期</w:t>
            </w:r>
          </w:p>
        </w:tc>
        <w:tc>
          <w:tcPr>
            <w:tcW w:w="3958" w:type="dxa"/>
            <w:tcBorders>
              <w:top w:val="single" w:color="auto" w:sz="4" w:space="0"/>
              <w:bottom w:val="single" w:color="auto" w:sz="4" w:space="0"/>
            </w:tcBorders>
            <w:vAlign w:val="center"/>
          </w:tcPr>
          <w:p w14:paraId="18AFE942">
            <w:pPr>
              <w:keepNext w:val="0"/>
              <w:keepLines w:val="0"/>
              <w:pageBreakBefore w:val="0"/>
              <w:kinsoku/>
              <w:wordWrap/>
              <w:overflowPunct/>
              <w:topLinePunct w:val="0"/>
              <w:autoSpaceDE/>
              <w:autoSpaceDN/>
              <w:bidi w:val="0"/>
              <w:adjustRightInd/>
              <w:snapToGrid w:val="0"/>
              <w:spacing w:line="400" w:lineRule="exact"/>
              <w:ind w:left="105" w:leftChars="50" w:right="0" w:rightChars="0" w:firstLine="0" w:firstLineChars="0"/>
              <w:textAlignment w:val="auto"/>
              <w:outlineLvl w:val="9"/>
              <w:rPr>
                <w:rFonts w:ascii="宋体" w:hAnsi="宋体" w:eastAsia="宋体" w:cs="宋体"/>
                <w:sz w:val="24"/>
                <w:szCs w:val="24"/>
                <w:highlight w:val="none"/>
              </w:rPr>
            </w:pPr>
            <w:r>
              <w:rPr>
                <w:rFonts w:hint="eastAsia" w:ascii="宋体" w:hAnsi="宋体" w:eastAsia="宋体" w:cs="宋体"/>
                <w:sz w:val="24"/>
                <w:szCs w:val="24"/>
                <w:highlight w:val="none"/>
              </w:rPr>
              <w:t>符合招标文件规定</w:t>
            </w:r>
          </w:p>
        </w:tc>
        <w:tc>
          <w:tcPr>
            <w:tcW w:w="1290" w:type="dxa"/>
            <w:vMerge w:val="continue"/>
            <w:vAlign w:val="center"/>
          </w:tcPr>
          <w:p w14:paraId="7EE05B82">
            <w:pPr>
              <w:snapToGrid w:val="0"/>
              <w:spacing w:line="500" w:lineRule="exact"/>
              <w:jc w:val="center"/>
              <w:rPr>
                <w:rFonts w:ascii="宋体" w:hAnsi="宋体" w:eastAsia="宋体" w:cs="宋体"/>
                <w:sz w:val="24"/>
                <w:szCs w:val="24"/>
                <w:highlight w:val="none"/>
              </w:rPr>
            </w:pPr>
          </w:p>
        </w:tc>
      </w:tr>
      <w:tr w14:paraId="26821A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610" w:hRule="atLeast"/>
        </w:trPr>
        <w:tc>
          <w:tcPr>
            <w:tcW w:w="930" w:type="dxa"/>
            <w:vMerge w:val="continue"/>
            <w:tcBorders>
              <w:left w:val="single" w:color="auto" w:sz="4" w:space="0"/>
              <w:right w:val="single" w:color="auto" w:sz="4" w:space="0"/>
            </w:tcBorders>
            <w:vAlign w:val="center"/>
          </w:tcPr>
          <w:p w14:paraId="4C4B58A9">
            <w:pPr>
              <w:snapToGrid w:val="0"/>
              <w:spacing w:line="500" w:lineRule="exact"/>
              <w:ind w:left="239" w:leftChars="114"/>
              <w:jc w:val="center"/>
              <w:rPr>
                <w:rFonts w:ascii="宋体" w:hAnsi="宋体" w:eastAsia="宋体" w:cs="宋体"/>
                <w:sz w:val="24"/>
                <w:szCs w:val="24"/>
                <w:highlight w:val="none"/>
              </w:rPr>
            </w:pPr>
          </w:p>
        </w:tc>
        <w:tc>
          <w:tcPr>
            <w:tcW w:w="3181" w:type="dxa"/>
            <w:tcBorders>
              <w:left w:val="single" w:color="auto" w:sz="4" w:space="0"/>
            </w:tcBorders>
            <w:vAlign w:val="center"/>
          </w:tcPr>
          <w:p w14:paraId="345BFDFD">
            <w:pPr>
              <w:keepNext w:val="0"/>
              <w:keepLines w:val="0"/>
              <w:pageBreakBefore w:val="0"/>
              <w:kinsoku/>
              <w:wordWrap/>
              <w:overflowPunct/>
              <w:topLinePunct w:val="0"/>
              <w:autoSpaceDE/>
              <w:autoSpaceDN/>
              <w:bidi w:val="0"/>
              <w:adjustRightInd/>
              <w:snapToGrid w:val="0"/>
              <w:spacing w:line="400" w:lineRule="exact"/>
              <w:ind w:left="105" w:leftChars="50" w:right="0" w:rightChars="0" w:firstLine="0" w:firstLineChars="0"/>
              <w:jc w:val="center"/>
              <w:textAlignment w:val="auto"/>
              <w:outlineLvl w:val="9"/>
              <w:rPr>
                <w:rFonts w:ascii="宋体" w:hAnsi="宋体" w:eastAsia="宋体" w:cs="宋体"/>
                <w:sz w:val="24"/>
                <w:szCs w:val="24"/>
                <w:highlight w:val="none"/>
              </w:rPr>
            </w:pPr>
            <w:r>
              <w:rPr>
                <w:rFonts w:hint="eastAsia" w:ascii="宋体" w:hAnsi="宋体" w:eastAsia="宋体" w:cs="宋体"/>
                <w:sz w:val="24"/>
                <w:szCs w:val="24"/>
                <w:highlight w:val="none"/>
              </w:rPr>
              <w:t>其他</w:t>
            </w:r>
          </w:p>
        </w:tc>
        <w:tc>
          <w:tcPr>
            <w:tcW w:w="3958" w:type="dxa"/>
            <w:tcBorders>
              <w:top w:val="single" w:color="auto" w:sz="4" w:space="0"/>
            </w:tcBorders>
            <w:vAlign w:val="center"/>
          </w:tcPr>
          <w:p w14:paraId="3ED0D1A3">
            <w:pPr>
              <w:keepNext w:val="0"/>
              <w:keepLines w:val="0"/>
              <w:pageBreakBefore w:val="0"/>
              <w:widowControl w:val="0"/>
              <w:kinsoku/>
              <w:wordWrap/>
              <w:overflowPunct/>
              <w:topLinePunct w:val="0"/>
              <w:autoSpaceDE/>
              <w:autoSpaceDN/>
              <w:bidi w:val="0"/>
              <w:adjustRightInd/>
              <w:snapToGrid w:val="0"/>
              <w:spacing w:line="400" w:lineRule="exact"/>
              <w:ind w:left="105" w:leftChars="50" w:right="0" w:rightChars="0" w:firstLine="0" w:firstLineChars="0"/>
              <w:jc w:val="both"/>
              <w:textAlignment w:val="auto"/>
              <w:outlineLvl w:val="9"/>
              <w:rPr>
                <w:rFonts w:ascii="宋体" w:hAnsi="宋体" w:eastAsia="宋体" w:cs="宋体"/>
                <w:sz w:val="24"/>
                <w:szCs w:val="24"/>
                <w:highlight w:val="none"/>
              </w:rPr>
            </w:pPr>
            <w:r>
              <w:rPr>
                <w:rFonts w:hint="eastAsia" w:ascii="宋体" w:hAnsi="宋体" w:eastAsia="宋体" w:cs="宋体"/>
                <w:sz w:val="24"/>
                <w:szCs w:val="24"/>
                <w:highlight w:val="none"/>
              </w:rPr>
              <w:t>不存在招标文件规定的其他无效投标情形</w:t>
            </w:r>
          </w:p>
        </w:tc>
        <w:tc>
          <w:tcPr>
            <w:tcW w:w="1290" w:type="dxa"/>
            <w:vMerge w:val="continue"/>
            <w:tcBorders>
              <w:bottom w:val="single" w:color="auto" w:sz="4" w:space="0"/>
            </w:tcBorders>
            <w:vAlign w:val="center"/>
          </w:tcPr>
          <w:p w14:paraId="027AC7DF">
            <w:pPr>
              <w:snapToGrid w:val="0"/>
              <w:spacing w:line="500" w:lineRule="exact"/>
              <w:jc w:val="center"/>
              <w:rPr>
                <w:rFonts w:ascii="宋体" w:hAnsi="宋体" w:eastAsia="宋体" w:cs="宋体"/>
                <w:sz w:val="24"/>
                <w:szCs w:val="24"/>
                <w:highlight w:val="none"/>
              </w:rPr>
            </w:pPr>
          </w:p>
        </w:tc>
      </w:tr>
      <w:tr w14:paraId="1BCFE4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717" w:hRule="atLeast"/>
        </w:trPr>
        <w:tc>
          <w:tcPr>
            <w:tcW w:w="9359" w:type="dxa"/>
            <w:gridSpan w:val="4"/>
            <w:tcBorders>
              <w:left w:val="single" w:color="auto" w:sz="4" w:space="0"/>
            </w:tcBorders>
            <w:vAlign w:val="center"/>
          </w:tcPr>
          <w:p w14:paraId="7EEDF2A6">
            <w:pPr>
              <w:snapToGrid w:val="0"/>
              <w:spacing w:line="500" w:lineRule="exact"/>
              <w:jc w:val="left"/>
              <w:rPr>
                <w:rFonts w:ascii="宋体" w:hAnsi="宋体" w:eastAsia="宋体" w:cs="宋体"/>
                <w:sz w:val="24"/>
                <w:szCs w:val="24"/>
                <w:highlight w:val="none"/>
              </w:rPr>
            </w:pPr>
            <w:r>
              <w:rPr>
                <w:rFonts w:hint="eastAsia" w:ascii="宋体" w:hAnsi="宋体" w:eastAsia="宋体" w:cs="宋体"/>
                <w:i w:val="0"/>
                <w:iCs w:val="0"/>
                <w:snapToGrid w:val="0"/>
                <w:color w:val="000000"/>
                <w:kern w:val="0"/>
                <w:sz w:val="24"/>
                <w:szCs w:val="24"/>
                <w:u w:val="none"/>
                <w:lang w:val="en-US" w:eastAsia="zh-CN" w:bidi="ar"/>
              </w:rPr>
              <w:t>审查结果：</w:t>
            </w:r>
          </w:p>
        </w:tc>
      </w:tr>
      <w:tr w14:paraId="352EE2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660" w:hRule="atLeast"/>
        </w:trPr>
        <w:tc>
          <w:tcPr>
            <w:tcW w:w="9359" w:type="dxa"/>
            <w:gridSpan w:val="4"/>
            <w:vAlign w:val="center"/>
          </w:tcPr>
          <w:p w14:paraId="09E536C9">
            <w:pPr>
              <w:snapToGrid w:val="0"/>
              <w:spacing w:line="500" w:lineRule="exact"/>
              <w:rPr>
                <w:rFonts w:ascii="宋体" w:hAnsi="宋体" w:eastAsia="宋体" w:cs="宋体"/>
                <w:sz w:val="24"/>
                <w:szCs w:val="24"/>
                <w:highlight w:val="none"/>
              </w:rPr>
            </w:pPr>
            <w:r>
              <w:rPr>
                <w:rFonts w:hint="eastAsia" w:ascii="宋体" w:hAnsi="宋体" w:eastAsia="宋体" w:cs="宋体"/>
                <w:b/>
                <w:bCs/>
                <w:sz w:val="24"/>
                <w:szCs w:val="24"/>
                <w:highlight w:val="none"/>
              </w:rPr>
              <w:t>注：以上各项符合性评审因素有任意一项不符合要求的，将作无效投标处理。</w:t>
            </w:r>
          </w:p>
        </w:tc>
      </w:tr>
    </w:tbl>
    <w:p w14:paraId="18A30DAD">
      <w:pPr>
        <w:bidi w:val="0"/>
        <w:rPr>
          <w:rFonts w:hint="eastAsia"/>
        </w:rPr>
      </w:pPr>
      <w:r>
        <w:rPr>
          <w:rFonts w:hint="eastAsia"/>
        </w:rPr>
        <w:br w:type="page"/>
      </w:r>
    </w:p>
    <w:p w14:paraId="7AF9ECB3">
      <w:pPr>
        <w:adjustRightInd w:val="0"/>
        <w:snapToGrid w:val="0"/>
        <w:spacing w:line="500" w:lineRule="exact"/>
        <w:jc w:val="center"/>
        <w:outlineLvl w:val="1"/>
        <w:rPr>
          <w:rFonts w:asciiTheme="minorEastAsia" w:hAnsiTheme="minorEastAsia"/>
          <w:b/>
          <w:bCs/>
          <w:sz w:val="28"/>
          <w:szCs w:val="28"/>
          <w:highlight w:val="none"/>
        </w:rPr>
      </w:pPr>
      <w:bookmarkStart w:id="33" w:name="_Toc27479"/>
      <w:r>
        <w:rPr>
          <w:rFonts w:hint="eastAsia" w:asciiTheme="minorEastAsia" w:hAnsiTheme="minorEastAsia"/>
          <w:b/>
          <w:bCs/>
          <w:sz w:val="28"/>
          <w:szCs w:val="28"/>
          <w:highlight w:val="none"/>
          <w:lang w:val="en-US" w:eastAsia="zh-CN"/>
        </w:rPr>
        <w:t>三</w:t>
      </w:r>
      <w:r>
        <w:rPr>
          <w:rFonts w:hint="eastAsia" w:asciiTheme="minorEastAsia" w:hAnsiTheme="minorEastAsia"/>
          <w:b/>
          <w:bCs/>
          <w:sz w:val="28"/>
          <w:szCs w:val="28"/>
          <w:highlight w:val="none"/>
        </w:rPr>
        <w:t>、详细评审</w:t>
      </w:r>
      <w:r>
        <w:rPr>
          <w:rFonts w:hint="eastAsia" w:asciiTheme="minorEastAsia" w:hAnsiTheme="minorEastAsia"/>
          <w:b/>
          <w:bCs/>
          <w:sz w:val="28"/>
          <w:szCs w:val="28"/>
          <w:highlight w:val="none"/>
          <w:lang w:val="en-US" w:eastAsia="zh-CN"/>
        </w:rPr>
        <w:t>表</w:t>
      </w:r>
      <w:r>
        <w:rPr>
          <w:rFonts w:hint="eastAsia" w:asciiTheme="minorEastAsia" w:hAnsiTheme="minorEastAsia"/>
          <w:b/>
          <w:bCs/>
          <w:sz w:val="28"/>
          <w:szCs w:val="28"/>
          <w:highlight w:val="none"/>
        </w:rPr>
        <w:t>（满分100分）</w:t>
      </w:r>
      <w:bookmarkEnd w:id="31"/>
      <w:bookmarkEnd w:id="32"/>
      <w:bookmarkEnd w:id="33"/>
    </w:p>
    <w:tbl>
      <w:tblPr>
        <w:tblStyle w:val="45"/>
        <w:tblW w:w="939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13" w:type="dxa"/>
          <w:bottom w:w="0" w:type="dxa"/>
          <w:right w:w="113" w:type="dxa"/>
        </w:tblCellMar>
      </w:tblPr>
      <w:tblGrid>
        <w:gridCol w:w="1180"/>
        <w:gridCol w:w="1183"/>
        <w:gridCol w:w="6100"/>
        <w:gridCol w:w="934"/>
      </w:tblGrid>
      <w:tr w14:paraId="5578DB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624" w:hRule="atLeast"/>
        </w:trPr>
        <w:tc>
          <w:tcPr>
            <w:tcW w:w="1180" w:type="dxa"/>
            <w:tcBorders>
              <w:left w:val="single" w:color="000000" w:sz="2" w:space="0"/>
              <w:right w:val="single" w:color="000000" w:sz="2" w:space="0"/>
              <w:tl2br w:val="single" w:color="000000" w:sz="2" w:space="0"/>
            </w:tcBorders>
            <w:vAlign w:val="center"/>
          </w:tcPr>
          <w:p w14:paraId="01B0E29E">
            <w:pPr>
              <w:snapToGrid w:val="0"/>
              <w:spacing w:line="440" w:lineRule="exact"/>
              <w:jc w:val="center"/>
              <w:rPr>
                <w:rFonts w:ascii="宋体" w:hAnsi="宋体" w:eastAsia="宋体" w:cs="宋体"/>
                <w:b/>
                <w:bCs/>
                <w:sz w:val="24"/>
                <w:szCs w:val="24"/>
                <w:highlight w:val="none"/>
              </w:rPr>
            </w:pPr>
          </w:p>
        </w:tc>
        <w:tc>
          <w:tcPr>
            <w:tcW w:w="1183" w:type="dxa"/>
            <w:tcBorders>
              <w:left w:val="single" w:color="000000" w:sz="2" w:space="0"/>
            </w:tcBorders>
            <w:vAlign w:val="center"/>
          </w:tcPr>
          <w:p w14:paraId="2E53452A">
            <w:pPr>
              <w:snapToGrid w:val="0"/>
              <w:spacing w:line="440" w:lineRule="exact"/>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分值</w:t>
            </w:r>
          </w:p>
          <w:p w14:paraId="2BAEF2A9">
            <w:pPr>
              <w:snapToGrid w:val="0"/>
              <w:spacing w:line="440" w:lineRule="exact"/>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构成</w:t>
            </w:r>
          </w:p>
        </w:tc>
        <w:tc>
          <w:tcPr>
            <w:tcW w:w="7034" w:type="dxa"/>
            <w:gridSpan w:val="2"/>
            <w:vAlign w:val="center"/>
          </w:tcPr>
          <w:p w14:paraId="77CCB4F7">
            <w:pPr>
              <w:snapToGrid w:val="0"/>
              <w:spacing w:line="440" w:lineRule="exact"/>
              <w:jc w:val="center"/>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商务标部分：50分</w:t>
            </w:r>
          </w:p>
          <w:p w14:paraId="5F15A23D">
            <w:pPr>
              <w:snapToGrid w:val="0"/>
              <w:spacing w:line="440" w:lineRule="exact"/>
              <w:jc w:val="center"/>
              <w:rPr>
                <w:rFonts w:hint="default"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技术标部分：50分</w:t>
            </w:r>
          </w:p>
        </w:tc>
      </w:tr>
      <w:tr w14:paraId="4CEC93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624" w:hRule="atLeast"/>
        </w:trPr>
        <w:tc>
          <w:tcPr>
            <w:tcW w:w="1180" w:type="dxa"/>
            <w:vAlign w:val="center"/>
          </w:tcPr>
          <w:p w14:paraId="3659E779">
            <w:pPr>
              <w:snapToGrid w:val="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评审</w:t>
            </w:r>
          </w:p>
          <w:p w14:paraId="2DD332F3">
            <w:pPr>
              <w:snapToGrid w:val="0"/>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因素</w:t>
            </w:r>
          </w:p>
        </w:tc>
        <w:tc>
          <w:tcPr>
            <w:tcW w:w="1183" w:type="dxa"/>
            <w:vAlign w:val="center"/>
          </w:tcPr>
          <w:p w14:paraId="0DA43B3F">
            <w:pPr>
              <w:snapToGrid w:val="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评审</w:t>
            </w:r>
          </w:p>
          <w:p w14:paraId="2FD941C7">
            <w:pPr>
              <w:snapToGrid w:val="0"/>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内容</w:t>
            </w:r>
          </w:p>
        </w:tc>
        <w:tc>
          <w:tcPr>
            <w:tcW w:w="6100" w:type="dxa"/>
            <w:vAlign w:val="center"/>
          </w:tcPr>
          <w:p w14:paraId="3D127831">
            <w:pPr>
              <w:snapToGrid w:val="0"/>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评分标准</w:t>
            </w:r>
          </w:p>
        </w:tc>
        <w:tc>
          <w:tcPr>
            <w:tcW w:w="934" w:type="dxa"/>
            <w:vAlign w:val="center"/>
          </w:tcPr>
          <w:p w14:paraId="70DF1E80">
            <w:pPr>
              <w:snapToGrid w:val="0"/>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分值</w:t>
            </w:r>
          </w:p>
        </w:tc>
      </w:tr>
      <w:tr w14:paraId="0092CA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6485" w:hRule="atLeast"/>
        </w:trPr>
        <w:tc>
          <w:tcPr>
            <w:tcW w:w="1180" w:type="dxa"/>
            <w:vMerge w:val="restart"/>
            <w:vAlign w:val="center"/>
          </w:tcPr>
          <w:p w14:paraId="6585F307">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
                <w:bCs/>
                <w:spacing w:val="0"/>
                <w:sz w:val="24"/>
                <w:szCs w:val="24"/>
                <w:highlight w:val="none"/>
              </w:rPr>
            </w:pPr>
            <w:r>
              <w:rPr>
                <w:rFonts w:hint="eastAsia" w:ascii="宋体" w:hAnsi="宋体" w:eastAsia="宋体" w:cs="宋体"/>
                <w:b/>
                <w:bCs/>
                <w:spacing w:val="0"/>
                <w:sz w:val="24"/>
                <w:szCs w:val="24"/>
                <w:highlight w:val="none"/>
              </w:rPr>
              <w:t>商务标部分</w:t>
            </w:r>
          </w:p>
          <w:p w14:paraId="00ADECF1">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spacing w:val="0"/>
                <w:sz w:val="24"/>
                <w:szCs w:val="24"/>
                <w:highlight w:val="none"/>
              </w:rPr>
            </w:pPr>
            <w:r>
              <w:rPr>
                <w:rFonts w:hint="eastAsia" w:ascii="宋体" w:hAnsi="宋体" w:eastAsia="宋体" w:cs="宋体"/>
                <w:b/>
                <w:bCs/>
                <w:spacing w:val="0"/>
                <w:sz w:val="24"/>
                <w:szCs w:val="24"/>
                <w:highlight w:val="none"/>
              </w:rPr>
              <w:t>（明标）</w:t>
            </w:r>
          </w:p>
          <w:p w14:paraId="7702B4B2">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ascii="宋体" w:hAnsi="宋体" w:eastAsia="宋体" w:cs="宋体"/>
                <w:sz w:val="24"/>
                <w:szCs w:val="24"/>
                <w:highlight w:val="none"/>
              </w:rPr>
            </w:pPr>
            <w:r>
              <w:rPr>
                <w:rFonts w:hint="eastAsia" w:ascii="宋体" w:hAnsi="宋体" w:eastAsia="宋体" w:cs="宋体"/>
                <w:b/>
                <w:bCs/>
                <w:spacing w:val="0"/>
                <w:sz w:val="24"/>
                <w:szCs w:val="24"/>
                <w:highlight w:val="none"/>
                <w:lang w:val="en-US" w:eastAsia="zh-CN"/>
              </w:rPr>
              <w:t>（50分）</w:t>
            </w:r>
          </w:p>
        </w:tc>
        <w:tc>
          <w:tcPr>
            <w:tcW w:w="1183" w:type="dxa"/>
            <w:tcBorders>
              <w:bottom w:val="single" w:color="auto" w:sz="4" w:space="0"/>
            </w:tcBorders>
            <w:vAlign w:val="center"/>
          </w:tcPr>
          <w:p w14:paraId="7F3B0460">
            <w:pPr>
              <w:keepNext w:val="0"/>
              <w:keepLines w:val="0"/>
              <w:pageBreakBefore w:val="0"/>
              <w:widowControl/>
              <w:kinsoku/>
              <w:wordWrap/>
              <w:overflowPunct/>
              <w:topLinePunct w:val="0"/>
              <w:autoSpaceDE/>
              <w:autoSpaceDN/>
              <w:bidi w:val="0"/>
              <w:adjustRightInd/>
              <w:snapToGrid w:val="0"/>
              <w:spacing w:line="44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投标</w:t>
            </w:r>
          </w:p>
          <w:p w14:paraId="613F5435">
            <w:pPr>
              <w:keepNext w:val="0"/>
              <w:keepLines w:val="0"/>
              <w:pageBreakBefore w:val="0"/>
              <w:widowControl/>
              <w:kinsoku/>
              <w:wordWrap/>
              <w:overflowPunct/>
              <w:topLinePunct w:val="0"/>
              <w:autoSpaceDE/>
              <w:autoSpaceDN/>
              <w:bidi w:val="0"/>
              <w:adjustRightInd/>
              <w:snapToGrid w:val="0"/>
              <w:spacing w:line="44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报价</w:t>
            </w:r>
          </w:p>
          <w:p w14:paraId="6325FB54">
            <w:pPr>
              <w:keepNext w:val="0"/>
              <w:keepLines w:val="0"/>
              <w:pageBreakBefore w:val="0"/>
              <w:widowControl/>
              <w:kinsoku/>
              <w:wordWrap/>
              <w:overflowPunct/>
              <w:topLinePunct w:val="0"/>
              <w:autoSpaceDE/>
              <w:autoSpaceDN/>
              <w:bidi w:val="0"/>
              <w:adjustRightInd/>
              <w:snapToGrid w:val="0"/>
              <w:spacing w:line="440" w:lineRule="exact"/>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20分</w:t>
            </w:r>
            <w:r>
              <w:rPr>
                <w:rFonts w:hint="eastAsia" w:ascii="宋体" w:hAnsi="宋体" w:eastAsia="宋体" w:cs="宋体"/>
                <w:sz w:val="24"/>
                <w:szCs w:val="24"/>
                <w:highlight w:val="none"/>
                <w:lang w:eastAsia="zh-CN"/>
              </w:rPr>
              <w:t>）</w:t>
            </w:r>
          </w:p>
        </w:tc>
        <w:tc>
          <w:tcPr>
            <w:tcW w:w="6100" w:type="dxa"/>
            <w:tcBorders>
              <w:bottom w:val="single" w:color="auto" w:sz="4" w:space="0"/>
            </w:tcBorders>
            <w:vAlign w:val="center"/>
          </w:tcPr>
          <w:p w14:paraId="1FE7FFBB">
            <w:pPr>
              <w:keepNext w:val="0"/>
              <w:keepLines w:val="0"/>
              <w:pageBreakBefore w:val="0"/>
              <w:kinsoku/>
              <w:wordWrap/>
              <w:overflowPunct/>
              <w:topLinePunct w:val="0"/>
              <w:autoSpaceDE/>
              <w:autoSpaceDN/>
              <w:bidi w:val="0"/>
              <w:adjustRightInd/>
              <w:spacing w:line="440" w:lineRule="exact"/>
              <w:ind w:firstLine="0" w:firstLineChars="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价格分统一采用低价优先法计算，即满足招标文件要求且评标价最低的为评标基准价，其价格分为满分。其他投标人的价格分统一按照下列公式计算：</w:t>
            </w:r>
          </w:p>
          <w:p w14:paraId="67269336">
            <w:pPr>
              <w:keepNext w:val="0"/>
              <w:keepLines w:val="0"/>
              <w:pageBreakBefore w:val="0"/>
              <w:kinsoku/>
              <w:wordWrap/>
              <w:overflowPunct/>
              <w:topLinePunct w:val="0"/>
              <w:autoSpaceDE/>
              <w:autoSpaceDN/>
              <w:bidi w:val="0"/>
              <w:adjustRightInd/>
              <w:spacing w:line="440" w:lineRule="exact"/>
              <w:ind w:firstLine="0" w:firstLineChars="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价格分=(评标基准价÷各合格供应商评标价)×15%×100。</w:t>
            </w:r>
          </w:p>
          <w:p w14:paraId="41C47808">
            <w:pPr>
              <w:keepNext w:val="0"/>
              <w:keepLines w:val="0"/>
              <w:pageBreakBefore w:val="0"/>
              <w:kinsoku/>
              <w:wordWrap/>
              <w:overflowPunct/>
              <w:topLinePunct w:val="0"/>
              <w:autoSpaceDE/>
              <w:autoSpaceDN/>
              <w:bidi w:val="0"/>
              <w:adjustRightInd/>
              <w:spacing w:line="440" w:lineRule="exact"/>
              <w:ind w:firstLine="0" w:firstLineChars="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为贯彻落实关于《政府采购促进中小企业发展管理办法》（财库[2020]46号）、《财政部、司法部关于政府采购支持监狱企业发展有关问题的通知》（财库[2014]68号）、《财政部、民政部、中国残疾人联合会关于关于促进残疾人就业政府采购政策的通知》（财库〔2017〕141号）等规定，促进中小型企业的发展，</w:t>
            </w:r>
            <w:r>
              <w:rPr>
                <w:rFonts w:hint="eastAsia" w:ascii="宋体" w:hAnsi="宋体" w:eastAsia="宋体" w:cs="宋体"/>
                <w:b/>
                <w:bCs/>
                <w:kern w:val="2"/>
                <w:sz w:val="24"/>
                <w:szCs w:val="24"/>
                <w:lang w:val="en-US" w:eastAsia="zh-CN" w:bidi="ar-SA"/>
              </w:rPr>
              <w:t>本项目专门面向中小企业采购</w:t>
            </w:r>
            <w:r>
              <w:rPr>
                <w:rFonts w:hint="eastAsia" w:ascii="宋体" w:hAnsi="宋体" w:eastAsia="宋体" w:cs="宋体"/>
                <w:kern w:val="2"/>
                <w:sz w:val="24"/>
                <w:szCs w:val="24"/>
                <w:lang w:val="en-US" w:eastAsia="zh-CN" w:bidi="ar-SA"/>
              </w:rPr>
              <w:t>，所有符合条件的供应商均不再享受价格扣除政策。</w:t>
            </w:r>
          </w:p>
          <w:p w14:paraId="4E98CD3A">
            <w:pPr>
              <w:keepNext w:val="0"/>
              <w:keepLines w:val="0"/>
              <w:pageBreakBefore w:val="0"/>
              <w:kinsoku/>
              <w:wordWrap/>
              <w:overflowPunct/>
              <w:topLinePunct w:val="0"/>
              <w:autoSpaceDE/>
              <w:autoSpaceDN/>
              <w:bidi w:val="0"/>
              <w:adjustRightInd/>
              <w:snapToGrid w:val="0"/>
              <w:spacing w:line="440" w:lineRule="exact"/>
              <w:textAlignment w:val="auto"/>
              <w:rPr>
                <w:rFonts w:ascii="宋体" w:hAnsi="宋体" w:eastAsia="宋体" w:cs="宋体"/>
                <w:sz w:val="24"/>
                <w:szCs w:val="24"/>
                <w:highlight w:val="none"/>
              </w:rPr>
            </w:pPr>
            <w:r>
              <w:rPr>
                <w:rFonts w:hint="eastAsia" w:ascii="宋体" w:hAnsi="宋体" w:eastAsia="宋体" w:cs="宋体"/>
                <w:b/>
                <w:bCs/>
                <w:sz w:val="24"/>
                <w:szCs w:val="24"/>
                <w:highlight w:val="none"/>
              </w:rPr>
              <w:t>注：价格分计算保留小数点后二位。</w:t>
            </w:r>
          </w:p>
        </w:tc>
        <w:tc>
          <w:tcPr>
            <w:tcW w:w="934" w:type="dxa"/>
            <w:tcBorders>
              <w:bottom w:val="single" w:color="auto" w:sz="4" w:space="0"/>
            </w:tcBorders>
            <w:vAlign w:val="center"/>
          </w:tcPr>
          <w:p w14:paraId="4C602F92">
            <w:pPr>
              <w:keepNext w:val="0"/>
              <w:keepLines w:val="0"/>
              <w:pageBreakBefore w:val="0"/>
              <w:kinsoku/>
              <w:wordWrap/>
              <w:overflowPunct/>
              <w:topLinePunct w:val="0"/>
              <w:autoSpaceDE/>
              <w:autoSpaceDN/>
              <w:bidi w:val="0"/>
              <w:adjustRightInd/>
              <w:snapToGrid w:val="0"/>
              <w:spacing w:line="440" w:lineRule="exact"/>
              <w:jc w:val="center"/>
              <w:textAlignment w:val="auto"/>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20</w:t>
            </w:r>
            <w:r>
              <w:rPr>
                <w:rFonts w:hint="eastAsia" w:ascii="宋体" w:hAnsi="宋体" w:eastAsia="宋体" w:cs="宋体"/>
                <w:sz w:val="24"/>
                <w:szCs w:val="24"/>
                <w:highlight w:val="none"/>
              </w:rPr>
              <w:t>分</w:t>
            </w:r>
          </w:p>
        </w:tc>
      </w:tr>
      <w:tr w14:paraId="2D3701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2505" w:hRule="atLeast"/>
        </w:trPr>
        <w:tc>
          <w:tcPr>
            <w:tcW w:w="1180" w:type="dxa"/>
            <w:vMerge w:val="continue"/>
            <w:vAlign w:val="center"/>
          </w:tcPr>
          <w:p w14:paraId="3322E27D">
            <w:pPr>
              <w:snapToGrid w:val="0"/>
              <w:jc w:val="center"/>
              <w:rPr>
                <w:rFonts w:ascii="宋体" w:hAnsi="宋体" w:eastAsia="宋体" w:cs="Times New Roman"/>
                <w:sz w:val="24"/>
                <w:szCs w:val="24"/>
                <w:highlight w:val="none"/>
              </w:rPr>
            </w:pPr>
          </w:p>
        </w:tc>
        <w:tc>
          <w:tcPr>
            <w:tcW w:w="1183" w:type="dxa"/>
            <w:tcBorders>
              <w:left w:val="single" w:color="auto" w:sz="4" w:space="0"/>
            </w:tcBorders>
            <w:vAlign w:val="center"/>
          </w:tcPr>
          <w:p w14:paraId="317D35A2">
            <w:pPr>
              <w:keepNext w:val="0"/>
              <w:keepLines w:val="0"/>
              <w:pageBreakBefore w:val="0"/>
              <w:widowControl/>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业绩</w:t>
            </w:r>
          </w:p>
          <w:p w14:paraId="59120899">
            <w:pPr>
              <w:keepNext w:val="0"/>
              <w:keepLines w:val="0"/>
              <w:pageBreakBefore w:val="0"/>
              <w:widowControl/>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6分</w:t>
            </w:r>
            <w:r>
              <w:rPr>
                <w:rFonts w:hint="eastAsia" w:ascii="宋体" w:hAnsi="宋体" w:eastAsia="宋体" w:cs="宋体"/>
                <w:color w:val="auto"/>
                <w:sz w:val="24"/>
                <w:szCs w:val="24"/>
                <w:highlight w:val="none"/>
                <w:lang w:eastAsia="zh-CN"/>
              </w:rPr>
              <w:t>）</w:t>
            </w:r>
          </w:p>
        </w:tc>
        <w:tc>
          <w:tcPr>
            <w:tcW w:w="6100" w:type="dxa"/>
            <w:vAlign w:val="center"/>
          </w:tcPr>
          <w:p w14:paraId="08CC49EB">
            <w:pPr>
              <w:keepNext w:val="0"/>
              <w:keepLines w:val="0"/>
              <w:pageBreakBefore w:val="0"/>
              <w:widowControl/>
              <w:kinsoku/>
              <w:wordWrap/>
              <w:overflowPunct/>
              <w:topLinePunct w:val="0"/>
              <w:autoSpaceDE/>
              <w:autoSpaceDN/>
              <w:bidi w:val="0"/>
              <w:adjustRightInd/>
              <w:snapToGrid w:val="0"/>
              <w:spacing w:line="44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供应商近三年（2023年1月1日以来，以合同签订时间为准）具有与本项目同类业绩的（同类业绩指保安服务），每提供一份业绩得3分，最多得6分。</w:t>
            </w:r>
          </w:p>
          <w:p w14:paraId="19F79465">
            <w:pPr>
              <w:keepNext w:val="0"/>
              <w:keepLines w:val="0"/>
              <w:pageBreakBefore w:val="0"/>
              <w:widowControl/>
              <w:kinsoku/>
              <w:wordWrap/>
              <w:overflowPunct/>
              <w:topLinePunct w:val="0"/>
              <w:autoSpaceDE/>
              <w:autoSpaceDN/>
              <w:bidi w:val="0"/>
              <w:adjustRightInd/>
              <w:snapToGrid w:val="0"/>
              <w:spacing w:line="44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注：以上项目业绩，须在投标文件中提供合同扫描件加盖公章，否则不得分。</w:t>
            </w:r>
          </w:p>
        </w:tc>
        <w:tc>
          <w:tcPr>
            <w:tcW w:w="934" w:type="dxa"/>
            <w:vAlign w:val="center"/>
          </w:tcPr>
          <w:p w14:paraId="6DEDF367">
            <w:pPr>
              <w:keepNext w:val="0"/>
              <w:keepLines w:val="0"/>
              <w:pageBreakBefore w:val="0"/>
              <w:kinsoku/>
              <w:wordWrap/>
              <w:overflowPunct/>
              <w:topLinePunct w:val="0"/>
              <w:autoSpaceDE/>
              <w:autoSpaceDN/>
              <w:bidi w:val="0"/>
              <w:adjustRightInd/>
              <w:snapToGrid w:val="0"/>
              <w:spacing w:line="440" w:lineRule="exact"/>
              <w:jc w:val="center"/>
              <w:textAlignment w:val="auto"/>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分</w:t>
            </w:r>
          </w:p>
        </w:tc>
      </w:tr>
      <w:tr w14:paraId="32935E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243" w:hRule="atLeast"/>
        </w:trPr>
        <w:tc>
          <w:tcPr>
            <w:tcW w:w="1180" w:type="dxa"/>
            <w:vMerge w:val="continue"/>
            <w:vAlign w:val="center"/>
          </w:tcPr>
          <w:p w14:paraId="25C66920">
            <w:pPr>
              <w:snapToGrid w:val="0"/>
              <w:jc w:val="center"/>
              <w:rPr>
                <w:rFonts w:ascii="宋体" w:hAnsi="宋体" w:eastAsia="宋体" w:cs="Times New Roman"/>
                <w:sz w:val="24"/>
                <w:szCs w:val="24"/>
                <w:highlight w:val="none"/>
              </w:rPr>
            </w:pPr>
          </w:p>
        </w:tc>
        <w:tc>
          <w:tcPr>
            <w:tcW w:w="1183" w:type="dxa"/>
            <w:tcBorders>
              <w:left w:val="single" w:color="auto" w:sz="4" w:space="0"/>
            </w:tcBorders>
            <w:vAlign w:val="center"/>
          </w:tcPr>
          <w:p w14:paraId="246AA8F3">
            <w:pPr>
              <w:keepNext w:val="0"/>
              <w:keepLines w:val="0"/>
              <w:pageBreakBefore w:val="0"/>
              <w:widowControl/>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拟投入人员实力证明（14分）</w:t>
            </w:r>
          </w:p>
          <w:p w14:paraId="4A41407B">
            <w:pPr>
              <w:keepNext w:val="0"/>
              <w:keepLines w:val="0"/>
              <w:pageBreakBefore w:val="0"/>
              <w:widowControl/>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auto"/>
                <w:sz w:val="24"/>
                <w:szCs w:val="24"/>
                <w:highlight w:val="none"/>
                <w:lang w:val="en-US" w:eastAsia="zh-CN"/>
              </w:rPr>
            </w:pPr>
          </w:p>
        </w:tc>
        <w:tc>
          <w:tcPr>
            <w:tcW w:w="6100" w:type="dxa"/>
            <w:vAlign w:val="center"/>
          </w:tcPr>
          <w:p w14:paraId="44978794">
            <w:pPr>
              <w:keepNext w:val="0"/>
              <w:keepLines w:val="0"/>
              <w:pageBreakBefore w:val="0"/>
              <w:widowControl/>
              <w:kinsoku/>
              <w:wordWrap/>
              <w:overflowPunct/>
              <w:topLinePunct w:val="0"/>
              <w:autoSpaceDE/>
              <w:autoSpaceDN/>
              <w:bidi w:val="0"/>
              <w:adjustRightInd/>
              <w:snapToGrid w:val="0"/>
              <w:spacing w:line="44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1.供应商拟派本项目的项目负责人，要求45周岁以下、</w:t>
            </w:r>
          </w:p>
          <w:p w14:paraId="00FED0FD">
            <w:pPr>
              <w:keepNext w:val="0"/>
              <w:keepLines w:val="0"/>
              <w:pageBreakBefore w:val="0"/>
              <w:widowControl/>
              <w:kinsoku/>
              <w:wordWrap/>
              <w:overflowPunct/>
              <w:topLinePunct w:val="0"/>
              <w:autoSpaceDE/>
              <w:autoSpaceDN/>
              <w:bidi w:val="0"/>
              <w:adjustRightInd/>
              <w:snapToGrid w:val="0"/>
              <w:spacing w:line="44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具有大专及以上学历证书、具有在提交投标文件截止时间前3个月任意一个月的社保证明，每提供一人得2分，最多的4分。</w:t>
            </w:r>
          </w:p>
          <w:p w14:paraId="59B67594">
            <w:pPr>
              <w:keepNext w:val="0"/>
              <w:keepLines w:val="0"/>
              <w:pageBreakBefore w:val="0"/>
              <w:widowControl/>
              <w:kinsoku/>
              <w:wordWrap/>
              <w:overflowPunct/>
              <w:topLinePunct w:val="0"/>
              <w:autoSpaceDE/>
              <w:autoSpaceDN/>
              <w:bidi w:val="0"/>
              <w:adjustRightInd/>
              <w:snapToGrid w:val="0"/>
              <w:spacing w:line="440" w:lineRule="exact"/>
              <w:jc w:val="left"/>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注：投标文件中提供人员的学历证书及社保证明，证明材料复印件并加盖供应商公章，未提供或提供不全不得分。</w:t>
            </w:r>
          </w:p>
          <w:p w14:paraId="6869A476">
            <w:pPr>
              <w:keepNext w:val="0"/>
              <w:keepLines w:val="0"/>
              <w:pageBreakBefore w:val="0"/>
              <w:widowControl/>
              <w:kinsoku/>
              <w:wordWrap/>
              <w:overflowPunct/>
              <w:topLinePunct w:val="0"/>
              <w:autoSpaceDE/>
              <w:autoSpaceDN/>
              <w:bidi w:val="0"/>
              <w:adjustRightInd/>
              <w:snapToGrid w:val="0"/>
              <w:spacing w:line="44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2.供应商拟派本项目人员中每提供1名退伍军人且提供退伍证书的得1分，最多得10分。</w:t>
            </w:r>
          </w:p>
          <w:p w14:paraId="65751AE0">
            <w:pPr>
              <w:keepNext w:val="0"/>
              <w:keepLines w:val="0"/>
              <w:pageBreakBefore w:val="0"/>
              <w:widowControl/>
              <w:kinsoku/>
              <w:wordWrap/>
              <w:overflowPunct/>
              <w:topLinePunct w:val="0"/>
              <w:autoSpaceDE/>
              <w:autoSpaceDN/>
              <w:bidi w:val="0"/>
              <w:adjustRightInd/>
              <w:snapToGrid w:val="0"/>
              <w:spacing w:line="440" w:lineRule="exact"/>
              <w:jc w:val="left"/>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注：投标文件中提供证书复印件并加盖供应商公章，未</w:t>
            </w:r>
          </w:p>
          <w:p w14:paraId="37BEF2D9">
            <w:pPr>
              <w:keepNext w:val="0"/>
              <w:keepLines w:val="0"/>
              <w:pageBreakBefore w:val="0"/>
              <w:widowControl/>
              <w:kinsoku/>
              <w:wordWrap/>
              <w:overflowPunct/>
              <w:topLinePunct w:val="0"/>
              <w:autoSpaceDE/>
              <w:autoSpaceDN/>
              <w:bidi w:val="0"/>
              <w:adjustRightInd/>
              <w:snapToGrid w:val="0"/>
              <w:spacing w:line="440" w:lineRule="exact"/>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提供不得分。</w:t>
            </w:r>
          </w:p>
        </w:tc>
        <w:tc>
          <w:tcPr>
            <w:tcW w:w="934" w:type="dxa"/>
            <w:vAlign w:val="center"/>
          </w:tcPr>
          <w:p w14:paraId="2587DEB2">
            <w:pPr>
              <w:keepNext w:val="0"/>
              <w:keepLines w:val="0"/>
              <w:pageBreakBefore w:val="0"/>
              <w:kinsoku/>
              <w:wordWrap/>
              <w:overflowPunct/>
              <w:topLinePunct w:val="0"/>
              <w:autoSpaceDE/>
              <w:autoSpaceDN/>
              <w:bidi w:val="0"/>
              <w:adjustRightInd/>
              <w:snapToGrid w:val="0"/>
              <w:spacing w:line="440" w:lineRule="exact"/>
              <w:jc w:val="center"/>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14分</w:t>
            </w:r>
          </w:p>
        </w:tc>
      </w:tr>
      <w:tr w14:paraId="152421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3911" w:hRule="atLeast"/>
        </w:trPr>
        <w:tc>
          <w:tcPr>
            <w:tcW w:w="1180" w:type="dxa"/>
            <w:vMerge w:val="continue"/>
            <w:vAlign w:val="center"/>
          </w:tcPr>
          <w:p w14:paraId="2F799FA1">
            <w:pPr>
              <w:snapToGrid w:val="0"/>
              <w:jc w:val="center"/>
              <w:rPr>
                <w:rFonts w:ascii="宋体" w:hAnsi="宋体" w:eastAsia="宋体" w:cs="Times New Roman"/>
                <w:sz w:val="24"/>
                <w:szCs w:val="24"/>
                <w:highlight w:val="none"/>
              </w:rPr>
            </w:pPr>
          </w:p>
        </w:tc>
        <w:tc>
          <w:tcPr>
            <w:tcW w:w="1183" w:type="dxa"/>
            <w:tcBorders>
              <w:left w:val="single" w:color="auto" w:sz="4" w:space="0"/>
            </w:tcBorders>
            <w:vAlign w:val="center"/>
          </w:tcPr>
          <w:p w14:paraId="561A9477">
            <w:pPr>
              <w:keepNext w:val="0"/>
              <w:keepLines w:val="0"/>
              <w:pageBreakBefore w:val="0"/>
              <w:widowControl/>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拟投入本项目的主要工器具</w:t>
            </w:r>
          </w:p>
          <w:p w14:paraId="4384BD7E">
            <w:pPr>
              <w:keepNext w:val="0"/>
              <w:keepLines w:val="0"/>
              <w:pageBreakBefore w:val="0"/>
              <w:widowControl/>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（10分）</w:t>
            </w:r>
          </w:p>
          <w:p w14:paraId="6A897701">
            <w:pPr>
              <w:keepNext w:val="0"/>
              <w:keepLines w:val="0"/>
              <w:pageBreakBefore w:val="0"/>
              <w:widowControl/>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auto"/>
                <w:sz w:val="24"/>
                <w:szCs w:val="24"/>
                <w:highlight w:val="none"/>
                <w:lang w:val="en-US" w:eastAsia="zh-CN"/>
              </w:rPr>
            </w:pPr>
          </w:p>
        </w:tc>
        <w:tc>
          <w:tcPr>
            <w:tcW w:w="6100" w:type="dxa"/>
            <w:vAlign w:val="center"/>
          </w:tcPr>
          <w:p w14:paraId="6FBC8D4E">
            <w:pPr>
              <w:keepNext w:val="0"/>
              <w:keepLines w:val="0"/>
              <w:pageBreakBefore w:val="0"/>
              <w:widowControl/>
              <w:kinsoku/>
              <w:wordWrap/>
              <w:overflowPunct/>
              <w:topLinePunct w:val="0"/>
              <w:autoSpaceDE/>
              <w:autoSpaceDN/>
              <w:bidi w:val="0"/>
              <w:adjustRightInd/>
              <w:snapToGrid w:val="0"/>
              <w:spacing w:line="44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供应商根据对本项目采购需求的了解提供拟投入与本项目相关的主要工器具清单，供应商提供基础的安保八件</w:t>
            </w:r>
          </w:p>
          <w:p w14:paraId="0816A878">
            <w:pPr>
              <w:keepNext w:val="0"/>
              <w:keepLines w:val="0"/>
              <w:pageBreakBefore w:val="0"/>
              <w:widowControl/>
              <w:kinsoku/>
              <w:wordWrap/>
              <w:overflowPunct/>
              <w:topLinePunct w:val="0"/>
              <w:autoSpaceDE/>
              <w:autoSpaceDN/>
              <w:bidi w:val="0"/>
              <w:adjustRightInd/>
              <w:snapToGrid w:val="0"/>
              <w:spacing w:line="44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套(包括橡胶棍、催泪喷射器、强光手电筒、防割手套、防暴钢叉、防刺背心、防暴盾牌、对讲机)全套设备的，</w:t>
            </w:r>
          </w:p>
          <w:p w14:paraId="71F0110C">
            <w:pPr>
              <w:keepNext w:val="0"/>
              <w:keepLines w:val="0"/>
              <w:pageBreakBefore w:val="0"/>
              <w:widowControl/>
              <w:kinsoku/>
              <w:wordWrap/>
              <w:overflowPunct/>
              <w:topLinePunct w:val="0"/>
              <w:autoSpaceDE/>
              <w:autoSpaceDN/>
              <w:bidi w:val="0"/>
              <w:adjustRightInd/>
              <w:snapToGrid w:val="0"/>
              <w:spacing w:line="44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得5分；同时能够提供院内及院外巡逻多种巡逻车辆（包含电动车、电动轿车、机动车）的，再加5分。</w:t>
            </w:r>
          </w:p>
          <w:p w14:paraId="4689F1E1">
            <w:pPr>
              <w:keepNext w:val="0"/>
              <w:keepLines w:val="0"/>
              <w:pageBreakBefore w:val="0"/>
              <w:widowControl/>
              <w:kinsoku/>
              <w:wordWrap/>
              <w:overflowPunct/>
              <w:topLinePunct w:val="0"/>
              <w:autoSpaceDE/>
              <w:autoSpaceDN/>
              <w:bidi w:val="0"/>
              <w:adjustRightInd/>
              <w:snapToGrid w:val="0"/>
              <w:spacing w:line="44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注：供应商须在投标文件中提供以上设</w:t>
            </w:r>
            <w:bookmarkStart w:id="101" w:name="_GoBack"/>
            <w:bookmarkEnd w:id="101"/>
            <w:r>
              <w:rPr>
                <w:rFonts w:hint="eastAsia" w:ascii="宋体" w:hAnsi="宋体" w:eastAsia="宋体" w:cs="宋体"/>
                <w:b/>
                <w:bCs/>
                <w:color w:val="auto"/>
                <w:sz w:val="24"/>
                <w:szCs w:val="24"/>
                <w:highlight w:val="none"/>
                <w:lang w:val="en-US" w:eastAsia="zh-CN"/>
              </w:rPr>
              <w:t>备、车辆的证明材料并加盖公章。自有车辆：提供行驶证、购置凭证；租赁车辆：提供完整租赁合同、出租方产权证明、车辆年检保险材料；否则不得分。若中标后无法按期配齐达标车辆，按合同违约条款扣除履约保证金。</w:t>
            </w:r>
          </w:p>
        </w:tc>
        <w:tc>
          <w:tcPr>
            <w:tcW w:w="934" w:type="dxa"/>
            <w:vAlign w:val="center"/>
          </w:tcPr>
          <w:p w14:paraId="413DC1ED">
            <w:pPr>
              <w:keepNext w:val="0"/>
              <w:keepLines w:val="0"/>
              <w:pageBreakBefore w:val="0"/>
              <w:kinsoku/>
              <w:wordWrap/>
              <w:overflowPunct/>
              <w:topLinePunct w:val="0"/>
              <w:autoSpaceDE/>
              <w:autoSpaceDN/>
              <w:bidi w:val="0"/>
              <w:adjustRightInd/>
              <w:snapToGrid w:val="0"/>
              <w:spacing w:line="440" w:lineRule="exact"/>
              <w:jc w:val="center"/>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10分</w:t>
            </w:r>
          </w:p>
        </w:tc>
      </w:tr>
      <w:tr w14:paraId="1B4FB2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1360" w:hRule="atLeast"/>
        </w:trPr>
        <w:tc>
          <w:tcPr>
            <w:tcW w:w="1180" w:type="dxa"/>
            <w:vMerge w:val="restart"/>
            <w:tcBorders>
              <w:left w:val="single" w:color="auto" w:sz="4" w:space="0"/>
              <w:right w:val="single" w:color="auto" w:sz="4" w:space="0"/>
            </w:tcBorders>
            <w:vAlign w:val="center"/>
          </w:tcPr>
          <w:p w14:paraId="68A737EC">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
                <w:bCs/>
                <w:spacing w:val="0"/>
                <w:sz w:val="24"/>
                <w:szCs w:val="24"/>
                <w:highlight w:val="none"/>
              </w:rPr>
            </w:pPr>
            <w:r>
              <w:rPr>
                <w:rFonts w:hint="eastAsia" w:ascii="宋体" w:hAnsi="宋体" w:eastAsia="宋体" w:cs="宋体"/>
                <w:b/>
                <w:bCs/>
                <w:spacing w:val="0"/>
                <w:sz w:val="24"/>
                <w:szCs w:val="24"/>
                <w:highlight w:val="none"/>
              </w:rPr>
              <w:t>技术标部分（暗标）</w:t>
            </w:r>
          </w:p>
          <w:p w14:paraId="71E7F4B6">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宋体" w:hAnsi="宋体" w:eastAsia="宋体" w:cs="宋体"/>
                <w:sz w:val="24"/>
                <w:szCs w:val="24"/>
                <w:highlight w:val="none"/>
                <w:lang w:eastAsia="zh-CN"/>
              </w:rPr>
            </w:pPr>
            <w:r>
              <w:rPr>
                <w:rFonts w:hint="eastAsia" w:ascii="宋体" w:hAnsi="宋体" w:eastAsia="宋体" w:cs="宋体"/>
                <w:b/>
                <w:bCs/>
                <w:spacing w:val="0"/>
                <w:sz w:val="24"/>
                <w:szCs w:val="24"/>
                <w:highlight w:val="none"/>
                <w:lang w:eastAsia="zh-CN"/>
              </w:rPr>
              <w:t>（</w:t>
            </w:r>
            <w:r>
              <w:rPr>
                <w:rFonts w:hint="eastAsia" w:ascii="宋体" w:hAnsi="宋体" w:eastAsia="宋体" w:cs="宋体"/>
                <w:b/>
                <w:bCs/>
                <w:spacing w:val="0"/>
                <w:sz w:val="24"/>
                <w:szCs w:val="24"/>
                <w:highlight w:val="none"/>
                <w:lang w:val="en-US" w:eastAsia="zh-CN"/>
              </w:rPr>
              <w:t>50分</w:t>
            </w:r>
            <w:r>
              <w:rPr>
                <w:rFonts w:hint="eastAsia" w:ascii="宋体" w:hAnsi="宋体" w:eastAsia="宋体" w:cs="宋体"/>
                <w:b/>
                <w:bCs/>
                <w:spacing w:val="0"/>
                <w:sz w:val="24"/>
                <w:szCs w:val="24"/>
                <w:highlight w:val="none"/>
                <w:lang w:eastAsia="zh-CN"/>
              </w:rPr>
              <w:t>）</w:t>
            </w:r>
          </w:p>
        </w:tc>
        <w:tc>
          <w:tcPr>
            <w:tcW w:w="8217" w:type="dxa"/>
            <w:gridSpan w:val="3"/>
            <w:tcBorders>
              <w:left w:val="single" w:color="auto" w:sz="4" w:space="0"/>
            </w:tcBorders>
            <w:vAlign w:val="center"/>
          </w:tcPr>
          <w:p w14:paraId="1FCEF115">
            <w:pPr>
              <w:pStyle w:val="57"/>
              <w:keepNext w:val="0"/>
              <w:keepLines w:val="0"/>
              <w:pageBreakBefore w:val="0"/>
              <w:kinsoku/>
              <w:wordWrap/>
              <w:overflowPunct/>
              <w:topLinePunct w:val="0"/>
              <w:autoSpaceDE/>
              <w:autoSpaceDN/>
              <w:bidi w:val="0"/>
              <w:adjustRightInd/>
              <w:spacing w:line="440" w:lineRule="exact"/>
              <w:ind w:firstLine="0" w:firstLineChars="0"/>
              <w:textAlignment w:val="auto"/>
              <w:rPr>
                <w:rFonts w:hint="eastAsia" w:ascii="宋体" w:hAnsi="宋体" w:eastAsia="宋体" w:cs="宋体"/>
                <w:sz w:val="24"/>
                <w:szCs w:val="24"/>
                <w:highlight w:val="none"/>
              </w:rPr>
            </w:pPr>
            <w:r>
              <w:rPr>
                <w:rFonts w:hint="eastAsia" w:ascii="宋体" w:hAnsi="宋体" w:eastAsia="宋体" w:cs="宋体"/>
                <w:b/>
                <w:bCs/>
                <w:kern w:val="2"/>
                <w:sz w:val="24"/>
                <w:szCs w:val="24"/>
                <w:lang w:val="en-US" w:eastAsia="zh-CN" w:bidi="ar-SA"/>
              </w:rPr>
              <w:t>供应商根据本项目制定详细的项目实施方案，包含但不仅限于以下评审内容，评标委员会根据供应商提供的项目实施方案参照以下评审因素进行综合评价：</w:t>
            </w:r>
          </w:p>
        </w:tc>
      </w:tr>
      <w:tr w14:paraId="0B8E7C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3295" w:hRule="atLeast"/>
        </w:trPr>
        <w:tc>
          <w:tcPr>
            <w:tcW w:w="1180" w:type="dxa"/>
            <w:vMerge w:val="continue"/>
            <w:tcBorders>
              <w:left w:val="single" w:color="auto" w:sz="4" w:space="0"/>
              <w:right w:val="single" w:color="auto" w:sz="4" w:space="0"/>
            </w:tcBorders>
            <w:vAlign w:val="center"/>
          </w:tcPr>
          <w:p w14:paraId="21557588">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ascii="宋体" w:hAnsi="宋体" w:eastAsia="宋体" w:cs="宋体"/>
                <w:sz w:val="24"/>
                <w:szCs w:val="24"/>
                <w:highlight w:val="none"/>
              </w:rPr>
            </w:pPr>
          </w:p>
        </w:tc>
        <w:tc>
          <w:tcPr>
            <w:tcW w:w="1183" w:type="dxa"/>
            <w:tcBorders>
              <w:left w:val="single" w:color="auto" w:sz="4" w:space="0"/>
            </w:tcBorders>
            <w:vAlign w:val="center"/>
          </w:tcPr>
          <w:p w14:paraId="2AE98678">
            <w:pPr>
              <w:spacing w:before="78" w:line="221" w:lineRule="auto"/>
              <w:ind w:left="183"/>
              <w:rPr>
                <w:rFonts w:ascii="宋体" w:hAnsi="宋体" w:eastAsia="宋体" w:cs="宋体"/>
                <w:sz w:val="24"/>
                <w:szCs w:val="24"/>
              </w:rPr>
            </w:pPr>
            <w:r>
              <w:rPr>
                <w:rFonts w:ascii="宋体" w:hAnsi="宋体" w:eastAsia="宋体" w:cs="宋体"/>
                <w:b/>
                <w:bCs/>
                <w:spacing w:val="-5"/>
                <w:sz w:val="24"/>
                <w:szCs w:val="24"/>
              </w:rPr>
              <w:t>总体</w:t>
            </w:r>
            <w:r>
              <w:rPr>
                <w:rFonts w:hint="eastAsia" w:ascii="宋体" w:hAnsi="宋体" w:eastAsia="宋体" w:cs="宋体"/>
                <w:b/>
                <w:bCs/>
                <w:spacing w:val="-5"/>
                <w:sz w:val="24"/>
                <w:szCs w:val="24"/>
                <w:lang w:val="en-US" w:eastAsia="zh-CN"/>
              </w:rPr>
              <w:t>服务</w:t>
            </w:r>
            <w:r>
              <w:rPr>
                <w:rFonts w:ascii="宋体" w:hAnsi="宋体" w:eastAsia="宋体" w:cs="宋体"/>
                <w:b/>
                <w:bCs/>
                <w:spacing w:val="-8"/>
                <w:sz w:val="24"/>
                <w:szCs w:val="24"/>
              </w:rPr>
              <w:t>方案</w:t>
            </w:r>
          </w:p>
          <w:p w14:paraId="3E5AA428">
            <w:pPr>
              <w:keepNext w:val="0"/>
              <w:keepLines w:val="0"/>
              <w:pageBreakBefore w:val="0"/>
              <w:widowControl/>
              <w:kinsoku/>
              <w:wordWrap/>
              <w:overflowPunct/>
              <w:topLinePunct w:val="0"/>
              <w:autoSpaceDE/>
              <w:autoSpaceDN/>
              <w:bidi w:val="0"/>
              <w:adjustRightInd/>
              <w:snapToGrid w:val="0"/>
              <w:spacing w:line="440" w:lineRule="exact"/>
              <w:jc w:val="center"/>
              <w:textAlignment w:val="auto"/>
              <w:rPr>
                <w:rFonts w:hint="eastAsia" w:ascii="宋体" w:hAnsi="宋体" w:eastAsia="宋体" w:cs="宋体"/>
                <w:sz w:val="24"/>
                <w:szCs w:val="24"/>
              </w:rPr>
            </w:pPr>
            <w:r>
              <w:rPr>
                <w:rFonts w:ascii="宋体" w:hAnsi="宋体" w:eastAsia="宋体" w:cs="宋体"/>
                <w:b/>
                <w:bCs/>
                <w:spacing w:val="-11"/>
                <w:sz w:val="24"/>
                <w:szCs w:val="24"/>
              </w:rPr>
              <w:t>（</w:t>
            </w:r>
            <w:r>
              <w:rPr>
                <w:rFonts w:hint="eastAsia" w:ascii="宋体" w:hAnsi="宋体" w:eastAsia="宋体" w:cs="宋体"/>
                <w:b/>
                <w:bCs/>
                <w:spacing w:val="-11"/>
                <w:sz w:val="24"/>
                <w:szCs w:val="24"/>
                <w:lang w:val="en-US" w:eastAsia="zh-CN"/>
              </w:rPr>
              <w:t>8</w:t>
            </w:r>
            <w:r>
              <w:rPr>
                <w:rFonts w:ascii="宋体" w:hAnsi="宋体" w:eastAsia="宋体" w:cs="宋体"/>
                <w:b/>
                <w:bCs/>
                <w:spacing w:val="-11"/>
                <w:sz w:val="24"/>
                <w:szCs w:val="24"/>
              </w:rPr>
              <w:t>分）</w:t>
            </w:r>
          </w:p>
        </w:tc>
        <w:tc>
          <w:tcPr>
            <w:tcW w:w="6100" w:type="dxa"/>
            <w:vAlign w:val="center"/>
          </w:tcPr>
          <w:p w14:paraId="59E1D5C7">
            <w:pPr>
              <w:keepNext w:val="0"/>
              <w:keepLines w:val="0"/>
              <w:pageBreakBefore w:val="0"/>
              <w:widowControl/>
              <w:kinsoku/>
              <w:wordWrap/>
              <w:overflowPunct/>
              <w:topLinePunct w:val="0"/>
              <w:autoSpaceDE/>
              <w:autoSpaceDN/>
              <w:bidi w:val="0"/>
              <w:adjustRightInd/>
              <w:snapToGrid w:val="0"/>
              <w:spacing w:line="44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a.总体服务方案详细、完整、全面，服务目标明确，工作流程清晰、规范，方案切实可行，得8分；</w:t>
            </w:r>
          </w:p>
          <w:p w14:paraId="59DD9331">
            <w:pPr>
              <w:keepNext w:val="0"/>
              <w:keepLines w:val="0"/>
              <w:pageBreakBefore w:val="0"/>
              <w:widowControl/>
              <w:kinsoku/>
              <w:wordWrap/>
              <w:overflowPunct/>
              <w:topLinePunct w:val="0"/>
              <w:autoSpaceDE/>
              <w:autoSpaceDN/>
              <w:bidi w:val="0"/>
              <w:adjustRightInd/>
              <w:snapToGrid w:val="0"/>
              <w:spacing w:line="44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b.总体服务方案较详细，基本完整，服务目标基本明确，对具体工作流程分析一般，方案基本可行，得5分；</w:t>
            </w:r>
          </w:p>
          <w:p w14:paraId="0BF33EE1">
            <w:pPr>
              <w:keepNext w:val="0"/>
              <w:keepLines w:val="0"/>
              <w:pageBreakBefore w:val="0"/>
              <w:widowControl/>
              <w:kinsoku/>
              <w:wordWrap/>
              <w:overflowPunct/>
              <w:topLinePunct w:val="0"/>
              <w:autoSpaceDE/>
              <w:autoSpaceDN/>
              <w:bidi w:val="0"/>
              <w:adjustRightInd/>
              <w:snapToGrid w:val="0"/>
              <w:spacing w:line="44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c.总体服务方案简单，不够全面完善，对项目具体工作流程分析较差，方案不可行，得2分；</w:t>
            </w:r>
          </w:p>
          <w:p w14:paraId="6477CF33">
            <w:pPr>
              <w:keepNext w:val="0"/>
              <w:keepLines w:val="0"/>
              <w:pageBreakBefore w:val="0"/>
              <w:widowControl/>
              <w:kinsoku/>
              <w:wordWrap/>
              <w:overflowPunct/>
              <w:topLinePunct w:val="0"/>
              <w:autoSpaceDE/>
              <w:autoSpaceDN/>
              <w:bidi w:val="0"/>
              <w:adjustRightInd/>
              <w:snapToGrid w:val="0"/>
              <w:spacing w:line="440" w:lineRule="exact"/>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color w:val="auto"/>
                <w:sz w:val="24"/>
                <w:szCs w:val="24"/>
                <w:highlight w:val="none"/>
                <w:lang w:val="en-US" w:eastAsia="zh-CN"/>
              </w:rPr>
              <w:t>d.未提供，得0分。</w:t>
            </w:r>
          </w:p>
        </w:tc>
        <w:tc>
          <w:tcPr>
            <w:tcW w:w="934" w:type="dxa"/>
            <w:vAlign w:val="center"/>
          </w:tcPr>
          <w:p w14:paraId="136D93BA">
            <w:pPr>
              <w:keepNext w:val="0"/>
              <w:keepLines w:val="0"/>
              <w:pageBreakBefore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8分</w:t>
            </w:r>
          </w:p>
        </w:tc>
      </w:tr>
      <w:tr w14:paraId="6FF652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3079" w:hRule="atLeast"/>
        </w:trPr>
        <w:tc>
          <w:tcPr>
            <w:tcW w:w="1180" w:type="dxa"/>
            <w:vMerge w:val="continue"/>
            <w:tcBorders>
              <w:left w:val="single" w:color="auto" w:sz="4" w:space="0"/>
              <w:right w:val="single" w:color="auto" w:sz="4" w:space="0"/>
            </w:tcBorders>
            <w:vAlign w:val="center"/>
          </w:tcPr>
          <w:p w14:paraId="696D36B7">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ascii="宋体" w:hAnsi="宋体" w:eastAsia="宋体" w:cs="宋体"/>
                <w:sz w:val="24"/>
                <w:szCs w:val="24"/>
                <w:highlight w:val="none"/>
              </w:rPr>
            </w:pPr>
          </w:p>
        </w:tc>
        <w:tc>
          <w:tcPr>
            <w:tcW w:w="1183" w:type="dxa"/>
            <w:tcBorders>
              <w:left w:val="single" w:color="auto" w:sz="4" w:space="0"/>
            </w:tcBorders>
            <w:vAlign w:val="center"/>
          </w:tcPr>
          <w:p w14:paraId="10FCE53B">
            <w:pPr>
              <w:keepNext w:val="0"/>
              <w:keepLines w:val="0"/>
              <w:pageBreakBefore w:val="0"/>
              <w:widowControl/>
              <w:kinsoku/>
              <w:wordWrap/>
              <w:overflowPunct/>
              <w:topLinePunct w:val="0"/>
              <w:autoSpaceDE/>
              <w:autoSpaceDN/>
              <w:bidi w:val="0"/>
              <w:adjustRightInd/>
              <w:snapToGrid w:val="0"/>
              <w:spacing w:line="440" w:lineRule="exact"/>
              <w:jc w:val="center"/>
              <w:textAlignment w:val="auto"/>
              <w:rPr>
                <w:b/>
                <w:bCs/>
                <w:spacing w:val="7"/>
                <w:sz w:val="24"/>
                <w:szCs w:val="24"/>
              </w:rPr>
            </w:pPr>
            <w:r>
              <w:rPr>
                <w:rFonts w:hint="eastAsia"/>
                <w:b/>
                <w:bCs/>
                <w:spacing w:val="7"/>
                <w:sz w:val="24"/>
                <w:szCs w:val="24"/>
                <w:lang w:val="en-US" w:eastAsia="zh-CN"/>
              </w:rPr>
              <w:t>项目</w:t>
            </w:r>
            <w:r>
              <w:rPr>
                <w:b/>
                <w:bCs/>
                <w:spacing w:val="7"/>
                <w:sz w:val="24"/>
                <w:szCs w:val="24"/>
              </w:rPr>
              <w:t>管理</w:t>
            </w:r>
            <w:r>
              <w:rPr>
                <w:rFonts w:hint="eastAsia"/>
                <w:b/>
                <w:bCs/>
                <w:spacing w:val="7"/>
                <w:sz w:val="24"/>
                <w:szCs w:val="24"/>
                <w:lang w:val="en-US" w:eastAsia="zh-CN"/>
              </w:rPr>
              <w:t>组织及</w:t>
            </w:r>
            <w:r>
              <w:rPr>
                <w:b/>
                <w:bCs/>
                <w:spacing w:val="7"/>
                <w:sz w:val="24"/>
                <w:szCs w:val="24"/>
              </w:rPr>
              <w:t>制度</w:t>
            </w:r>
          </w:p>
          <w:p w14:paraId="2A3EF920">
            <w:pPr>
              <w:keepNext w:val="0"/>
              <w:keepLines w:val="0"/>
              <w:pageBreakBefore w:val="0"/>
              <w:widowControl/>
              <w:kinsoku/>
              <w:wordWrap/>
              <w:overflowPunct/>
              <w:topLinePunct w:val="0"/>
              <w:autoSpaceDE/>
              <w:autoSpaceDN/>
              <w:bidi w:val="0"/>
              <w:adjustRightInd/>
              <w:snapToGrid w:val="0"/>
              <w:spacing w:line="440" w:lineRule="exact"/>
              <w:jc w:val="center"/>
              <w:textAlignment w:val="auto"/>
              <w:rPr>
                <w:rFonts w:hint="eastAsia"/>
                <w:b/>
                <w:bCs/>
                <w:spacing w:val="7"/>
                <w:sz w:val="24"/>
                <w:szCs w:val="24"/>
                <w:lang w:eastAsia="zh-CN"/>
              </w:rPr>
            </w:pPr>
            <w:r>
              <w:rPr>
                <w:rFonts w:ascii="宋体" w:hAnsi="宋体" w:eastAsia="宋体" w:cs="宋体"/>
                <w:b/>
                <w:bCs/>
                <w:spacing w:val="-11"/>
                <w:sz w:val="24"/>
                <w:szCs w:val="24"/>
              </w:rPr>
              <w:t>（</w:t>
            </w:r>
            <w:r>
              <w:rPr>
                <w:rFonts w:hint="eastAsia" w:ascii="宋体" w:hAnsi="宋体" w:eastAsia="宋体" w:cs="宋体"/>
                <w:b/>
                <w:bCs/>
                <w:spacing w:val="-11"/>
                <w:sz w:val="24"/>
                <w:szCs w:val="24"/>
                <w:lang w:val="en-US" w:eastAsia="zh-CN"/>
              </w:rPr>
              <w:t>8</w:t>
            </w:r>
            <w:r>
              <w:rPr>
                <w:rFonts w:ascii="宋体" w:hAnsi="宋体" w:eastAsia="宋体" w:cs="宋体"/>
                <w:b/>
                <w:bCs/>
                <w:spacing w:val="-11"/>
                <w:sz w:val="24"/>
                <w:szCs w:val="24"/>
              </w:rPr>
              <w:t>分）</w:t>
            </w:r>
          </w:p>
        </w:tc>
        <w:tc>
          <w:tcPr>
            <w:tcW w:w="6100" w:type="dxa"/>
            <w:vAlign w:val="center"/>
          </w:tcPr>
          <w:p w14:paraId="4BEF8641">
            <w:pPr>
              <w:spacing w:before="161" w:line="354" w:lineRule="auto"/>
              <w:ind w:left="108" w:right="198"/>
              <w:jc w:val="both"/>
              <w:rPr>
                <w:rFonts w:ascii="宋体" w:hAnsi="宋体" w:eastAsia="宋体" w:cs="宋体"/>
                <w:sz w:val="24"/>
                <w:szCs w:val="24"/>
              </w:rPr>
            </w:pPr>
            <w:r>
              <w:rPr>
                <w:rFonts w:hint="eastAsia" w:ascii="宋体" w:hAnsi="宋体" w:eastAsia="宋体" w:cs="宋体"/>
                <w:spacing w:val="-1"/>
                <w:sz w:val="24"/>
                <w:szCs w:val="24"/>
                <w:lang w:val="en-US" w:eastAsia="zh-CN"/>
              </w:rPr>
              <w:t>拟投入</w:t>
            </w:r>
            <w:r>
              <w:rPr>
                <w:rFonts w:ascii="宋体" w:hAnsi="宋体" w:eastAsia="宋体" w:cs="宋体"/>
                <w:spacing w:val="-1"/>
                <w:sz w:val="24"/>
                <w:szCs w:val="24"/>
              </w:rPr>
              <w:t>人员数量符合本项目要求，各环节人员分配齐全，有工作目标、内部管理规章制度，人员经验丰富、配合默契</w:t>
            </w:r>
            <w:r>
              <w:rPr>
                <w:rFonts w:ascii="宋体" w:hAnsi="宋体" w:eastAsia="宋体" w:cs="宋体"/>
                <w:spacing w:val="-6"/>
                <w:sz w:val="24"/>
                <w:szCs w:val="24"/>
              </w:rPr>
              <w:t>等：</w:t>
            </w:r>
          </w:p>
          <w:p w14:paraId="0891B11D">
            <w:pPr>
              <w:spacing w:before="1" w:line="354" w:lineRule="auto"/>
              <w:ind w:left="152" w:right="198" w:hanging="44"/>
              <w:rPr>
                <w:rFonts w:ascii="宋体" w:hAnsi="宋体" w:eastAsia="宋体" w:cs="宋体"/>
                <w:sz w:val="24"/>
                <w:szCs w:val="24"/>
              </w:rPr>
            </w:pPr>
            <w:r>
              <w:rPr>
                <w:rFonts w:ascii="宋体" w:hAnsi="宋体" w:eastAsia="宋体" w:cs="宋体"/>
                <w:spacing w:val="-1"/>
                <w:sz w:val="24"/>
                <w:szCs w:val="24"/>
              </w:rPr>
              <w:t>a.项目管理组织完备，各环节人员分配合理、齐全，项</w:t>
            </w:r>
            <w:r>
              <w:rPr>
                <w:rFonts w:ascii="宋体" w:hAnsi="宋体" w:eastAsia="宋体" w:cs="宋体"/>
                <w:spacing w:val="-4"/>
                <w:sz w:val="24"/>
                <w:szCs w:val="24"/>
              </w:rPr>
              <w:t>目实施和管理制度规范，针对性强，得8分；</w:t>
            </w:r>
          </w:p>
          <w:p w14:paraId="1CDAE8EA">
            <w:pPr>
              <w:spacing w:before="1" w:line="353" w:lineRule="auto"/>
              <w:ind w:left="109" w:right="198" w:hanging="6"/>
              <w:rPr>
                <w:rFonts w:ascii="宋体" w:hAnsi="宋体" w:eastAsia="宋体" w:cs="宋体"/>
                <w:spacing w:val="-1"/>
                <w:sz w:val="24"/>
                <w:szCs w:val="24"/>
              </w:rPr>
            </w:pPr>
            <w:r>
              <w:rPr>
                <w:rFonts w:ascii="宋体" w:hAnsi="宋体" w:eastAsia="宋体" w:cs="宋体"/>
                <w:spacing w:val="-1"/>
                <w:sz w:val="24"/>
                <w:szCs w:val="24"/>
              </w:rPr>
              <w:t>b.项目管理组织一般，针对项目各环节人员分配基本合</w:t>
            </w:r>
            <w:r>
              <w:rPr>
                <w:rFonts w:ascii="宋体" w:hAnsi="宋体" w:eastAsia="宋体" w:cs="宋体"/>
                <w:spacing w:val="-2"/>
                <w:sz w:val="24"/>
                <w:szCs w:val="24"/>
              </w:rPr>
              <w:t>理，项目实施和管理制</w:t>
            </w:r>
            <w:r>
              <w:rPr>
                <w:rFonts w:ascii="宋体" w:hAnsi="宋体" w:eastAsia="宋体" w:cs="宋体"/>
                <w:spacing w:val="-1"/>
                <w:sz w:val="24"/>
                <w:szCs w:val="24"/>
              </w:rPr>
              <w:t>度一般，针对性一般，得</w:t>
            </w:r>
            <w:r>
              <w:rPr>
                <w:rFonts w:hint="eastAsia" w:ascii="宋体" w:hAnsi="宋体" w:eastAsia="宋体" w:cs="宋体"/>
                <w:spacing w:val="-1"/>
                <w:sz w:val="24"/>
                <w:szCs w:val="24"/>
                <w:lang w:val="en-US" w:eastAsia="zh-CN"/>
              </w:rPr>
              <w:t>5</w:t>
            </w:r>
            <w:r>
              <w:rPr>
                <w:rFonts w:ascii="宋体" w:hAnsi="宋体" w:eastAsia="宋体" w:cs="宋体"/>
                <w:spacing w:val="-1"/>
                <w:sz w:val="24"/>
                <w:szCs w:val="24"/>
              </w:rPr>
              <w:t>分；</w:t>
            </w:r>
          </w:p>
          <w:p w14:paraId="534A7656">
            <w:pPr>
              <w:spacing w:before="1" w:line="353" w:lineRule="auto"/>
              <w:ind w:left="109" w:right="198" w:hanging="6"/>
              <w:rPr>
                <w:rFonts w:ascii="宋体" w:hAnsi="宋体" w:eastAsia="宋体" w:cs="宋体"/>
                <w:spacing w:val="-1"/>
                <w:sz w:val="24"/>
                <w:szCs w:val="24"/>
              </w:rPr>
            </w:pPr>
            <w:r>
              <w:rPr>
                <w:rFonts w:ascii="宋体" w:hAnsi="宋体" w:eastAsia="宋体" w:cs="宋体"/>
                <w:spacing w:val="-1"/>
                <w:sz w:val="24"/>
                <w:szCs w:val="24"/>
              </w:rPr>
              <w:t>c.项目管理组织差，针对项目各环节人员分配不够合理，项目实施和管理制度差，针对性差，得2分；</w:t>
            </w:r>
          </w:p>
          <w:p w14:paraId="4F70F477">
            <w:pPr>
              <w:spacing w:before="1" w:line="353" w:lineRule="auto"/>
              <w:ind w:left="109" w:right="198" w:hanging="6"/>
              <w:rPr>
                <w:rFonts w:hint="eastAsia" w:ascii="宋体" w:hAnsi="宋体" w:eastAsia="宋体" w:cs="宋体"/>
                <w:color w:val="auto"/>
                <w:sz w:val="24"/>
                <w:szCs w:val="24"/>
                <w:highlight w:val="none"/>
                <w:lang w:val="en-US" w:eastAsia="zh-CN"/>
              </w:rPr>
            </w:pPr>
            <w:r>
              <w:rPr>
                <w:rFonts w:ascii="宋体" w:hAnsi="宋体" w:eastAsia="宋体" w:cs="宋体"/>
                <w:spacing w:val="-1"/>
                <w:sz w:val="24"/>
                <w:szCs w:val="24"/>
              </w:rPr>
              <w:t>d.未提供，得0分。</w:t>
            </w:r>
          </w:p>
        </w:tc>
        <w:tc>
          <w:tcPr>
            <w:tcW w:w="934" w:type="dxa"/>
            <w:vAlign w:val="center"/>
          </w:tcPr>
          <w:p w14:paraId="28157CC5">
            <w:pPr>
              <w:keepNext w:val="0"/>
              <w:keepLines w:val="0"/>
              <w:pageBreakBefore w:val="0"/>
              <w:kinsoku/>
              <w:wordWrap/>
              <w:overflowPunct/>
              <w:topLinePunct w:val="0"/>
              <w:autoSpaceDE/>
              <w:autoSpaceDN/>
              <w:bidi w:val="0"/>
              <w:adjustRightInd/>
              <w:snapToGrid w:val="0"/>
              <w:spacing w:line="440" w:lineRule="exact"/>
              <w:jc w:val="center"/>
              <w:textAlignment w:val="auto"/>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分</w:t>
            </w:r>
          </w:p>
        </w:tc>
      </w:tr>
      <w:tr w14:paraId="2C2071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4228" w:hRule="atLeast"/>
        </w:trPr>
        <w:tc>
          <w:tcPr>
            <w:tcW w:w="1180" w:type="dxa"/>
            <w:vMerge w:val="continue"/>
            <w:tcBorders>
              <w:left w:val="single" w:color="auto" w:sz="4" w:space="0"/>
              <w:right w:val="single" w:color="auto" w:sz="4" w:space="0"/>
            </w:tcBorders>
            <w:vAlign w:val="center"/>
          </w:tcPr>
          <w:p w14:paraId="12AAE1D8">
            <w:pPr>
              <w:snapToGrid w:val="0"/>
              <w:jc w:val="center"/>
              <w:rPr>
                <w:rFonts w:ascii="宋体" w:hAnsi="宋体" w:eastAsia="宋体" w:cs="Times New Roman"/>
                <w:sz w:val="24"/>
                <w:szCs w:val="24"/>
                <w:highlight w:val="none"/>
              </w:rPr>
            </w:pPr>
          </w:p>
        </w:tc>
        <w:tc>
          <w:tcPr>
            <w:tcW w:w="1183" w:type="dxa"/>
            <w:tcBorders>
              <w:left w:val="single" w:color="auto" w:sz="4" w:space="0"/>
            </w:tcBorders>
            <w:vAlign w:val="center"/>
          </w:tcPr>
          <w:p w14:paraId="1F4AAD47">
            <w:pPr>
              <w:keepNext w:val="0"/>
              <w:keepLines w:val="0"/>
              <w:pageBreakBefore w:val="0"/>
              <w:kinsoku/>
              <w:wordWrap/>
              <w:overflowPunct/>
              <w:topLinePunct w:val="0"/>
              <w:autoSpaceDE/>
              <w:autoSpaceDN/>
              <w:bidi w:val="0"/>
              <w:adjustRightInd/>
              <w:spacing w:line="440" w:lineRule="exact"/>
              <w:ind w:firstLine="0" w:firstLineChars="0"/>
              <w:jc w:val="center"/>
              <w:textAlignment w:val="auto"/>
              <w:rPr>
                <w:rFonts w:hint="eastAsia" w:ascii="宋体" w:hAnsi="宋体" w:eastAsia="宋体" w:cs="宋体"/>
                <w:sz w:val="24"/>
                <w:szCs w:val="24"/>
              </w:rPr>
            </w:pPr>
            <w:r>
              <w:rPr>
                <w:rFonts w:ascii="宋体" w:hAnsi="宋体" w:eastAsia="宋体" w:cs="宋体"/>
                <w:b/>
                <w:bCs/>
                <w:spacing w:val="-5"/>
                <w:sz w:val="24"/>
                <w:szCs w:val="24"/>
              </w:rPr>
              <w:t>人员培训</w:t>
            </w:r>
            <w:r>
              <w:rPr>
                <w:rFonts w:ascii="宋体" w:hAnsi="宋体" w:eastAsia="宋体" w:cs="宋体"/>
                <w:b/>
                <w:bCs/>
                <w:spacing w:val="-11"/>
                <w:sz w:val="24"/>
                <w:szCs w:val="24"/>
              </w:rPr>
              <w:t>（8分）</w:t>
            </w:r>
          </w:p>
        </w:tc>
        <w:tc>
          <w:tcPr>
            <w:tcW w:w="6100" w:type="dxa"/>
            <w:vAlign w:val="center"/>
          </w:tcPr>
          <w:p w14:paraId="2BDB624C">
            <w:pPr>
              <w:spacing w:before="1" w:line="353" w:lineRule="auto"/>
              <w:ind w:left="106" w:right="34" w:hanging="3"/>
              <w:rPr>
                <w:rFonts w:ascii="宋体" w:hAnsi="宋体" w:eastAsia="宋体" w:cs="宋体"/>
                <w:spacing w:val="-3"/>
                <w:sz w:val="24"/>
                <w:szCs w:val="24"/>
              </w:rPr>
            </w:pPr>
            <w:r>
              <w:rPr>
                <w:rFonts w:hint="eastAsia" w:ascii="宋体" w:hAnsi="宋体" w:eastAsia="宋体" w:cs="宋体"/>
                <w:spacing w:val="-3"/>
                <w:sz w:val="24"/>
                <w:szCs w:val="24"/>
                <w:lang w:val="en-US" w:eastAsia="zh-CN"/>
              </w:rPr>
              <w:t>供应商</w:t>
            </w:r>
            <w:r>
              <w:rPr>
                <w:rFonts w:ascii="宋体" w:hAnsi="宋体" w:eastAsia="宋体" w:cs="宋体"/>
                <w:spacing w:val="-3"/>
                <w:sz w:val="24"/>
                <w:szCs w:val="24"/>
              </w:rPr>
              <w:t>结合</w:t>
            </w:r>
            <w:r>
              <w:rPr>
                <w:rFonts w:hint="eastAsia" w:ascii="宋体" w:hAnsi="宋体" w:eastAsia="宋体" w:cs="宋体"/>
                <w:spacing w:val="-3"/>
                <w:sz w:val="24"/>
                <w:szCs w:val="24"/>
                <w:lang w:val="en-US" w:eastAsia="zh-CN"/>
              </w:rPr>
              <w:t>医院的</w:t>
            </w:r>
            <w:r>
              <w:rPr>
                <w:rFonts w:ascii="宋体" w:hAnsi="宋体" w:eastAsia="宋体" w:cs="宋体"/>
                <w:spacing w:val="-3"/>
                <w:sz w:val="24"/>
                <w:szCs w:val="24"/>
              </w:rPr>
              <w:t>特点对安保人员开展针对性培训，有具体</w:t>
            </w:r>
            <w:r>
              <w:rPr>
                <w:rFonts w:hint="eastAsia" w:ascii="宋体" w:hAnsi="宋体" w:eastAsia="宋体" w:cs="宋体"/>
                <w:spacing w:val="-3"/>
                <w:sz w:val="24"/>
                <w:szCs w:val="24"/>
                <w:lang w:val="en-US" w:eastAsia="zh-CN"/>
              </w:rPr>
              <w:t>的培训</w:t>
            </w:r>
            <w:r>
              <w:rPr>
                <w:rFonts w:ascii="宋体" w:hAnsi="宋体" w:eastAsia="宋体" w:cs="宋体"/>
                <w:spacing w:val="-3"/>
                <w:sz w:val="24"/>
                <w:szCs w:val="24"/>
              </w:rPr>
              <w:t>方案：</w:t>
            </w:r>
          </w:p>
          <w:p w14:paraId="41E326DE">
            <w:pPr>
              <w:spacing w:before="1" w:line="353" w:lineRule="auto"/>
              <w:ind w:left="106" w:right="34" w:hanging="3"/>
              <w:rPr>
                <w:rFonts w:ascii="宋体" w:hAnsi="宋体" w:eastAsia="宋体" w:cs="宋体"/>
                <w:spacing w:val="-3"/>
                <w:sz w:val="24"/>
                <w:szCs w:val="24"/>
              </w:rPr>
            </w:pPr>
            <w:r>
              <w:rPr>
                <w:rFonts w:ascii="宋体" w:hAnsi="宋体" w:eastAsia="宋体" w:cs="宋体"/>
                <w:spacing w:val="-3"/>
                <w:sz w:val="24"/>
                <w:szCs w:val="24"/>
              </w:rPr>
              <w:t>a.</w:t>
            </w:r>
            <w:r>
              <w:rPr>
                <w:rFonts w:hint="eastAsia" w:ascii="宋体" w:hAnsi="宋体" w:eastAsia="宋体" w:cs="宋体"/>
                <w:spacing w:val="-3"/>
                <w:sz w:val="24"/>
                <w:szCs w:val="24"/>
                <w:lang w:val="en-US" w:eastAsia="zh-CN"/>
              </w:rPr>
              <w:t>人员培训方案</w:t>
            </w:r>
            <w:r>
              <w:rPr>
                <w:rFonts w:ascii="宋体" w:hAnsi="宋体" w:eastAsia="宋体" w:cs="宋体"/>
                <w:spacing w:val="-3"/>
                <w:sz w:val="24"/>
                <w:szCs w:val="24"/>
              </w:rPr>
              <w:t>内容详实、思路合理，计划考虑周全，针对性强，优秀的，得8分；</w:t>
            </w:r>
          </w:p>
          <w:p w14:paraId="6C5DA9B3">
            <w:pPr>
              <w:spacing w:before="1" w:line="353" w:lineRule="auto"/>
              <w:ind w:left="106" w:right="34" w:hanging="3"/>
              <w:rPr>
                <w:rFonts w:ascii="宋体" w:hAnsi="宋体" w:eastAsia="宋体" w:cs="宋体"/>
                <w:spacing w:val="-3"/>
                <w:sz w:val="24"/>
                <w:szCs w:val="24"/>
              </w:rPr>
            </w:pPr>
            <w:r>
              <w:rPr>
                <w:rFonts w:ascii="宋体" w:hAnsi="宋体" w:eastAsia="宋体" w:cs="宋体"/>
                <w:spacing w:val="-3"/>
                <w:sz w:val="24"/>
                <w:szCs w:val="24"/>
              </w:rPr>
              <w:t>b.</w:t>
            </w:r>
            <w:r>
              <w:rPr>
                <w:rFonts w:hint="eastAsia" w:ascii="宋体" w:hAnsi="宋体" w:eastAsia="宋体" w:cs="宋体"/>
                <w:spacing w:val="-3"/>
                <w:sz w:val="24"/>
                <w:szCs w:val="24"/>
                <w:lang w:val="en-US" w:eastAsia="zh-CN"/>
              </w:rPr>
              <w:t>人员培训方案</w:t>
            </w:r>
            <w:r>
              <w:rPr>
                <w:rFonts w:ascii="宋体" w:hAnsi="宋体" w:eastAsia="宋体" w:cs="宋体"/>
                <w:spacing w:val="-3"/>
                <w:sz w:val="24"/>
                <w:szCs w:val="24"/>
              </w:rPr>
              <w:t>内容合理，思路基本周全，计划基本考虑周全、到位，针对性较强，良好的，得</w:t>
            </w:r>
            <w:r>
              <w:rPr>
                <w:rFonts w:hint="eastAsia" w:ascii="宋体" w:hAnsi="宋体" w:eastAsia="宋体" w:cs="宋体"/>
                <w:spacing w:val="-3"/>
                <w:sz w:val="24"/>
                <w:szCs w:val="24"/>
                <w:lang w:val="en-US" w:eastAsia="zh-CN"/>
              </w:rPr>
              <w:t>5</w:t>
            </w:r>
            <w:r>
              <w:rPr>
                <w:rFonts w:ascii="宋体" w:hAnsi="宋体" w:eastAsia="宋体" w:cs="宋体"/>
                <w:spacing w:val="-3"/>
                <w:sz w:val="24"/>
                <w:szCs w:val="24"/>
              </w:rPr>
              <w:t>分；</w:t>
            </w:r>
          </w:p>
          <w:p w14:paraId="5EF89279">
            <w:pPr>
              <w:spacing w:before="1" w:line="353" w:lineRule="auto"/>
              <w:ind w:left="106" w:right="34" w:hanging="3"/>
              <w:rPr>
                <w:rFonts w:ascii="宋体" w:hAnsi="宋体" w:eastAsia="宋体" w:cs="宋体"/>
                <w:spacing w:val="-3"/>
                <w:sz w:val="24"/>
                <w:szCs w:val="24"/>
              </w:rPr>
            </w:pPr>
            <w:r>
              <w:rPr>
                <w:rFonts w:ascii="宋体" w:hAnsi="宋体" w:eastAsia="宋体" w:cs="宋体"/>
                <w:spacing w:val="-3"/>
                <w:sz w:val="24"/>
                <w:szCs w:val="24"/>
              </w:rPr>
              <w:t>c.</w:t>
            </w:r>
            <w:r>
              <w:rPr>
                <w:rFonts w:hint="eastAsia" w:ascii="宋体" w:hAnsi="宋体" w:eastAsia="宋体" w:cs="宋体"/>
                <w:spacing w:val="-3"/>
                <w:sz w:val="24"/>
                <w:szCs w:val="24"/>
                <w:lang w:val="en-US" w:eastAsia="zh-CN"/>
              </w:rPr>
              <w:t>人员培训方案</w:t>
            </w:r>
            <w:r>
              <w:rPr>
                <w:rFonts w:ascii="宋体" w:hAnsi="宋体" w:eastAsia="宋体" w:cs="宋体"/>
                <w:spacing w:val="-3"/>
                <w:sz w:val="24"/>
                <w:szCs w:val="24"/>
              </w:rPr>
              <w:t>内容基本完整、思路基本合理，计划基本考虑不周，针对性不强，得2分；</w:t>
            </w:r>
          </w:p>
          <w:p w14:paraId="2D070F1B">
            <w:pPr>
              <w:spacing w:before="1" w:line="353" w:lineRule="auto"/>
              <w:ind w:left="106" w:right="34" w:hanging="3"/>
              <w:rPr>
                <w:rFonts w:hint="eastAsia" w:ascii="宋体" w:hAnsi="宋体" w:eastAsia="宋体" w:cs="宋体"/>
                <w:spacing w:val="-3"/>
                <w:sz w:val="24"/>
                <w:szCs w:val="24"/>
              </w:rPr>
            </w:pPr>
            <w:r>
              <w:rPr>
                <w:rFonts w:ascii="宋体" w:hAnsi="宋体" w:eastAsia="宋体" w:cs="宋体"/>
                <w:spacing w:val="-3"/>
                <w:sz w:val="24"/>
                <w:szCs w:val="24"/>
              </w:rPr>
              <w:t>d.未提供，得0分。</w:t>
            </w:r>
          </w:p>
        </w:tc>
        <w:tc>
          <w:tcPr>
            <w:tcW w:w="934" w:type="dxa"/>
            <w:vAlign w:val="center"/>
          </w:tcPr>
          <w:p w14:paraId="63027DC7">
            <w:pPr>
              <w:keepNext w:val="0"/>
              <w:keepLines w:val="0"/>
              <w:pageBreakBefore w:val="0"/>
              <w:kinsoku/>
              <w:wordWrap/>
              <w:overflowPunct/>
              <w:topLinePunct w:val="0"/>
              <w:autoSpaceDE/>
              <w:autoSpaceDN/>
              <w:bidi w:val="0"/>
              <w:adjustRightInd/>
              <w:snapToGrid w:val="0"/>
              <w:spacing w:line="440" w:lineRule="exact"/>
              <w:jc w:val="center"/>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8分</w:t>
            </w:r>
          </w:p>
        </w:tc>
      </w:tr>
      <w:tr w14:paraId="2A7899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4661" w:hRule="atLeast"/>
        </w:trPr>
        <w:tc>
          <w:tcPr>
            <w:tcW w:w="1180" w:type="dxa"/>
            <w:vMerge w:val="continue"/>
            <w:tcBorders>
              <w:left w:val="single" w:color="auto" w:sz="4" w:space="0"/>
              <w:right w:val="single" w:color="auto" w:sz="4" w:space="0"/>
            </w:tcBorders>
            <w:vAlign w:val="center"/>
          </w:tcPr>
          <w:p w14:paraId="2C173DBF">
            <w:pPr>
              <w:snapToGrid w:val="0"/>
              <w:jc w:val="center"/>
              <w:rPr>
                <w:rFonts w:ascii="宋体" w:hAnsi="宋体" w:eastAsia="宋体" w:cs="Times New Roman"/>
                <w:sz w:val="24"/>
                <w:szCs w:val="24"/>
                <w:highlight w:val="none"/>
              </w:rPr>
            </w:pPr>
          </w:p>
        </w:tc>
        <w:tc>
          <w:tcPr>
            <w:tcW w:w="1183" w:type="dxa"/>
            <w:tcBorders>
              <w:left w:val="single" w:color="auto" w:sz="4" w:space="0"/>
            </w:tcBorders>
            <w:vAlign w:val="center"/>
          </w:tcPr>
          <w:p w14:paraId="1D10831C">
            <w:pPr>
              <w:keepNext w:val="0"/>
              <w:keepLines w:val="0"/>
              <w:pageBreakBefore w:val="0"/>
              <w:kinsoku/>
              <w:wordWrap/>
              <w:overflowPunct/>
              <w:topLinePunct w:val="0"/>
              <w:autoSpaceDE/>
              <w:autoSpaceDN/>
              <w:bidi w:val="0"/>
              <w:adjustRightInd/>
              <w:spacing w:line="440" w:lineRule="exact"/>
              <w:ind w:firstLine="0" w:firstLineChars="0"/>
              <w:jc w:val="center"/>
              <w:textAlignment w:val="auto"/>
              <w:rPr>
                <w:rFonts w:ascii="宋体" w:hAnsi="宋体" w:eastAsia="宋体" w:cs="宋体"/>
                <w:b/>
                <w:bCs/>
                <w:spacing w:val="-5"/>
                <w:sz w:val="24"/>
                <w:szCs w:val="24"/>
              </w:rPr>
            </w:pPr>
            <w:r>
              <w:rPr>
                <w:rFonts w:ascii="宋体" w:hAnsi="宋体" w:eastAsia="宋体" w:cs="宋体"/>
                <w:b/>
                <w:bCs/>
                <w:spacing w:val="-5"/>
                <w:sz w:val="24"/>
                <w:szCs w:val="24"/>
              </w:rPr>
              <w:t>重大突发事件和保障任务应急预案</w:t>
            </w:r>
          </w:p>
          <w:p w14:paraId="4695379D">
            <w:pPr>
              <w:keepNext w:val="0"/>
              <w:keepLines w:val="0"/>
              <w:pageBreakBefore w:val="0"/>
              <w:kinsoku/>
              <w:wordWrap/>
              <w:overflowPunct/>
              <w:topLinePunct w:val="0"/>
              <w:autoSpaceDE/>
              <w:autoSpaceDN/>
              <w:bidi w:val="0"/>
              <w:adjustRightInd/>
              <w:spacing w:line="440" w:lineRule="exact"/>
              <w:ind w:firstLine="0" w:firstLineChars="0"/>
              <w:jc w:val="center"/>
              <w:textAlignment w:val="auto"/>
              <w:rPr>
                <w:rFonts w:hint="eastAsia" w:ascii="宋体" w:hAnsi="宋体" w:eastAsia="宋体" w:cs="宋体"/>
                <w:b/>
                <w:bCs/>
                <w:spacing w:val="-5"/>
                <w:sz w:val="24"/>
                <w:szCs w:val="24"/>
              </w:rPr>
            </w:pPr>
            <w:r>
              <w:rPr>
                <w:rFonts w:ascii="宋体" w:hAnsi="宋体" w:eastAsia="宋体" w:cs="宋体"/>
                <w:b/>
                <w:bCs/>
                <w:spacing w:val="-5"/>
                <w:sz w:val="24"/>
                <w:szCs w:val="24"/>
              </w:rPr>
              <w:t>（</w:t>
            </w:r>
            <w:r>
              <w:rPr>
                <w:rFonts w:hint="eastAsia" w:ascii="宋体" w:hAnsi="宋体" w:eastAsia="宋体" w:cs="宋体"/>
                <w:b/>
                <w:bCs/>
                <w:spacing w:val="-5"/>
                <w:sz w:val="24"/>
                <w:szCs w:val="24"/>
                <w:lang w:val="en-US" w:eastAsia="zh-CN"/>
              </w:rPr>
              <w:t>8</w:t>
            </w:r>
            <w:r>
              <w:rPr>
                <w:rFonts w:ascii="宋体" w:hAnsi="宋体" w:eastAsia="宋体" w:cs="宋体"/>
                <w:b/>
                <w:bCs/>
                <w:spacing w:val="-5"/>
                <w:sz w:val="24"/>
                <w:szCs w:val="24"/>
              </w:rPr>
              <w:t>分）</w:t>
            </w:r>
          </w:p>
        </w:tc>
        <w:tc>
          <w:tcPr>
            <w:tcW w:w="6100" w:type="dxa"/>
            <w:vAlign w:val="center"/>
          </w:tcPr>
          <w:p w14:paraId="356F409D">
            <w:pPr>
              <w:spacing w:before="1" w:line="353" w:lineRule="auto"/>
              <w:ind w:left="106" w:right="34" w:hanging="3"/>
              <w:rPr>
                <w:rFonts w:hint="eastAsia" w:ascii="宋体" w:hAnsi="宋体" w:eastAsia="宋体" w:cs="宋体"/>
                <w:spacing w:val="-3"/>
                <w:sz w:val="24"/>
                <w:szCs w:val="24"/>
                <w:lang w:eastAsia="zh-CN"/>
              </w:rPr>
            </w:pPr>
            <w:r>
              <w:rPr>
                <w:rFonts w:ascii="宋体" w:hAnsi="宋体" w:eastAsia="宋体" w:cs="宋体"/>
                <w:spacing w:val="-3"/>
                <w:sz w:val="24"/>
                <w:szCs w:val="24"/>
              </w:rPr>
              <w:t>供应商应针对本项目</w:t>
            </w:r>
            <w:r>
              <w:rPr>
                <w:rFonts w:hint="eastAsia" w:ascii="宋体" w:hAnsi="宋体" w:eastAsia="宋体" w:cs="宋体"/>
                <w:spacing w:val="-3"/>
                <w:sz w:val="24"/>
                <w:szCs w:val="24"/>
                <w:lang w:val="en-US" w:eastAsia="zh-CN"/>
              </w:rPr>
              <w:t>的特点</w:t>
            </w:r>
            <w:r>
              <w:rPr>
                <w:rFonts w:ascii="宋体" w:hAnsi="宋体" w:eastAsia="宋体" w:cs="宋体"/>
                <w:spacing w:val="-3"/>
                <w:sz w:val="24"/>
                <w:szCs w:val="24"/>
              </w:rPr>
              <w:t>提供重大突发事件和保障任务应急预案</w:t>
            </w:r>
            <w:r>
              <w:rPr>
                <w:rFonts w:hint="eastAsia" w:ascii="宋体" w:hAnsi="宋体" w:eastAsia="宋体" w:cs="宋体"/>
                <w:spacing w:val="-3"/>
                <w:sz w:val="24"/>
                <w:szCs w:val="24"/>
                <w:lang w:eastAsia="zh-CN"/>
              </w:rPr>
              <w:t>：</w:t>
            </w:r>
          </w:p>
          <w:p w14:paraId="037DD4DA">
            <w:pPr>
              <w:spacing w:before="1" w:line="353" w:lineRule="auto"/>
              <w:ind w:left="106" w:right="34" w:hanging="3"/>
              <w:rPr>
                <w:rFonts w:ascii="宋体" w:hAnsi="宋体" w:eastAsia="宋体" w:cs="宋体"/>
                <w:spacing w:val="-3"/>
                <w:sz w:val="24"/>
                <w:szCs w:val="24"/>
              </w:rPr>
            </w:pPr>
            <w:r>
              <w:rPr>
                <w:rFonts w:ascii="宋体" w:hAnsi="宋体" w:eastAsia="宋体" w:cs="宋体"/>
                <w:spacing w:val="-3"/>
                <w:sz w:val="24"/>
                <w:szCs w:val="24"/>
              </w:rPr>
              <w:t>a.应急预案的科学合理性、完整性打分内容详实，考虑周全，方案科学、合理，具有非常好的针对性、适用性、可操作性和可扩展性，得</w:t>
            </w:r>
            <w:r>
              <w:rPr>
                <w:rFonts w:hint="eastAsia" w:ascii="宋体" w:hAnsi="宋体" w:eastAsia="宋体" w:cs="宋体"/>
                <w:spacing w:val="-3"/>
                <w:sz w:val="24"/>
                <w:szCs w:val="24"/>
                <w:lang w:val="en-US" w:eastAsia="zh-CN"/>
              </w:rPr>
              <w:t>8</w:t>
            </w:r>
            <w:r>
              <w:rPr>
                <w:rFonts w:ascii="宋体" w:hAnsi="宋体" w:eastAsia="宋体" w:cs="宋体"/>
                <w:spacing w:val="-3"/>
                <w:sz w:val="24"/>
                <w:szCs w:val="24"/>
              </w:rPr>
              <w:t>分；</w:t>
            </w:r>
          </w:p>
          <w:p w14:paraId="11263D4D">
            <w:pPr>
              <w:spacing w:before="1" w:line="353" w:lineRule="auto"/>
              <w:ind w:left="106" w:right="34" w:hanging="3"/>
              <w:rPr>
                <w:rFonts w:ascii="宋体" w:hAnsi="宋体" w:eastAsia="宋体" w:cs="宋体"/>
                <w:spacing w:val="-3"/>
                <w:sz w:val="24"/>
                <w:szCs w:val="24"/>
              </w:rPr>
            </w:pPr>
            <w:r>
              <w:rPr>
                <w:rFonts w:ascii="宋体" w:hAnsi="宋体" w:eastAsia="宋体" w:cs="宋体"/>
                <w:spacing w:val="-3"/>
                <w:sz w:val="24"/>
                <w:szCs w:val="24"/>
              </w:rPr>
              <w:t>b.内容完整，基本考虑周全，方案基本科学、合理、具有较好的针对性、适用性、可操作性和可扩展性，得</w:t>
            </w:r>
            <w:r>
              <w:rPr>
                <w:rFonts w:hint="eastAsia" w:ascii="宋体" w:hAnsi="宋体" w:eastAsia="宋体" w:cs="宋体"/>
                <w:spacing w:val="-3"/>
                <w:sz w:val="24"/>
                <w:szCs w:val="24"/>
                <w:lang w:val="en-US" w:eastAsia="zh-CN"/>
              </w:rPr>
              <w:t>5</w:t>
            </w:r>
            <w:r>
              <w:rPr>
                <w:rFonts w:ascii="宋体" w:hAnsi="宋体" w:eastAsia="宋体" w:cs="宋体"/>
                <w:spacing w:val="-3"/>
                <w:sz w:val="24"/>
                <w:szCs w:val="24"/>
              </w:rPr>
              <w:t>分；</w:t>
            </w:r>
          </w:p>
          <w:p w14:paraId="5493B25B">
            <w:pPr>
              <w:spacing w:before="1" w:line="353" w:lineRule="auto"/>
              <w:ind w:left="106" w:right="34" w:hanging="3"/>
              <w:rPr>
                <w:rFonts w:ascii="宋体" w:hAnsi="宋体" w:eastAsia="宋体" w:cs="宋体"/>
                <w:spacing w:val="-3"/>
                <w:sz w:val="24"/>
                <w:szCs w:val="24"/>
              </w:rPr>
            </w:pPr>
            <w:r>
              <w:rPr>
                <w:rFonts w:ascii="宋体" w:hAnsi="宋体" w:eastAsia="宋体" w:cs="宋体"/>
                <w:spacing w:val="-3"/>
                <w:sz w:val="24"/>
                <w:szCs w:val="24"/>
              </w:rPr>
              <w:t>c.内容基本完整，方案在科学、合理性方面一般，针对性、适用性、可操作性和可扩展性不强，得2分；</w:t>
            </w:r>
          </w:p>
          <w:p w14:paraId="26B4C242">
            <w:pPr>
              <w:spacing w:before="1" w:line="353" w:lineRule="auto"/>
              <w:ind w:left="106" w:right="34" w:hanging="3"/>
              <w:rPr>
                <w:rFonts w:hint="eastAsia" w:ascii="宋体" w:hAnsi="宋体" w:eastAsia="宋体" w:cs="宋体"/>
                <w:spacing w:val="-3"/>
                <w:sz w:val="24"/>
                <w:szCs w:val="24"/>
              </w:rPr>
            </w:pPr>
            <w:r>
              <w:rPr>
                <w:rFonts w:ascii="宋体" w:hAnsi="宋体" w:eastAsia="宋体" w:cs="宋体"/>
                <w:spacing w:val="-3"/>
                <w:sz w:val="24"/>
                <w:szCs w:val="24"/>
              </w:rPr>
              <w:t>d.未提供，得0分。</w:t>
            </w:r>
          </w:p>
        </w:tc>
        <w:tc>
          <w:tcPr>
            <w:tcW w:w="934" w:type="dxa"/>
            <w:vAlign w:val="center"/>
          </w:tcPr>
          <w:p w14:paraId="78AD7600">
            <w:pPr>
              <w:keepNext w:val="0"/>
              <w:keepLines w:val="0"/>
              <w:pageBreakBefore w:val="0"/>
              <w:kinsoku/>
              <w:wordWrap/>
              <w:overflowPunct/>
              <w:topLinePunct w:val="0"/>
              <w:autoSpaceDE/>
              <w:autoSpaceDN/>
              <w:bidi w:val="0"/>
              <w:adjustRightInd/>
              <w:snapToGrid w:val="0"/>
              <w:spacing w:line="440" w:lineRule="exact"/>
              <w:jc w:val="center"/>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8分</w:t>
            </w:r>
          </w:p>
        </w:tc>
      </w:tr>
      <w:tr w14:paraId="6BF35B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650" w:hRule="atLeast"/>
        </w:trPr>
        <w:tc>
          <w:tcPr>
            <w:tcW w:w="1180" w:type="dxa"/>
            <w:vMerge w:val="continue"/>
            <w:tcBorders>
              <w:left w:val="single" w:color="auto" w:sz="4" w:space="0"/>
              <w:right w:val="single" w:color="auto" w:sz="4" w:space="0"/>
            </w:tcBorders>
            <w:vAlign w:val="center"/>
          </w:tcPr>
          <w:p w14:paraId="7283DAD8">
            <w:pPr>
              <w:snapToGrid w:val="0"/>
              <w:jc w:val="center"/>
              <w:rPr>
                <w:rFonts w:ascii="宋体" w:hAnsi="宋体" w:eastAsia="宋体" w:cs="Times New Roman"/>
                <w:sz w:val="24"/>
                <w:szCs w:val="24"/>
                <w:highlight w:val="none"/>
              </w:rPr>
            </w:pPr>
          </w:p>
        </w:tc>
        <w:tc>
          <w:tcPr>
            <w:tcW w:w="1183" w:type="dxa"/>
            <w:tcBorders>
              <w:left w:val="single" w:color="auto" w:sz="4" w:space="0"/>
            </w:tcBorders>
            <w:vAlign w:val="center"/>
          </w:tcPr>
          <w:p w14:paraId="288A1202">
            <w:pPr>
              <w:keepNext w:val="0"/>
              <w:keepLines w:val="0"/>
              <w:pageBreakBefore w:val="0"/>
              <w:kinsoku/>
              <w:wordWrap/>
              <w:overflowPunct/>
              <w:topLinePunct w:val="0"/>
              <w:autoSpaceDE/>
              <w:autoSpaceDN/>
              <w:bidi w:val="0"/>
              <w:adjustRightInd/>
              <w:spacing w:line="440" w:lineRule="exact"/>
              <w:ind w:firstLine="0" w:firstLineChars="0"/>
              <w:jc w:val="center"/>
              <w:textAlignment w:val="auto"/>
              <w:rPr>
                <w:rFonts w:ascii="宋体" w:hAnsi="宋体" w:eastAsia="宋体" w:cs="宋体"/>
                <w:b/>
                <w:bCs/>
                <w:spacing w:val="-5"/>
                <w:sz w:val="24"/>
                <w:szCs w:val="24"/>
              </w:rPr>
            </w:pPr>
            <w:r>
              <w:rPr>
                <w:rFonts w:ascii="宋体" w:hAnsi="宋体" w:eastAsia="宋体" w:cs="宋体"/>
                <w:b/>
                <w:bCs/>
                <w:spacing w:val="-5"/>
                <w:sz w:val="24"/>
                <w:szCs w:val="24"/>
              </w:rPr>
              <w:t>消防安全</w:t>
            </w:r>
          </w:p>
          <w:p w14:paraId="6474670D">
            <w:pPr>
              <w:keepNext w:val="0"/>
              <w:keepLines w:val="0"/>
              <w:pageBreakBefore w:val="0"/>
              <w:kinsoku/>
              <w:wordWrap/>
              <w:overflowPunct/>
              <w:topLinePunct w:val="0"/>
              <w:autoSpaceDE/>
              <w:autoSpaceDN/>
              <w:bidi w:val="0"/>
              <w:adjustRightInd/>
              <w:spacing w:line="440" w:lineRule="exact"/>
              <w:ind w:firstLine="0" w:firstLineChars="0"/>
              <w:jc w:val="center"/>
              <w:textAlignment w:val="auto"/>
              <w:rPr>
                <w:rFonts w:ascii="宋体" w:hAnsi="宋体" w:eastAsia="宋体" w:cs="宋体"/>
                <w:b/>
                <w:bCs/>
                <w:spacing w:val="-5"/>
                <w:sz w:val="24"/>
                <w:szCs w:val="24"/>
              </w:rPr>
            </w:pPr>
            <w:r>
              <w:rPr>
                <w:rFonts w:hint="eastAsia" w:ascii="宋体" w:hAnsi="宋体" w:eastAsia="宋体" w:cs="宋体"/>
                <w:b/>
                <w:bCs/>
                <w:spacing w:val="-5"/>
                <w:sz w:val="24"/>
                <w:szCs w:val="24"/>
                <w:lang w:val="en-US" w:eastAsia="zh-CN"/>
              </w:rPr>
              <w:t>保障</w:t>
            </w:r>
            <w:r>
              <w:rPr>
                <w:rFonts w:ascii="宋体" w:hAnsi="宋体" w:eastAsia="宋体" w:cs="宋体"/>
                <w:b/>
                <w:bCs/>
                <w:spacing w:val="-5"/>
                <w:sz w:val="24"/>
                <w:szCs w:val="24"/>
              </w:rPr>
              <w:t>措施</w:t>
            </w:r>
          </w:p>
          <w:p w14:paraId="696AE9F5">
            <w:pPr>
              <w:keepNext w:val="0"/>
              <w:keepLines w:val="0"/>
              <w:pageBreakBefore w:val="0"/>
              <w:kinsoku/>
              <w:wordWrap/>
              <w:overflowPunct/>
              <w:topLinePunct w:val="0"/>
              <w:autoSpaceDE/>
              <w:autoSpaceDN/>
              <w:bidi w:val="0"/>
              <w:adjustRightInd/>
              <w:spacing w:line="440" w:lineRule="exact"/>
              <w:ind w:firstLine="0" w:firstLineChars="0"/>
              <w:jc w:val="center"/>
              <w:textAlignment w:val="auto"/>
              <w:rPr>
                <w:rFonts w:ascii="宋体" w:hAnsi="宋体" w:eastAsia="宋体" w:cs="宋体"/>
                <w:b/>
                <w:bCs/>
                <w:spacing w:val="-5"/>
                <w:sz w:val="24"/>
                <w:szCs w:val="24"/>
              </w:rPr>
            </w:pPr>
            <w:r>
              <w:rPr>
                <w:rFonts w:ascii="宋体" w:hAnsi="宋体" w:eastAsia="宋体" w:cs="宋体"/>
                <w:b/>
                <w:bCs/>
                <w:spacing w:val="-5"/>
                <w:sz w:val="24"/>
                <w:szCs w:val="24"/>
              </w:rPr>
              <w:t>（</w:t>
            </w:r>
            <w:r>
              <w:rPr>
                <w:rFonts w:hint="eastAsia" w:ascii="宋体" w:hAnsi="宋体" w:eastAsia="宋体" w:cs="宋体"/>
                <w:b/>
                <w:bCs/>
                <w:spacing w:val="-5"/>
                <w:sz w:val="24"/>
                <w:szCs w:val="24"/>
                <w:lang w:val="en-US" w:eastAsia="zh-CN"/>
              </w:rPr>
              <w:t>6</w:t>
            </w:r>
            <w:r>
              <w:rPr>
                <w:rFonts w:ascii="宋体" w:hAnsi="宋体" w:eastAsia="宋体" w:cs="宋体"/>
                <w:b/>
                <w:bCs/>
                <w:spacing w:val="-5"/>
                <w:sz w:val="24"/>
                <w:szCs w:val="24"/>
              </w:rPr>
              <w:t>分）</w:t>
            </w:r>
          </w:p>
          <w:p w14:paraId="0AC86F18">
            <w:pPr>
              <w:keepNext w:val="0"/>
              <w:keepLines w:val="0"/>
              <w:pageBreakBefore w:val="0"/>
              <w:kinsoku/>
              <w:wordWrap/>
              <w:overflowPunct/>
              <w:topLinePunct w:val="0"/>
              <w:autoSpaceDE/>
              <w:autoSpaceDN/>
              <w:bidi w:val="0"/>
              <w:adjustRightInd/>
              <w:spacing w:line="440" w:lineRule="exact"/>
              <w:ind w:firstLine="0" w:firstLineChars="0"/>
              <w:jc w:val="center"/>
              <w:textAlignment w:val="auto"/>
              <w:rPr>
                <w:rFonts w:hint="eastAsia" w:ascii="宋体" w:hAnsi="宋体" w:eastAsia="宋体" w:cs="宋体"/>
                <w:b/>
                <w:bCs/>
                <w:spacing w:val="-5"/>
                <w:sz w:val="24"/>
                <w:szCs w:val="24"/>
              </w:rPr>
            </w:pPr>
          </w:p>
        </w:tc>
        <w:tc>
          <w:tcPr>
            <w:tcW w:w="6100" w:type="dxa"/>
            <w:vAlign w:val="center"/>
          </w:tcPr>
          <w:p w14:paraId="33A02520">
            <w:pPr>
              <w:spacing w:before="1" w:line="353" w:lineRule="auto"/>
              <w:ind w:left="106" w:right="34" w:hanging="3"/>
              <w:rPr>
                <w:rFonts w:hint="eastAsia" w:ascii="宋体" w:hAnsi="宋体" w:eastAsia="宋体" w:cs="宋体"/>
                <w:spacing w:val="-3"/>
                <w:sz w:val="24"/>
                <w:szCs w:val="24"/>
                <w:lang w:val="en-US" w:eastAsia="zh-CN"/>
              </w:rPr>
            </w:pPr>
            <w:r>
              <w:rPr>
                <w:rFonts w:hint="eastAsia" w:ascii="宋体" w:hAnsi="宋体" w:eastAsia="宋体" w:cs="宋体"/>
                <w:spacing w:val="-3"/>
                <w:sz w:val="24"/>
                <w:szCs w:val="24"/>
                <w:lang w:val="en-US" w:eastAsia="zh-CN"/>
              </w:rPr>
              <w:t>供应商应针对本项目的特点提供消防安全保障措施：</w:t>
            </w:r>
          </w:p>
          <w:p w14:paraId="18904392">
            <w:pPr>
              <w:spacing w:before="1" w:line="353" w:lineRule="auto"/>
              <w:ind w:left="106" w:right="34" w:hanging="3"/>
              <w:rPr>
                <w:rFonts w:hint="eastAsia" w:ascii="宋体" w:hAnsi="宋体" w:eastAsia="宋体" w:cs="宋体"/>
                <w:spacing w:val="-3"/>
                <w:sz w:val="24"/>
                <w:szCs w:val="24"/>
                <w:lang w:val="en-US" w:eastAsia="zh-CN"/>
              </w:rPr>
            </w:pPr>
            <w:r>
              <w:rPr>
                <w:rFonts w:hint="eastAsia" w:ascii="宋体" w:hAnsi="宋体" w:eastAsia="宋体" w:cs="宋体"/>
                <w:spacing w:val="-3"/>
                <w:sz w:val="24"/>
                <w:szCs w:val="24"/>
                <w:lang w:val="en-US" w:eastAsia="zh-CN"/>
              </w:rPr>
              <w:t>a.消防安全措施内容完整，完全符合项目实际的，得6分；</w:t>
            </w:r>
          </w:p>
          <w:p w14:paraId="50A5CF40">
            <w:pPr>
              <w:spacing w:before="1" w:line="353" w:lineRule="auto"/>
              <w:ind w:left="106" w:right="34" w:hanging="3"/>
              <w:rPr>
                <w:rFonts w:hint="eastAsia" w:ascii="宋体" w:hAnsi="宋体" w:eastAsia="宋体" w:cs="宋体"/>
                <w:spacing w:val="-3"/>
                <w:sz w:val="24"/>
                <w:szCs w:val="24"/>
                <w:lang w:val="en-US" w:eastAsia="zh-CN"/>
              </w:rPr>
            </w:pPr>
            <w:r>
              <w:rPr>
                <w:rFonts w:hint="eastAsia" w:ascii="宋体" w:hAnsi="宋体" w:eastAsia="宋体" w:cs="宋体"/>
                <w:spacing w:val="-3"/>
                <w:sz w:val="24"/>
                <w:szCs w:val="24"/>
                <w:lang w:val="en-US" w:eastAsia="zh-CN"/>
              </w:rPr>
              <w:t>b.消防安全措施内容较为完整，基本贴合本项目实际的，得4分；</w:t>
            </w:r>
          </w:p>
          <w:p w14:paraId="2D8B4091">
            <w:pPr>
              <w:spacing w:before="1" w:line="353" w:lineRule="auto"/>
              <w:ind w:left="106" w:right="34" w:hanging="3"/>
              <w:rPr>
                <w:rFonts w:hint="eastAsia" w:ascii="宋体" w:hAnsi="宋体" w:eastAsia="宋体" w:cs="宋体"/>
                <w:spacing w:val="-3"/>
                <w:sz w:val="24"/>
                <w:szCs w:val="24"/>
                <w:lang w:val="en-US" w:eastAsia="zh-CN"/>
              </w:rPr>
            </w:pPr>
            <w:r>
              <w:rPr>
                <w:rFonts w:hint="eastAsia" w:ascii="宋体" w:hAnsi="宋体" w:eastAsia="宋体" w:cs="宋体"/>
                <w:spacing w:val="-3"/>
                <w:sz w:val="24"/>
                <w:szCs w:val="24"/>
                <w:lang w:val="en-US" w:eastAsia="zh-CN"/>
              </w:rPr>
              <w:t>c.消防安全措施内容差，勉强满足采购人需求的，得2分；</w:t>
            </w:r>
          </w:p>
          <w:p w14:paraId="264A07C2">
            <w:pPr>
              <w:spacing w:before="1" w:line="353" w:lineRule="auto"/>
              <w:ind w:left="106" w:right="34" w:hanging="3"/>
              <w:rPr>
                <w:rFonts w:hint="eastAsia" w:ascii="宋体" w:hAnsi="宋体" w:eastAsia="宋体" w:cs="宋体"/>
                <w:spacing w:val="-3"/>
                <w:sz w:val="24"/>
                <w:szCs w:val="24"/>
                <w:lang w:val="en-US" w:eastAsia="zh-CN"/>
              </w:rPr>
            </w:pPr>
            <w:r>
              <w:rPr>
                <w:rFonts w:hint="eastAsia" w:ascii="宋体" w:hAnsi="宋体" w:eastAsia="宋体" w:cs="宋体"/>
                <w:spacing w:val="-3"/>
                <w:sz w:val="24"/>
                <w:szCs w:val="24"/>
                <w:lang w:val="en-US" w:eastAsia="zh-CN"/>
              </w:rPr>
              <w:t>d.未提供，得0分。</w:t>
            </w:r>
          </w:p>
        </w:tc>
        <w:tc>
          <w:tcPr>
            <w:tcW w:w="934" w:type="dxa"/>
            <w:vAlign w:val="center"/>
          </w:tcPr>
          <w:p w14:paraId="33A1D3A6">
            <w:pPr>
              <w:keepNext w:val="0"/>
              <w:keepLines w:val="0"/>
              <w:pageBreakBefore w:val="0"/>
              <w:kinsoku/>
              <w:wordWrap/>
              <w:overflowPunct/>
              <w:topLinePunct w:val="0"/>
              <w:autoSpaceDE/>
              <w:autoSpaceDN/>
              <w:bidi w:val="0"/>
              <w:adjustRightInd/>
              <w:snapToGrid w:val="0"/>
              <w:spacing w:line="440" w:lineRule="exact"/>
              <w:jc w:val="center"/>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6分</w:t>
            </w:r>
          </w:p>
        </w:tc>
      </w:tr>
      <w:tr w14:paraId="0DC595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3539" w:hRule="atLeast"/>
        </w:trPr>
        <w:tc>
          <w:tcPr>
            <w:tcW w:w="1180" w:type="dxa"/>
            <w:vMerge w:val="continue"/>
            <w:tcBorders>
              <w:left w:val="single" w:color="auto" w:sz="4" w:space="0"/>
              <w:right w:val="single" w:color="auto" w:sz="4" w:space="0"/>
            </w:tcBorders>
            <w:vAlign w:val="center"/>
          </w:tcPr>
          <w:p w14:paraId="4DD3B144">
            <w:pPr>
              <w:snapToGrid w:val="0"/>
              <w:jc w:val="center"/>
              <w:rPr>
                <w:rFonts w:ascii="宋体" w:hAnsi="宋体" w:eastAsia="宋体" w:cs="Times New Roman"/>
                <w:sz w:val="24"/>
                <w:szCs w:val="24"/>
                <w:highlight w:val="none"/>
              </w:rPr>
            </w:pPr>
          </w:p>
        </w:tc>
        <w:tc>
          <w:tcPr>
            <w:tcW w:w="1183" w:type="dxa"/>
            <w:tcBorders>
              <w:left w:val="single" w:color="auto" w:sz="4" w:space="0"/>
            </w:tcBorders>
            <w:vAlign w:val="center"/>
          </w:tcPr>
          <w:p w14:paraId="4910F1D2">
            <w:pPr>
              <w:keepNext w:val="0"/>
              <w:keepLines w:val="0"/>
              <w:pageBreakBefore w:val="0"/>
              <w:kinsoku/>
              <w:wordWrap/>
              <w:overflowPunct/>
              <w:topLinePunct w:val="0"/>
              <w:autoSpaceDE/>
              <w:autoSpaceDN/>
              <w:bidi w:val="0"/>
              <w:adjustRightInd/>
              <w:spacing w:line="440" w:lineRule="exact"/>
              <w:ind w:firstLine="0" w:firstLineChars="0"/>
              <w:jc w:val="center"/>
              <w:textAlignment w:val="auto"/>
              <w:rPr>
                <w:rFonts w:ascii="宋体" w:hAnsi="宋体" w:eastAsia="宋体" w:cs="宋体"/>
                <w:b/>
                <w:bCs/>
                <w:spacing w:val="-5"/>
                <w:sz w:val="24"/>
                <w:szCs w:val="24"/>
              </w:rPr>
            </w:pPr>
            <w:r>
              <w:rPr>
                <w:rFonts w:ascii="宋体" w:hAnsi="宋体" w:eastAsia="宋体" w:cs="宋体"/>
                <w:b/>
                <w:bCs/>
                <w:spacing w:val="-5"/>
                <w:sz w:val="24"/>
                <w:szCs w:val="24"/>
              </w:rPr>
              <w:t>服务质量保证方案</w:t>
            </w:r>
          </w:p>
          <w:p w14:paraId="32D7A905">
            <w:pPr>
              <w:keepNext w:val="0"/>
              <w:keepLines w:val="0"/>
              <w:pageBreakBefore w:val="0"/>
              <w:kinsoku/>
              <w:wordWrap/>
              <w:overflowPunct/>
              <w:topLinePunct w:val="0"/>
              <w:autoSpaceDE/>
              <w:autoSpaceDN/>
              <w:bidi w:val="0"/>
              <w:adjustRightInd/>
              <w:spacing w:line="440" w:lineRule="exact"/>
              <w:ind w:firstLine="0" w:firstLineChars="0"/>
              <w:jc w:val="center"/>
              <w:textAlignment w:val="auto"/>
              <w:rPr>
                <w:rFonts w:hint="eastAsia" w:ascii="宋体" w:hAnsi="宋体" w:eastAsia="宋体" w:cs="宋体"/>
                <w:b/>
                <w:bCs/>
                <w:spacing w:val="-5"/>
                <w:sz w:val="24"/>
                <w:szCs w:val="24"/>
              </w:rPr>
            </w:pPr>
            <w:r>
              <w:rPr>
                <w:rFonts w:ascii="宋体" w:hAnsi="宋体" w:eastAsia="宋体" w:cs="宋体"/>
                <w:b/>
                <w:bCs/>
                <w:spacing w:val="-5"/>
                <w:sz w:val="24"/>
                <w:szCs w:val="24"/>
              </w:rPr>
              <w:t>（</w:t>
            </w:r>
            <w:r>
              <w:rPr>
                <w:rFonts w:hint="eastAsia" w:ascii="宋体" w:hAnsi="宋体" w:eastAsia="宋体" w:cs="宋体"/>
                <w:b/>
                <w:bCs/>
                <w:spacing w:val="-5"/>
                <w:sz w:val="24"/>
                <w:szCs w:val="24"/>
                <w:lang w:val="en-US" w:eastAsia="zh-CN"/>
              </w:rPr>
              <w:t>6</w:t>
            </w:r>
            <w:r>
              <w:rPr>
                <w:rFonts w:ascii="宋体" w:hAnsi="宋体" w:eastAsia="宋体" w:cs="宋体"/>
                <w:b/>
                <w:bCs/>
                <w:spacing w:val="-5"/>
                <w:sz w:val="24"/>
                <w:szCs w:val="24"/>
              </w:rPr>
              <w:t>分）</w:t>
            </w:r>
          </w:p>
        </w:tc>
        <w:tc>
          <w:tcPr>
            <w:tcW w:w="6100" w:type="dxa"/>
            <w:vAlign w:val="center"/>
          </w:tcPr>
          <w:p w14:paraId="568C91E5">
            <w:pPr>
              <w:spacing w:before="1" w:line="353" w:lineRule="auto"/>
              <w:ind w:left="106" w:right="34" w:hanging="3"/>
              <w:rPr>
                <w:rFonts w:hint="eastAsia" w:ascii="宋体" w:hAnsi="宋体" w:eastAsia="宋体" w:cs="宋体"/>
                <w:spacing w:val="-3"/>
                <w:sz w:val="24"/>
                <w:szCs w:val="24"/>
                <w:lang w:val="en-US" w:eastAsia="zh-CN"/>
              </w:rPr>
            </w:pPr>
            <w:r>
              <w:rPr>
                <w:rFonts w:hint="eastAsia" w:ascii="宋体" w:hAnsi="宋体" w:eastAsia="宋体" w:cs="宋体"/>
                <w:spacing w:val="-3"/>
                <w:sz w:val="24"/>
                <w:szCs w:val="24"/>
                <w:lang w:val="en-US" w:eastAsia="zh-CN"/>
              </w:rPr>
              <w:t>供应商应针对本项目的特点提供服务质量保证方案：</w:t>
            </w:r>
          </w:p>
          <w:p w14:paraId="150F6598">
            <w:pPr>
              <w:spacing w:before="1" w:line="353" w:lineRule="auto"/>
              <w:ind w:left="106" w:right="34" w:hanging="3"/>
              <w:rPr>
                <w:rFonts w:hint="eastAsia" w:ascii="宋体" w:hAnsi="宋体" w:eastAsia="宋体" w:cs="宋体"/>
                <w:spacing w:val="-3"/>
                <w:sz w:val="24"/>
                <w:szCs w:val="24"/>
                <w:lang w:val="en-US" w:eastAsia="zh-CN"/>
              </w:rPr>
            </w:pPr>
            <w:r>
              <w:rPr>
                <w:rFonts w:hint="eastAsia" w:ascii="宋体" w:hAnsi="宋体" w:eastAsia="宋体" w:cs="宋体"/>
                <w:spacing w:val="-3"/>
                <w:sz w:val="24"/>
                <w:szCs w:val="24"/>
                <w:lang w:val="en-US" w:eastAsia="zh-CN"/>
              </w:rPr>
              <w:t>a.服务质量保证方案清晰完整，管理方法科学合理，质量保障及控制措施完善，可操作性强，得6分；</w:t>
            </w:r>
          </w:p>
          <w:p w14:paraId="178D4B2C">
            <w:pPr>
              <w:spacing w:before="1" w:line="353" w:lineRule="auto"/>
              <w:ind w:left="106" w:right="34" w:hanging="3"/>
              <w:rPr>
                <w:rFonts w:hint="eastAsia" w:ascii="宋体" w:hAnsi="宋体" w:eastAsia="宋体" w:cs="宋体"/>
                <w:spacing w:val="-3"/>
                <w:sz w:val="24"/>
                <w:szCs w:val="24"/>
                <w:lang w:val="en-US" w:eastAsia="zh-CN"/>
              </w:rPr>
            </w:pPr>
            <w:r>
              <w:rPr>
                <w:rFonts w:hint="eastAsia" w:ascii="宋体" w:hAnsi="宋体" w:eastAsia="宋体" w:cs="宋体"/>
                <w:spacing w:val="-3"/>
                <w:sz w:val="24"/>
                <w:szCs w:val="24"/>
                <w:lang w:val="en-US" w:eastAsia="zh-CN"/>
              </w:rPr>
              <w:t>b.服务质量保证方案基本完整，管理方法基本合理，质量保障及控制措施基本完善，可操作性一般，得4分；</w:t>
            </w:r>
          </w:p>
          <w:p w14:paraId="2D022208">
            <w:pPr>
              <w:spacing w:before="1" w:line="353" w:lineRule="auto"/>
              <w:ind w:left="106" w:right="34" w:hanging="3"/>
              <w:rPr>
                <w:rFonts w:hint="eastAsia" w:ascii="宋体" w:hAnsi="宋体" w:eastAsia="宋体" w:cs="宋体"/>
                <w:spacing w:val="-3"/>
                <w:sz w:val="24"/>
                <w:szCs w:val="24"/>
                <w:lang w:val="en-US" w:eastAsia="zh-CN"/>
              </w:rPr>
            </w:pPr>
            <w:r>
              <w:rPr>
                <w:rFonts w:hint="eastAsia" w:ascii="宋体" w:hAnsi="宋体" w:eastAsia="宋体" w:cs="宋体"/>
                <w:spacing w:val="-3"/>
                <w:sz w:val="24"/>
                <w:szCs w:val="24"/>
                <w:lang w:val="en-US" w:eastAsia="zh-CN"/>
              </w:rPr>
              <w:t>c.服务质量保证方案不完整，管理方法不合理，质量保障及控制措施不完善，可操作性差，得2分；</w:t>
            </w:r>
          </w:p>
          <w:p w14:paraId="04E4333B">
            <w:pPr>
              <w:spacing w:before="1" w:line="353" w:lineRule="auto"/>
              <w:ind w:left="106" w:right="34" w:hanging="3"/>
              <w:rPr>
                <w:rFonts w:hint="eastAsia" w:ascii="宋体" w:hAnsi="宋体" w:eastAsia="宋体" w:cs="宋体"/>
                <w:spacing w:val="-3"/>
                <w:sz w:val="24"/>
                <w:szCs w:val="24"/>
                <w:lang w:val="en-US" w:eastAsia="zh-CN"/>
              </w:rPr>
            </w:pPr>
            <w:r>
              <w:rPr>
                <w:rFonts w:hint="eastAsia" w:ascii="宋体" w:hAnsi="宋体" w:eastAsia="宋体" w:cs="宋体"/>
                <w:spacing w:val="-3"/>
                <w:sz w:val="24"/>
                <w:szCs w:val="24"/>
                <w:lang w:val="en-US" w:eastAsia="zh-CN"/>
              </w:rPr>
              <w:t>d.未提供，得0分。</w:t>
            </w:r>
          </w:p>
        </w:tc>
        <w:tc>
          <w:tcPr>
            <w:tcW w:w="934" w:type="dxa"/>
            <w:vAlign w:val="center"/>
          </w:tcPr>
          <w:p w14:paraId="4ECC7486">
            <w:pPr>
              <w:keepNext w:val="0"/>
              <w:keepLines w:val="0"/>
              <w:pageBreakBefore w:val="0"/>
              <w:kinsoku/>
              <w:wordWrap/>
              <w:overflowPunct/>
              <w:topLinePunct w:val="0"/>
              <w:autoSpaceDE/>
              <w:autoSpaceDN/>
              <w:bidi w:val="0"/>
              <w:adjustRightInd/>
              <w:snapToGrid w:val="0"/>
              <w:spacing w:line="440" w:lineRule="exact"/>
              <w:jc w:val="center"/>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6分</w:t>
            </w:r>
          </w:p>
        </w:tc>
      </w:tr>
      <w:tr w14:paraId="13C720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2932" w:hRule="atLeast"/>
        </w:trPr>
        <w:tc>
          <w:tcPr>
            <w:tcW w:w="1180" w:type="dxa"/>
            <w:vMerge w:val="continue"/>
            <w:tcBorders>
              <w:left w:val="single" w:color="auto" w:sz="4" w:space="0"/>
              <w:right w:val="single" w:color="auto" w:sz="4" w:space="0"/>
            </w:tcBorders>
            <w:vAlign w:val="center"/>
          </w:tcPr>
          <w:p w14:paraId="0D63D554">
            <w:pPr>
              <w:snapToGrid w:val="0"/>
              <w:jc w:val="center"/>
              <w:rPr>
                <w:rFonts w:ascii="宋体" w:hAnsi="宋体" w:eastAsia="宋体" w:cs="Times New Roman"/>
                <w:sz w:val="24"/>
                <w:szCs w:val="24"/>
                <w:highlight w:val="none"/>
              </w:rPr>
            </w:pPr>
          </w:p>
        </w:tc>
        <w:tc>
          <w:tcPr>
            <w:tcW w:w="1183" w:type="dxa"/>
            <w:tcBorders>
              <w:left w:val="single" w:color="auto" w:sz="4" w:space="0"/>
            </w:tcBorders>
            <w:vAlign w:val="center"/>
          </w:tcPr>
          <w:p w14:paraId="66C0D52E">
            <w:pPr>
              <w:keepNext w:val="0"/>
              <w:keepLines w:val="0"/>
              <w:pageBreakBefore w:val="0"/>
              <w:kinsoku/>
              <w:wordWrap/>
              <w:overflowPunct/>
              <w:topLinePunct w:val="0"/>
              <w:autoSpaceDE/>
              <w:autoSpaceDN/>
              <w:bidi w:val="0"/>
              <w:adjustRightInd/>
              <w:spacing w:line="440" w:lineRule="exact"/>
              <w:ind w:firstLine="0" w:firstLineChars="0"/>
              <w:jc w:val="center"/>
              <w:textAlignment w:val="auto"/>
              <w:rPr>
                <w:rFonts w:ascii="宋体" w:hAnsi="宋体" w:eastAsia="宋体" w:cs="宋体"/>
                <w:b/>
                <w:bCs/>
                <w:spacing w:val="-5"/>
                <w:sz w:val="24"/>
                <w:szCs w:val="24"/>
              </w:rPr>
            </w:pPr>
            <w:r>
              <w:rPr>
                <w:rFonts w:ascii="宋体" w:hAnsi="宋体" w:eastAsia="宋体" w:cs="宋体"/>
                <w:b/>
                <w:bCs/>
                <w:spacing w:val="-5"/>
                <w:sz w:val="24"/>
                <w:szCs w:val="24"/>
              </w:rPr>
              <w:t>工作重点、难点分析和解决方案</w:t>
            </w:r>
          </w:p>
          <w:p w14:paraId="6430B4B3">
            <w:pPr>
              <w:keepNext w:val="0"/>
              <w:keepLines w:val="0"/>
              <w:pageBreakBefore w:val="0"/>
              <w:kinsoku/>
              <w:wordWrap/>
              <w:overflowPunct/>
              <w:topLinePunct w:val="0"/>
              <w:autoSpaceDE/>
              <w:autoSpaceDN/>
              <w:bidi w:val="0"/>
              <w:adjustRightInd/>
              <w:spacing w:line="440" w:lineRule="exact"/>
              <w:ind w:firstLine="0" w:firstLineChars="0"/>
              <w:jc w:val="center"/>
              <w:textAlignment w:val="auto"/>
              <w:rPr>
                <w:rFonts w:ascii="宋体" w:hAnsi="宋体" w:eastAsia="宋体" w:cs="宋体"/>
                <w:b/>
                <w:bCs/>
                <w:spacing w:val="-5"/>
                <w:sz w:val="24"/>
                <w:szCs w:val="24"/>
              </w:rPr>
            </w:pPr>
            <w:r>
              <w:rPr>
                <w:rFonts w:ascii="宋体" w:hAnsi="宋体" w:eastAsia="宋体" w:cs="宋体"/>
                <w:b/>
                <w:bCs/>
                <w:spacing w:val="-5"/>
                <w:sz w:val="24"/>
                <w:szCs w:val="24"/>
              </w:rPr>
              <w:t>（</w:t>
            </w:r>
            <w:r>
              <w:rPr>
                <w:rFonts w:hint="eastAsia" w:ascii="宋体" w:hAnsi="宋体" w:eastAsia="宋体" w:cs="宋体"/>
                <w:b/>
                <w:bCs/>
                <w:spacing w:val="-5"/>
                <w:sz w:val="24"/>
                <w:szCs w:val="24"/>
                <w:lang w:val="en-US" w:eastAsia="zh-CN"/>
              </w:rPr>
              <w:t>6</w:t>
            </w:r>
            <w:r>
              <w:rPr>
                <w:rFonts w:ascii="宋体" w:hAnsi="宋体" w:eastAsia="宋体" w:cs="宋体"/>
                <w:b/>
                <w:bCs/>
                <w:spacing w:val="-5"/>
                <w:sz w:val="24"/>
                <w:szCs w:val="24"/>
              </w:rPr>
              <w:t>分）</w:t>
            </w:r>
          </w:p>
        </w:tc>
        <w:tc>
          <w:tcPr>
            <w:tcW w:w="6100" w:type="dxa"/>
            <w:vAlign w:val="center"/>
          </w:tcPr>
          <w:p w14:paraId="61C9C4E4">
            <w:pPr>
              <w:spacing w:before="1" w:line="353" w:lineRule="auto"/>
              <w:ind w:left="106" w:right="34" w:hanging="3"/>
              <w:rPr>
                <w:rFonts w:hint="eastAsia" w:ascii="宋体" w:hAnsi="宋体" w:eastAsia="宋体" w:cs="宋体"/>
                <w:spacing w:val="-3"/>
                <w:sz w:val="24"/>
                <w:szCs w:val="24"/>
                <w:lang w:val="en-US" w:eastAsia="zh-CN"/>
              </w:rPr>
            </w:pPr>
            <w:r>
              <w:rPr>
                <w:rFonts w:hint="eastAsia" w:ascii="宋体" w:hAnsi="宋体" w:eastAsia="宋体" w:cs="宋体"/>
                <w:spacing w:val="-3"/>
                <w:sz w:val="24"/>
                <w:szCs w:val="24"/>
                <w:lang w:val="en-US" w:eastAsia="zh-CN"/>
              </w:rPr>
              <w:t>供应商应针对本项目的特点分析工作中的重点和难点，并提出解决方案：</w:t>
            </w:r>
          </w:p>
          <w:p w14:paraId="27513126">
            <w:pPr>
              <w:spacing w:before="1" w:line="353" w:lineRule="auto"/>
              <w:ind w:left="106" w:right="34" w:hanging="3"/>
              <w:rPr>
                <w:rFonts w:hint="eastAsia" w:ascii="宋体" w:hAnsi="宋体" w:eastAsia="宋体" w:cs="宋体"/>
                <w:spacing w:val="-3"/>
                <w:sz w:val="24"/>
                <w:szCs w:val="24"/>
                <w:lang w:val="en-US" w:eastAsia="zh-CN"/>
              </w:rPr>
            </w:pPr>
            <w:r>
              <w:rPr>
                <w:rFonts w:hint="eastAsia" w:ascii="宋体" w:hAnsi="宋体" w:eastAsia="宋体" w:cs="宋体"/>
                <w:spacing w:val="-3"/>
                <w:sz w:val="24"/>
                <w:szCs w:val="24"/>
                <w:lang w:val="en-US" w:eastAsia="zh-CN"/>
              </w:rPr>
              <w:t>a.有工作重点和难点分析和相应的解决方案，分析准确且解决方案完整可行性强，得6分；</w:t>
            </w:r>
          </w:p>
          <w:p w14:paraId="4E32C4C8">
            <w:pPr>
              <w:spacing w:before="1" w:line="353" w:lineRule="auto"/>
              <w:ind w:left="106" w:right="34" w:hanging="3"/>
              <w:rPr>
                <w:rFonts w:hint="eastAsia" w:ascii="宋体" w:hAnsi="宋体" w:eastAsia="宋体" w:cs="宋体"/>
                <w:spacing w:val="-3"/>
                <w:sz w:val="24"/>
                <w:szCs w:val="24"/>
                <w:lang w:val="en-US" w:eastAsia="zh-CN"/>
              </w:rPr>
            </w:pPr>
            <w:r>
              <w:rPr>
                <w:rFonts w:hint="eastAsia" w:ascii="宋体" w:hAnsi="宋体" w:eastAsia="宋体" w:cs="宋体"/>
                <w:spacing w:val="-3"/>
                <w:sz w:val="24"/>
                <w:szCs w:val="24"/>
                <w:lang w:val="en-US" w:eastAsia="zh-CN"/>
              </w:rPr>
              <w:t>b.有工作重点和难点分析和相应的解决方案，分析准确性一般且解决方案可行性一般，得4分；</w:t>
            </w:r>
          </w:p>
          <w:p w14:paraId="0D7529D3">
            <w:pPr>
              <w:spacing w:before="1" w:line="353" w:lineRule="auto"/>
              <w:ind w:left="106" w:right="34" w:hanging="3"/>
              <w:rPr>
                <w:rFonts w:hint="eastAsia" w:ascii="宋体" w:hAnsi="宋体" w:eastAsia="宋体" w:cs="宋体"/>
                <w:spacing w:val="-3"/>
                <w:sz w:val="24"/>
                <w:szCs w:val="24"/>
                <w:lang w:val="en-US" w:eastAsia="zh-CN"/>
              </w:rPr>
            </w:pPr>
            <w:r>
              <w:rPr>
                <w:rFonts w:hint="eastAsia" w:ascii="宋体" w:hAnsi="宋体" w:eastAsia="宋体" w:cs="宋体"/>
                <w:spacing w:val="-3"/>
                <w:sz w:val="24"/>
                <w:szCs w:val="24"/>
                <w:lang w:val="en-US" w:eastAsia="zh-CN"/>
              </w:rPr>
              <w:t>c.有工作重点和难点分析和相应的解决方案，分析准确性较差且解决方案不可行性，得2分；</w:t>
            </w:r>
          </w:p>
          <w:p w14:paraId="0F9F4DFC">
            <w:pPr>
              <w:spacing w:before="1" w:line="353" w:lineRule="auto"/>
              <w:ind w:left="106" w:right="34" w:hanging="3"/>
              <w:rPr>
                <w:rFonts w:hint="eastAsia" w:ascii="宋体" w:hAnsi="宋体" w:eastAsia="宋体" w:cs="宋体"/>
                <w:spacing w:val="-3"/>
                <w:sz w:val="24"/>
                <w:szCs w:val="24"/>
                <w:lang w:val="en-US" w:eastAsia="zh-CN"/>
              </w:rPr>
            </w:pPr>
            <w:r>
              <w:rPr>
                <w:rFonts w:hint="eastAsia" w:ascii="宋体" w:hAnsi="宋体" w:eastAsia="宋体" w:cs="宋体"/>
                <w:spacing w:val="-3"/>
                <w:sz w:val="24"/>
                <w:szCs w:val="24"/>
                <w:lang w:val="en-US" w:eastAsia="zh-CN"/>
              </w:rPr>
              <w:t>d.未提供，得0分。</w:t>
            </w:r>
          </w:p>
        </w:tc>
        <w:tc>
          <w:tcPr>
            <w:tcW w:w="934" w:type="dxa"/>
            <w:vAlign w:val="center"/>
          </w:tcPr>
          <w:p w14:paraId="406D4603">
            <w:pPr>
              <w:keepNext w:val="0"/>
              <w:keepLines w:val="0"/>
              <w:pageBreakBefore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6分</w:t>
            </w:r>
          </w:p>
        </w:tc>
      </w:tr>
    </w:tbl>
    <w:p w14:paraId="3C6E8804">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2" w:firstLineChars="200"/>
        <w:jc w:val="both"/>
        <w:textAlignment w:val="auto"/>
        <w:outlineLvl w:val="9"/>
        <w:rPr>
          <w:rFonts w:hint="eastAsia" w:ascii="宋体" w:hAnsi="宋体" w:eastAsia="宋体" w:cs="宋体"/>
          <w:b/>
          <w:bCs/>
          <w:sz w:val="24"/>
          <w:szCs w:val="32"/>
          <w:highlight w:val="none"/>
        </w:rPr>
      </w:pPr>
    </w:p>
    <w:p w14:paraId="23F27568">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2" w:firstLineChars="200"/>
        <w:jc w:val="both"/>
        <w:textAlignment w:val="auto"/>
        <w:outlineLvl w:val="9"/>
        <w:rPr>
          <w:rFonts w:ascii="宋体" w:hAnsi="宋体" w:eastAsia="宋体" w:cs="宋体"/>
          <w:b/>
          <w:bCs/>
          <w:sz w:val="24"/>
          <w:szCs w:val="32"/>
          <w:highlight w:val="none"/>
        </w:rPr>
      </w:pPr>
      <w:r>
        <w:rPr>
          <w:rFonts w:hint="eastAsia" w:ascii="宋体" w:hAnsi="宋体" w:eastAsia="宋体" w:cs="宋体"/>
          <w:b/>
          <w:bCs/>
          <w:sz w:val="24"/>
          <w:szCs w:val="32"/>
          <w:highlight w:val="none"/>
        </w:rPr>
        <w:t>注：以上投标人应在投标文件中提供《评标办法》中要求的评审依据的证明材料，且必须真实有效，凡发现有提供虚假材料的投标人，取消其投标资格，并承担相应的法律责任。</w:t>
      </w:r>
    </w:p>
    <w:p w14:paraId="2EF9104B">
      <w:pPr>
        <w:widowControl/>
        <w:jc w:val="left"/>
        <w:rPr>
          <w:rFonts w:ascii="宋体" w:hAnsi="宋体" w:eastAsia="宋体" w:cs="宋体"/>
          <w:bCs/>
          <w:sz w:val="24"/>
          <w:szCs w:val="32"/>
          <w:highlight w:val="none"/>
        </w:rPr>
      </w:pPr>
      <w:r>
        <w:rPr>
          <w:rFonts w:ascii="宋体" w:hAnsi="宋体" w:eastAsia="宋体" w:cs="宋体"/>
          <w:bCs/>
          <w:sz w:val="24"/>
          <w:szCs w:val="32"/>
          <w:highlight w:val="none"/>
        </w:rPr>
        <w:br w:type="page"/>
      </w:r>
    </w:p>
    <w:p w14:paraId="15BA9A91">
      <w:pPr>
        <w:widowControl/>
        <w:jc w:val="left"/>
        <w:rPr>
          <w:rFonts w:ascii="宋体" w:hAnsi="宋体" w:eastAsia="宋体" w:cs="宋体"/>
          <w:bCs/>
          <w:sz w:val="24"/>
          <w:szCs w:val="32"/>
          <w:highlight w:val="none"/>
        </w:rPr>
      </w:pPr>
    </w:p>
    <w:p w14:paraId="7E255523">
      <w:pPr>
        <w:adjustRightInd w:val="0"/>
        <w:snapToGrid w:val="0"/>
        <w:spacing w:line="500" w:lineRule="exact"/>
        <w:jc w:val="center"/>
        <w:outlineLvl w:val="1"/>
        <w:rPr>
          <w:rFonts w:ascii="宋体" w:hAnsi="宋体" w:eastAsia="宋体" w:cs="宋体"/>
          <w:bCs/>
          <w:sz w:val="24"/>
          <w:szCs w:val="32"/>
          <w:highlight w:val="none"/>
        </w:rPr>
      </w:pPr>
      <w:bookmarkStart w:id="34" w:name="_Toc16397"/>
      <w:bookmarkStart w:id="35" w:name="_Toc173857141"/>
      <w:bookmarkStart w:id="36" w:name="_Toc28948"/>
      <w:r>
        <w:rPr>
          <w:rFonts w:hint="eastAsia" w:eastAsia="宋体"/>
          <w:b/>
          <w:bCs/>
          <w:sz w:val="28"/>
          <w:szCs w:val="28"/>
          <w:highlight w:val="none"/>
          <w:lang w:val="en-US" w:eastAsia="zh-CN"/>
        </w:rPr>
        <w:t>四</w:t>
      </w:r>
      <w:r>
        <w:rPr>
          <w:rFonts w:hint="eastAsia" w:eastAsia="宋体"/>
          <w:b/>
          <w:bCs/>
          <w:sz w:val="28"/>
          <w:szCs w:val="28"/>
          <w:highlight w:val="none"/>
        </w:rPr>
        <w:t>、评标办法（综合评分法）</w:t>
      </w:r>
      <w:bookmarkEnd w:id="34"/>
      <w:bookmarkEnd w:id="35"/>
      <w:bookmarkEnd w:id="36"/>
    </w:p>
    <w:p w14:paraId="54C8DD3B">
      <w:pPr>
        <w:adjustRightInd w:val="0"/>
        <w:snapToGrid w:val="0"/>
        <w:spacing w:line="500" w:lineRule="exact"/>
        <w:ind w:firstLine="480" w:firstLineChars="200"/>
        <w:rPr>
          <w:rFonts w:hint="eastAsia" w:ascii="宋体" w:hAnsi="宋体" w:eastAsia="宋体" w:cs="宋体"/>
          <w:bCs/>
          <w:sz w:val="24"/>
          <w:szCs w:val="32"/>
          <w:highlight w:val="none"/>
          <w:lang w:eastAsia="zh-CN"/>
        </w:rPr>
      </w:pPr>
      <w:r>
        <w:rPr>
          <w:rFonts w:hint="eastAsia" w:ascii="宋体" w:hAnsi="宋体" w:eastAsia="宋体" w:cs="宋体"/>
          <w:bCs/>
          <w:sz w:val="24"/>
          <w:szCs w:val="32"/>
          <w:highlight w:val="none"/>
        </w:rPr>
        <w:t>1.评标方法</w:t>
      </w:r>
    </w:p>
    <w:p w14:paraId="40024128">
      <w:pPr>
        <w:adjustRightInd w:val="0"/>
        <w:snapToGrid w:val="0"/>
        <w:spacing w:line="500" w:lineRule="exact"/>
        <w:ind w:firstLine="480" w:firstLineChars="200"/>
        <w:rPr>
          <w:rFonts w:hint="eastAsia" w:ascii="宋体" w:hAnsi="宋体" w:eastAsia="宋体" w:cs="宋体"/>
          <w:bCs/>
          <w:sz w:val="24"/>
          <w:szCs w:val="32"/>
          <w:highlight w:val="none"/>
          <w:lang w:eastAsia="zh-CN"/>
        </w:rPr>
      </w:pPr>
      <w:r>
        <w:rPr>
          <w:rFonts w:hint="eastAsia" w:ascii="宋体" w:hAnsi="宋体" w:eastAsia="宋体" w:cs="宋体"/>
          <w:bCs/>
          <w:sz w:val="24"/>
          <w:szCs w:val="32"/>
          <w:highlight w:val="none"/>
        </w:rPr>
        <w:t>1.1本次评标采用综合评分法。评标委员会对满足招标文件实质性要求的投标文件，按照本章规定的评分标准进行打分，并按得分由高到低顺序推荐中标候选人。</w:t>
      </w:r>
    </w:p>
    <w:p w14:paraId="36224C60">
      <w:pPr>
        <w:adjustRightInd w:val="0"/>
        <w:snapToGrid w:val="0"/>
        <w:spacing w:line="500" w:lineRule="exact"/>
        <w:ind w:firstLine="480" w:firstLineChars="200"/>
        <w:rPr>
          <w:rFonts w:hint="eastAsia" w:ascii="宋体" w:hAnsi="宋体" w:eastAsia="宋体" w:cs="宋体"/>
          <w:bCs/>
          <w:sz w:val="24"/>
          <w:szCs w:val="32"/>
          <w:highlight w:val="none"/>
          <w:lang w:eastAsia="zh-CN"/>
        </w:rPr>
      </w:pPr>
      <w:r>
        <w:rPr>
          <w:rFonts w:hint="eastAsia" w:ascii="宋体" w:hAnsi="宋体" w:eastAsia="宋体" w:cs="宋体"/>
          <w:bCs/>
          <w:sz w:val="24"/>
          <w:szCs w:val="32"/>
          <w:highlight w:val="none"/>
        </w:rPr>
        <w:t>最终得分相同的，按投标报价由低到高顺序排列。</w:t>
      </w:r>
    </w:p>
    <w:p w14:paraId="02805517">
      <w:pPr>
        <w:adjustRightInd w:val="0"/>
        <w:snapToGrid w:val="0"/>
        <w:spacing w:line="500" w:lineRule="exact"/>
        <w:ind w:firstLine="480" w:firstLineChars="200"/>
        <w:rPr>
          <w:rFonts w:hint="eastAsia" w:ascii="宋体" w:hAnsi="宋体" w:eastAsia="宋体" w:cs="宋体"/>
          <w:bCs/>
          <w:sz w:val="24"/>
          <w:szCs w:val="32"/>
          <w:highlight w:val="none"/>
          <w:lang w:eastAsia="zh-CN"/>
        </w:rPr>
      </w:pPr>
      <w:r>
        <w:rPr>
          <w:rFonts w:hint="eastAsia" w:ascii="宋体" w:hAnsi="宋体" w:eastAsia="宋体" w:cs="宋体"/>
          <w:bCs/>
          <w:sz w:val="24"/>
          <w:szCs w:val="32"/>
          <w:highlight w:val="none"/>
        </w:rPr>
        <w:t>2.评审标准</w:t>
      </w:r>
    </w:p>
    <w:p w14:paraId="37C918AC">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2.1资格性评审标准：见资格性和符合性审查表</w:t>
      </w:r>
    </w:p>
    <w:p w14:paraId="588031C9">
      <w:pPr>
        <w:adjustRightInd w:val="0"/>
        <w:snapToGrid w:val="0"/>
        <w:spacing w:line="500" w:lineRule="exact"/>
        <w:ind w:firstLine="480" w:firstLineChars="200"/>
        <w:rPr>
          <w:rFonts w:hint="eastAsia" w:ascii="宋体" w:hAnsi="宋体" w:eastAsia="宋体" w:cs="宋体"/>
          <w:bCs/>
          <w:sz w:val="24"/>
          <w:szCs w:val="32"/>
          <w:highlight w:val="none"/>
          <w:lang w:eastAsia="zh-CN"/>
        </w:rPr>
      </w:pPr>
      <w:r>
        <w:rPr>
          <w:rFonts w:hint="eastAsia" w:ascii="宋体" w:hAnsi="宋体" w:eastAsia="宋体" w:cs="宋体"/>
          <w:bCs/>
          <w:sz w:val="24"/>
          <w:szCs w:val="32"/>
          <w:highlight w:val="none"/>
        </w:rPr>
        <w:t>2.2符合性评审标准：见资格性和符合性审查表</w:t>
      </w:r>
    </w:p>
    <w:p w14:paraId="6A45315A">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2.3详细评审标准：见详细评审表</w:t>
      </w:r>
    </w:p>
    <w:p w14:paraId="26919EFA">
      <w:pPr>
        <w:adjustRightInd w:val="0"/>
        <w:snapToGrid w:val="0"/>
        <w:spacing w:line="500" w:lineRule="exact"/>
        <w:ind w:firstLine="480" w:firstLineChars="200"/>
        <w:rPr>
          <w:rFonts w:hint="eastAsia" w:ascii="宋体" w:hAnsi="宋体" w:eastAsia="宋体" w:cs="宋体"/>
          <w:bCs/>
          <w:sz w:val="24"/>
          <w:szCs w:val="32"/>
          <w:highlight w:val="none"/>
          <w:lang w:eastAsia="zh-CN"/>
        </w:rPr>
      </w:pPr>
      <w:r>
        <w:rPr>
          <w:rFonts w:hint="eastAsia" w:ascii="宋体" w:hAnsi="宋体" w:eastAsia="宋体" w:cs="宋体"/>
          <w:bCs/>
          <w:sz w:val="24"/>
          <w:szCs w:val="32"/>
          <w:highlight w:val="none"/>
        </w:rPr>
        <w:t>3.评标程序</w:t>
      </w:r>
    </w:p>
    <w:p w14:paraId="519795A4">
      <w:pPr>
        <w:adjustRightInd w:val="0"/>
        <w:snapToGrid w:val="0"/>
        <w:spacing w:line="500" w:lineRule="exact"/>
        <w:ind w:firstLine="480" w:firstLineChars="200"/>
        <w:rPr>
          <w:rFonts w:hint="eastAsia" w:ascii="宋体" w:hAnsi="宋体" w:eastAsia="宋体" w:cs="宋体"/>
          <w:bCs/>
          <w:sz w:val="24"/>
          <w:szCs w:val="32"/>
          <w:highlight w:val="none"/>
          <w:lang w:eastAsia="zh-CN"/>
        </w:rPr>
      </w:pPr>
      <w:r>
        <w:rPr>
          <w:rFonts w:hint="eastAsia" w:ascii="宋体" w:hAnsi="宋体" w:eastAsia="宋体" w:cs="宋体"/>
          <w:bCs/>
          <w:sz w:val="24"/>
          <w:szCs w:val="32"/>
          <w:highlight w:val="none"/>
        </w:rPr>
        <w:t>3.1资格性和符合性评审</w:t>
      </w:r>
    </w:p>
    <w:p w14:paraId="535C621C">
      <w:pPr>
        <w:adjustRightInd w:val="0"/>
        <w:snapToGrid w:val="0"/>
        <w:spacing w:line="500" w:lineRule="exact"/>
        <w:ind w:firstLine="480" w:firstLineChars="200"/>
        <w:rPr>
          <w:rFonts w:hint="eastAsia" w:ascii="宋体" w:hAnsi="宋体" w:eastAsia="宋体" w:cs="宋体"/>
          <w:bCs/>
          <w:sz w:val="24"/>
          <w:szCs w:val="32"/>
          <w:highlight w:val="none"/>
          <w:lang w:eastAsia="zh-CN"/>
        </w:rPr>
      </w:pPr>
      <w:r>
        <w:rPr>
          <w:rFonts w:hint="eastAsia" w:ascii="宋体" w:hAnsi="宋体" w:eastAsia="宋体" w:cs="宋体"/>
          <w:bCs/>
          <w:sz w:val="24"/>
          <w:szCs w:val="32"/>
          <w:highlight w:val="none"/>
        </w:rPr>
        <w:t>3.1.1</w:t>
      </w:r>
      <w:r>
        <w:rPr>
          <w:rFonts w:hint="eastAsia" w:ascii="宋体" w:hAnsi="宋体" w:eastAsia="宋体" w:cs="宋体"/>
          <w:b/>
          <w:bCs w:val="0"/>
          <w:sz w:val="24"/>
          <w:szCs w:val="32"/>
          <w:highlight w:val="none"/>
        </w:rPr>
        <w:t>评标委员会依据本章评审标准对投标文件进行评审，未通过资格性和符合性评审的，不再进行详细评审。</w:t>
      </w:r>
    </w:p>
    <w:p w14:paraId="06E712A1">
      <w:pPr>
        <w:adjustRightInd w:val="0"/>
        <w:snapToGrid w:val="0"/>
        <w:spacing w:line="500" w:lineRule="exact"/>
        <w:ind w:firstLine="480" w:firstLineChars="200"/>
        <w:rPr>
          <w:rFonts w:hint="eastAsia" w:ascii="宋体" w:hAnsi="宋体" w:eastAsia="宋体" w:cs="宋体"/>
          <w:bCs/>
          <w:sz w:val="24"/>
          <w:szCs w:val="32"/>
          <w:highlight w:val="none"/>
        </w:rPr>
      </w:pPr>
      <w:r>
        <w:rPr>
          <w:rFonts w:hint="eastAsia" w:ascii="宋体" w:hAnsi="宋体" w:eastAsia="宋体" w:cs="宋体"/>
          <w:bCs/>
          <w:sz w:val="24"/>
          <w:szCs w:val="32"/>
          <w:highlight w:val="none"/>
        </w:rPr>
        <w:t>3.1.2投标文件报价出现前后不一致的，除招标文件另有规定外，按照下列规定修正：</w:t>
      </w:r>
    </w:p>
    <w:p w14:paraId="7C732490">
      <w:pPr>
        <w:adjustRightInd w:val="0"/>
        <w:snapToGrid w:val="0"/>
        <w:spacing w:line="500" w:lineRule="exact"/>
        <w:ind w:firstLine="480" w:firstLineChars="200"/>
        <w:rPr>
          <w:rFonts w:hint="eastAsia" w:ascii="宋体" w:hAnsi="宋体" w:eastAsia="宋体" w:cs="宋体"/>
          <w:bCs/>
          <w:sz w:val="24"/>
          <w:szCs w:val="32"/>
          <w:highlight w:val="none"/>
          <w:lang w:eastAsia="zh-CN"/>
        </w:rPr>
      </w:pPr>
      <w:r>
        <w:rPr>
          <w:rFonts w:hint="eastAsia" w:ascii="宋体" w:hAnsi="宋体" w:eastAsia="宋体" w:cs="宋体"/>
          <w:bCs/>
          <w:sz w:val="24"/>
          <w:szCs w:val="32"/>
          <w:highlight w:val="none"/>
        </w:rPr>
        <w:t>（1）投标文件中开标一览表（报价表）内容与投标文件中相应内容不一致的，以开标一览表（报价表）为准；</w:t>
      </w:r>
    </w:p>
    <w:p w14:paraId="61D5CA4D">
      <w:pPr>
        <w:adjustRightInd w:val="0"/>
        <w:snapToGrid w:val="0"/>
        <w:spacing w:line="500" w:lineRule="exact"/>
        <w:ind w:firstLine="480" w:firstLineChars="200"/>
        <w:rPr>
          <w:rFonts w:hint="eastAsia" w:ascii="宋体" w:hAnsi="宋体" w:eastAsia="宋体" w:cs="宋体"/>
          <w:bCs/>
          <w:sz w:val="24"/>
          <w:szCs w:val="32"/>
          <w:highlight w:val="none"/>
          <w:lang w:eastAsia="zh-CN"/>
        </w:rPr>
      </w:pPr>
      <w:r>
        <w:rPr>
          <w:rFonts w:hint="eastAsia" w:ascii="宋体" w:hAnsi="宋体" w:eastAsia="宋体" w:cs="宋体"/>
          <w:bCs/>
          <w:sz w:val="24"/>
          <w:szCs w:val="32"/>
          <w:highlight w:val="none"/>
        </w:rPr>
        <w:t>（2）大写金额和小写金额不一致的，以大写金额为准；</w:t>
      </w:r>
    </w:p>
    <w:p w14:paraId="0F3D01F7">
      <w:pPr>
        <w:adjustRightInd w:val="0"/>
        <w:snapToGrid w:val="0"/>
        <w:spacing w:line="500" w:lineRule="exact"/>
        <w:ind w:firstLine="480" w:firstLineChars="200"/>
        <w:rPr>
          <w:rFonts w:hint="eastAsia" w:ascii="宋体" w:hAnsi="宋体" w:eastAsia="宋体" w:cs="宋体"/>
          <w:bCs/>
          <w:sz w:val="24"/>
          <w:szCs w:val="32"/>
          <w:highlight w:val="none"/>
          <w:lang w:eastAsia="zh-CN"/>
        </w:rPr>
      </w:pPr>
      <w:r>
        <w:rPr>
          <w:rFonts w:hint="eastAsia" w:ascii="宋体" w:hAnsi="宋体" w:eastAsia="宋体" w:cs="宋体"/>
          <w:bCs/>
          <w:sz w:val="24"/>
          <w:szCs w:val="32"/>
          <w:highlight w:val="none"/>
        </w:rPr>
        <w:t>（3）单价金额小数点或者百分比有明显错位的，以开标一览表的总价为准，并修改单价；</w:t>
      </w:r>
    </w:p>
    <w:p w14:paraId="31EFB5D5">
      <w:pPr>
        <w:adjustRightInd w:val="0"/>
        <w:snapToGrid w:val="0"/>
        <w:spacing w:line="500" w:lineRule="exact"/>
        <w:ind w:firstLine="480" w:firstLineChars="200"/>
        <w:rPr>
          <w:rFonts w:hint="eastAsia" w:ascii="宋体" w:hAnsi="宋体" w:eastAsia="宋体" w:cs="宋体"/>
          <w:bCs/>
          <w:sz w:val="24"/>
          <w:szCs w:val="32"/>
          <w:highlight w:val="none"/>
          <w:lang w:eastAsia="zh-CN"/>
        </w:rPr>
      </w:pPr>
      <w:r>
        <w:rPr>
          <w:rFonts w:hint="eastAsia" w:ascii="宋体" w:hAnsi="宋体" w:eastAsia="宋体" w:cs="宋体"/>
          <w:bCs/>
          <w:sz w:val="24"/>
          <w:szCs w:val="32"/>
          <w:highlight w:val="none"/>
        </w:rPr>
        <w:t>（4）总价金额与按单价汇总金额不一致的，以单价金额计算结果为准。</w:t>
      </w:r>
    </w:p>
    <w:p w14:paraId="38489360">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（5）同时出现两种以上不一致的，按照上述规定的顺序修正。修正后的报价按照《政府采购货物和服务招标投标管理办法》第五十一条第二款的规定经投标人确认后产生约束力，投标人不确认的，其投标无效。</w:t>
      </w:r>
    </w:p>
    <w:p w14:paraId="023C73D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ascii="宋体" w:hAnsi="宋体" w:eastAsia="宋体" w:cs="宋体"/>
          <w:b/>
          <w:bCs w:val="0"/>
          <w:sz w:val="24"/>
          <w:szCs w:val="32"/>
          <w:highlight w:val="none"/>
        </w:rPr>
      </w:pPr>
      <w:r>
        <w:rPr>
          <w:rFonts w:hint="eastAsia" w:ascii="宋体" w:hAnsi="宋体" w:eastAsia="宋体" w:cs="宋体"/>
          <w:bCs/>
          <w:sz w:val="24"/>
          <w:szCs w:val="32"/>
          <w:highlight w:val="none"/>
        </w:rPr>
        <w:t>3.1.3</w:t>
      </w:r>
      <w:r>
        <w:rPr>
          <w:rFonts w:hint="eastAsia" w:ascii="宋体" w:hAnsi="宋体" w:eastAsia="宋体" w:cs="宋体"/>
          <w:b/>
          <w:bCs w:val="0"/>
          <w:sz w:val="24"/>
          <w:szCs w:val="32"/>
          <w:highlight w:val="none"/>
        </w:rPr>
        <w:t>投标人的报价</w:t>
      </w:r>
      <w:r>
        <w:rPr>
          <w:rFonts w:hint="eastAsia" w:ascii="宋体" w:hAnsi="宋体" w:eastAsia="宋体" w:cs="宋体"/>
          <w:b/>
          <w:bCs w:val="0"/>
          <w:sz w:val="24"/>
          <w:szCs w:val="32"/>
          <w:highlight w:val="none"/>
          <w:lang w:val="en-US" w:eastAsia="zh-CN"/>
        </w:rPr>
        <w:t>出现异常低价，</w:t>
      </w:r>
      <w:r>
        <w:rPr>
          <w:rFonts w:hint="eastAsia" w:ascii="宋体" w:hAnsi="宋体" w:eastAsia="宋体" w:cs="宋体"/>
          <w:b/>
          <w:bCs/>
          <w:snapToGrid/>
          <w:color w:val="auto"/>
          <w:kern w:val="2"/>
          <w:sz w:val="24"/>
          <w:szCs w:val="24"/>
          <w:highlight w:val="none"/>
          <w:lang w:val="en-US" w:eastAsia="zh-CN" w:bidi="ar-SA"/>
        </w:rPr>
        <w:t>评标委员会应当启动异常低价投标审查程序，具体程序详见</w:t>
      </w:r>
      <w:r>
        <w:rPr>
          <w:rFonts w:hint="eastAsia" w:ascii="宋体" w:hAnsi="宋体" w:eastAsia="宋体" w:cs="宋体"/>
          <w:b/>
          <w:bCs w:val="0"/>
          <w:sz w:val="24"/>
          <w:szCs w:val="32"/>
          <w:highlight w:val="none"/>
          <w:lang w:eastAsia="zh-CN"/>
        </w:rPr>
        <w:t>“</w:t>
      </w:r>
      <w:r>
        <w:rPr>
          <w:rFonts w:hint="eastAsia" w:ascii="宋体" w:hAnsi="宋体" w:eastAsia="宋体" w:cs="宋体"/>
          <w:b/>
          <w:bCs w:val="0"/>
          <w:sz w:val="24"/>
          <w:szCs w:val="32"/>
          <w:highlight w:val="none"/>
          <w:lang w:val="en-US" w:eastAsia="zh-CN"/>
        </w:rPr>
        <w:t>投标人须知中</w:t>
      </w:r>
      <w:r>
        <w:rPr>
          <w:rFonts w:hint="eastAsia" w:ascii="宋体" w:hAnsi="宋体" w:eastAsia="宋体" w:cs="宋体"/>
          <w:b/>
          <w:bCs w:val="0"/>
          <w:sz w:val="24"/>
          <w:szCs w:val="32"/>
          <w:highlight w:val="none"/>
        </w:rPr>
        <w:t>12.5</w:t>
      </w:r>
      <w:r>
        <w:rPr>
          <w:rFonts w:hint="eastAsia" w:ascii="宋体" w:hAnsi="宋体" w:eastAsia="宋体" w:cs="宋体"/>
          <w:b/>
          <w:bCs w:val="0"/>
          <w:snapToGrid/>
          <w:color w:val="auto"/>
          <w:kern w:val="2"/>
          <w:sz w:val="24"/>
          <w:szCs w:val="24"/>
          <w:highlight w:val="none"/>
          <w:lang w:val="en-US" w:eastAsia="zh-CN" w:bidi="ar-SA"/>
        </w:rPr>
        <w:t>采购异常低价审查”。</w:t>
      </w:r>
    </w:p>
    <w:p w14:paraId="1CA90A37">
      <w:pPr>
        <w:adjustRightInd w:val="0"/>
        <w:snapToGrid w:val="0"/>
        <w:spacing w:line="500" w:lineRule="exact"/>
        <w:ind w:firstLine="480" w:firstLineChars="200"/>
        <w:rPr>
          <w:rFonts w:hint="eastAsia" w:ascii="宋体" w:hAnsi="宋体" w:eastAsia="宋体" w:cs="宋体"/>
          <w:bCs/>
          <w:sz w:val="24"/>
          <w:szCs w:val="32"/>
          <w:highlight w:val="none"/>
          <w:lang w:eastAsia="zh-CN"/>
        </w:rPr>
      </w:pPr>
      <w:r>
        <w:rPr>
          <w:rFonts w:hint="eastAsia" w:ascii="宋体" w:hAnsi="宋体" w:eastAsia="宋体" w:cs="宋体"/>
          <w:bCs/>
          <w:sz w:val="24"/>
          <w:szCs w:val="32"/>
          <w:highlight w:val="none"/>
        </w:rPr>
        <w:t>3.2详细评审</w:t>
      </w:r>
    </w:p>
    <w:p w14:paraId="0C779B01">
      <w:pPr>
        <w:adjustRightInd w:val="0"/>
        <w:snapToGrid w:val="0"/>
        <w:spacing w:line="500" w:lineRule="exact"/>
        <w:ind w:firstLine="480" w:firstLineChars="200"/>
        <w:rPr>
          <w:rFonts w:hint="eastAsia" w:ascii="宋体" w:hAnsi="宋体" w:eastAsia="宋体" w:cs="宋体"/>
          <w:bCs/>
          <w:sz w:val="24"/>
          <w:szCs w:val="32"/>
          <w:highlight w:val="none"/>
          <w:lang w:eastAsia="zh-CN"/>
        </w:rPr>
      </w:pPr>
      <w:r>
        <w:rPr>
          <w:rFonts w:hint="eastAsia" w:ascii="宋体" w:hAnsi="宋体" w:eastAsia="宋体" w:cs="宋体"/>
          <w:bCs/>
          <w:sz w:val="24"/>
          <w:szCs w:val="32"/>
          <w:highlight w:val="none"/>
        </w:rPr>
        <w:t>3.2.1评标委员会按本章规定的量化因素和分值进行打分，并计算出综合评估得分。</w:t>
      </w:r>
    </w:p>
    <w:p w14:paraId="6E4C703F">
      <w:pPr>
        <w:adjustRightInd w:val="0"/>
        <w:snapToGrid w:val="0"/>
        <w:spacing w:line="500" w:lineRule="exact"/>
        <w:ind w:firstLine="480" w:firstLineChars="200"/>
        <w:rPr>
          <w:rFonts w:hint="eastAsia" w:ascii="宋体" w:hAnsi="宋体" w:eastAsia="宋体" w:cs="宋体"/>
          <w:bCs/>
          <w:sz w:val="24"/>
          <w:szCs w:val="32"/>
          <w:highlight w:val="none"/>
          <w:lang w:eastAsia="zh-CN"/>
        </w:rPr>
      </w:pPr>
      <w:r>
        <w:rPr>
          <w:rFonts w:hint="eastAsia" w:ascii="宋体" w:hAnsi="宋体" w:eastAsia="宋体" w:cs="宋体"/>
          <w:bCs/>
          <w:sz w:val="24"/>
          <w:szCs w:val="32"/>
          <w:highlight w:val="none"/>
        </w:rPr>
        <w:t>3.2.2评分分值计算保留小数点后两位，小数点后第三位“四舍五入”。</w:t>
      </w:r>
    </w:p>
    <w:p w14:paraId="5E4047BF">
      <w:pPr>
        <w:adjustRightInd w:val="0"/>
        <w:snapToGrid w:val="0"/>
        <w:spacing w:line="500" w:lineRule="exact"/>
        <w:ind w:firstLine="480" w:firstLineChars="200"/>
        <w:rPr>
          <w:rFonts w:hint="eastAsia" w:ascii="宋体" w:hAnsi="宋体" w:eastAsia="宋体" w:cs="宋体"/>
          <w:b/>
          <w:bCs w:val="0"/>
          <w:sz w:val="24"/>
          <w:szCs w:val="32"/>
          <w:highlight w:val="none"/>
        </w:rPr>
      </w:pPr>
      <w:r>
        <w:rPr>
          <w:rFonts w:hint="eastAsia" w:ascii="宋体" w:hAnsi="宋体" w:eastAsia="宋体" w:cs="宋体"/>
          <w:bCs/>
          <w:sz w:val="24"/>
          <w:szCs w:val="32"/>
          <w:highlight w:val="none"/>
        </w:rPr>
        <w:t>3.2.3</w:t>
      </w:r>
      <w:r>
        <w:rPr>
          <w:rFonts w:hint="eastAsia" w:ascii="宋体" w:hAnsi="宋体" w:eastAsia="宋体" w:cs="宋体"/>
          <w:b/>
          <w:bCs w:val="0"/>
          <w:sz w:val="24"/>
          <w:szCs w:val="32"/>
          <w:highlight w:val="none"/>
        </w:rPr>
        <w:t>投标人得分=商务标（明标）得分+技术标（暗标）得分</w:t>
      </w:r>
      <w:r>
        <w:rPr>
          <w:rFonts w:hint="eastAsia" w:ascii="宋体" w:hAnsi="宋体" w:eastAsia="宋体" w:cs="宋体"/>
          <w:b/>
          <w:bCs w:val="0"/>
          <w:sz w:val="24"/>
          <w:szCs w:val="32"/>
          <w:highlight w:val="none"/>
          <w:lang w:eastAsia="zh-CN"/>
        </w:rPr>
        <w:t>。</w:t>
      </w:r>
    </w:p>
    <w:p w14:paraId="2C754B42">
      <w:pPr>
        <w:adjustRightInd w:val="0"/>
        <w:snapToGrid w:val="0"/>
        <w:spacing w:line="500" w:lineRule="exact"/>
        <w:ind w:firstLine="480" w:firstLineChars="200"/>
        <w:rPr>
          <w:rFonts w:hint="eastAsia" w:ascii="宋体" w:hAnsi="宋体" w:eastAsia="宋体" w:cs="宋体"/>
          <w:bCs/>
          <w:sz w:val="24"/>
          <w:szCs w:val="32"/>
          <w:highlight w:val="none"/>
          <w:lang w:eastAsia="zh-CN"/>
        </w:rPr>
      </w:pPr>
      <w:r>
        <w:rPr>
          <w:rFonts w:hint="eastAsia" w:ascii="宋体" w:hAnsi="宋体" w:eastAsia="宋体" w:cs="宋体"/>
          <w:bCs/>
          <w:sz w:val="24"/>
          <w:szCs w:val="32"/>
          <w:highlight w:val="none"/>
        </w:rPr>
        <w:t>3.3投标文件的澄清和补正</w:t>
      </w:r>
    </w:p>
    <w:p w14:paraId="3A28E3AB">
      <w:pPr>
        <w:adjustRightInd w:val="0"/>
        <w:snapToGrid w:val="0"/>
        <w:spacing w:line="500" w:lineRule="exact"/>
        <w:ind w:firstLine="480" w:firstLineChars="200"/>
        <w:rPr>
          <w:rFonts w:hint="eastAsia" w:ascii="宋体" w:hAnsi="宋体" w:eastAsia="宋体" w:cs="宋体"/>
          <w:bCs/>
          <w:sz w:val="24"/>
          <w:szCs w:val="32"/>
          <w:highlight w:val="none"/>
          <w:lang w:eastAsia="zh-CN"/>
        </w:rPr>
      </w:pPr>
      <w:r>
        <w:rPr>
          <w:rFonts w:hint="eastAsia" w:ascii="宋体" w:hAnsi="宋体" w:eastAsia="宋体" w:cs="宋体"/>
          <w:bCs/>
          <w:sz w:val="24"/>
          <w:szCs w:val="32"/>
          <w:highlight w:val="none"/>
        </w:rPr>
        <w:t>3.3.1在评标过程中，评标委员会可以书面形式要求投标人在规定时间内对所提交投标文件中不明确的内容进行书面澄清或说明，或者对细微偏差进行补正。评标委员会不接受投标人主动提出的澄清、说明或补正。</w:t>
      </w:r>
    </w:p>
    <w:p w14:paraId="43A2868D">
      <w:pPr>
        <w:adjustRightInd w:val="0"/>
        <w:snapToGrid w:val="0"/>
        <w:spacing w:line="500" w:lineRule="exact"/>
        <w:ind w:firstLine="480" w:firstLineChars="200"/>
        <w:rPr>
          <w:rFonts w:hint="eastAsia" w:ascii="宋体" w:hAnsi="宋体" w:eastAsia="宋体" w:cs="宋体"/>
          <w:bCs/>
          <w:sz w:val="24"/>
          <w:szCs w:val="32"/>
          <w:highlight w:val="none"/>
          <w:lang w:eastAsia="zh-CN"/>
        </w:rPr>
      </w:pPr>
      <w:r>
        <w:rPr>
          <w:rFonts w:hint="eastAsia" w:ascii="宋体" w:hAnsi="宋体" w:eastAsia="宋体" w:cs="宋体"/>
          <w:bCs/>
          <w:sz w:val="24"/>
          <w:szCs w:val="32"/>
          <w:highlight w:val="none"/>
        </w:rPr>
        <w:t>3.3.2澄清、说明和补正不得改变投标文件的实质性内容（算术性错误修正的除外）。投标人的书面澄清、说明和补正属于投标文件的组成部分。</w:t>
      </w:r>
    </w:p>
    <w:p w14:paraId="08B9FD6F">
      <w:pPr>
        <w:adjustRightInd w:val="0"/>
        <w:snapToGrid w:val="0"/>
        <w:spacing w:line="500" w:lineRule="exact"/>
        <w:ind w:firstLine="480" w:firstLineChars="200"/>
        <w:rPr>
          <w:rFonts w:hint="eastAsia" w:ascii="宋体" w:hAnsi="宋体" w:eastAsia="宋体" w:cs="宋体"/>
          <w:bCs/>
          <w:sz w:val="24"/>
          <w:szCs w:val="32"/>
          <w:highlight w:val="none"/>
          <w:lang w:eastAsia="zh-CN"/>
        </w:rPr>
      </w:pPr>
      <w:r>
        <w:rPr>
          <w:rFonts w:hint="eastAsia" w:ascii="宋体" w:hAnsi="宋体" w:eastAsia="宋体" w:cs="宋体"/>
          <w:bCs/>
          <w:sz w:val="24"/>
          <w:szCs w:val="32"/>
          <w:highlight w:val="none"/>
        </w:rPr>
        <w:t>3.3.3评标委员会对投标人提交的澄清、说明或补正有疑问的，可以要求投标人进一步澄清、说明或补正，直至满足评标委员会的要求。</w:t>
      </w:r>
    </w:p>
    <w:p w14:paraId="6D395129">
      <w:pPr>
        <w:adjustRightInd w:val="0"/>
        <w:snapToGrid w:val="0"/>
        <w:spacing w:line="500" w:lineRule="exact"/>
        <w:ind w:firstLine="480" w:firstLineChars="200"/>
        <w:rPr>
          <w:rFonts w:hint="eastAsia" w:ascii="宋体" w:hAnsi="宋体" w:eastAsia="宋体" w:cs="宋体"/>
          <w:bCs/>
          <w:sz w:val="24"/>
          <w:szCs w:val="32"/>
          <w:highlight w:val="none"/>
          <w:lang w:eastAsia="zh-CN"/>
        </w:rPr>
      </w:pPr>
      <w:r>
        <w:rPr>
          <w:rFonts w:hint="eastAsia" w:ascii="宋体" w:hAnsi="宋体" w:eastAsia="宋体" w:cs="宋体"/>
          <w:bCs/>
          <w:sz w:val="24"/>
          <w:szCs w:val="32"/>
          <w:highlight w:val="none"/>
        </w:rPr>
        <w:t>3.4评标结果</w:t>
      </w:r>
    </w:p>
    <w:p w14:paraId="6FB159B8">
      <w:pPr>
        <w:adjustRightInd w:val="0"/>
        <w:snapToGrid w:val="0"/>
        <w:spacing w:line="500" w:lineRule="exact"/>
        <w:ind w:firstLine="480" w:firstLineChars="200"/>
        <w:rPr>
          <w:rFonts w:hint="eastAsia" w:ascii="宋体" w:hAnsi="宋体" w:eastAsia="宋体" w:cs="宋体"/>
          <w:bCs/>
          <w:sz w:val="24"/>
          <w:szCs w:val="32"/>
          <w:highlight w:val="none"/>
          <w:lang w:eastAsia="zh-CN"/>
        </w:rPr>
      </w:pPr>
      <w:r>
        <w:rPr>
          <w:rFonts w:hint="eastAsia" w:ascii="宋体" w:hAnsi="宋体" w:eastAsia="宋体" w:cs="宋体"/>
          <w:bCs/>
          <w:sz w:val="24"/>
          <w:szCs w:val="32"/>
          <w:highlight w:val="none"/>
        </w:rPr>
        <w:t>3.4.1评标委员会按照得分由高到低的顺序推荐中标候选人。</w:t>
      </w:r>
    </w:p>
    <w:p w14:paraId="0321DE1A">
      <w:pPr>
        <w:adjustRightInd w:val="0"/>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3.4.2评标委员会完成评标后，应当向采购人提交书面评标报告。</w:t>
      </w:r>
    </w:p>
    <w:p w14:paraId="38771B7D">
      <w:pPr>
        <w:widowControl/>
        <w:jc w:val="left"/>
        <w:rPr>
          <w:rFonts w:ascii="宋体" w:hAnsi="宋体" w:eastAsia="宋体" w:cs="宋体"/>
          <w:bCs/>
          <w:sz w:val="24"/>
          <w:szCs w:val="32"/>
          <w:highlight w:val="none"/>
        </w:rPr>
      </w:pPr>
      <w:r>
        <w:rPr>
          <w:rFonts w:ascii="宋体" w:hAnsi="宋体" w:eastAsia="宋体" w:cs="宋体"/>
          <w:bCs/>
          <w:sz w:val="24"/>
          <w:szCs w:val="32"/>
          <w:highlight w:val="none"/>
        </w:rPr>
        <w:br w:type="page"/>
      </w:r>
    </w:p>
    <w:p w14:paraId="6013D221">
      <w:pPr>
        <w:adjustRightInd w:val="0"/>
        <w:snapToGrid w:val="0"/>
        <w:spacing w:line="500" w:lineRule="exact"/>
        <w:ind w:firstLine="480" w:firstLineChars="200"/>
        <w:rPr>
          <w:rFonts w:ascii="宋体" w:hAnsi="宋体" w:eastAsia="宋体" w:cs="宋体"/>
          <w:bCs/>
          <w:sz w:val="24"/>
          <w:szCs w:val="32"/>
          <w:highlight w:val="none"/>
        </w:rPr>
      </w:pPr>
    </w:p>
    <w:p w14:paraId="1688B40A">
      <w:pPr>
        <w:adjustRightInd w:val="0"/>
        <w:snapToGrid w:val="0"/>
        <w:spacing w:line="500" w:lineRule="exact"/>
        <w:ind w:firstLine="480" w:firstLineChars="200"/>
        <w:rPr>
          <w:rFonts w:ascii="宋体" w:hAnsi="宋体" w:eastAsia="宋体" w:cs="宋体"/>
          <w:bCs/>
          <w:sz w:val="24"/>
          <w:szCs w:val="32"/>
          <w:highlight w:val="none"/>
        </w:rPr>
      </w:pPr>
    </w:p>
    <w:p w14:paraId="1401E54F">
      <w:pPr>
        <w:adjustRightInd w:val="0"/>
        <w:snapToGrid w:val="0"/>
        <w:spacing w:line="500" w:lineRule="exact"/>
        <w:ind w:firstLine="480" w:firstLineChars="200"/>
        <w:rPr>
          <w:rFonts w:ascii="宋体" w:hAnsi="宋体" w:eastAsia="宋体" w:cs="宋体"/>
          <w:bCs/>
          <w:sz w:val="24"/>
          <w:szCs w:val="32"/>
          <w:highlight w:val="none"/>
        </w:rPr>
      </w:pPr>
    </w:p>
    <w:p w14:paraId="7916EE5F">
      <w:pPr>
        <w:adjustRightInd w:val="0"/>
        <w:snapToGrid w:val="0"/>
        <w:spacing w:line="500" w:lineRule="exact"/>
        <w:ind w:firstLine="480" w:firstLineChars="200"/>
        <w:rPr>
          <w:rFonts w:ascii="宋体" w:hAnsi="宋体" w:eastAsia="宋体" w:cs="宋体"/>
          <w:bCs/>
          <w:sz w:val="24"/>
          <w:szCs w:val="32"/>
          <w:highlight w:val="none"/>
        </w:rPr>
      </w:pPr>
    </w:p>
    <w:p w14:paraId="2705838B">
      <w:pPr>
        <w:adjustRightInd w:val="0"/>
        <w:snapToGrid w:val="0"/>
        <w:spacing w:line="500" w:lineRule="exact"/>
        <w:ind w:firstLine="480" w:firstLineChars="200"/>
        <w:rPr>
          <w:rFonts w:ascii="宋体" w:hAnsi="宋体" w:eastAsia="宋体" w:cs="宋体"/>
          <w:bCs/>
          <w:sz w:val="24"/>
          <w:szCs w:val="32"/>
          <w:highlight w:val="none"/>
        </w:rPr>
      </w:pPr>
    </w:p>
    <w:p w14:paraId="1CE254E9">
      <w:pPr>
        <w:adjustRightInd w:val="0"/>
        <w:snapToGrid w:val="0"/>
        <w:spacing w:line="500" w:lineRule="exact"/>
        <w:ind w:firstLine="480" w:firstLineChars="200"/>
        <w:rPr>
          <w:rFonts w:ascii="宋体" w:hAnsi="宋体" w:eastAsia="宋体" w:cs="宋体"/>
          <w:bCs/>
          <w:sz w:val="24"/>
          <w:szCs w:val="32"/>
          <w:highlight w:val="none"/>
        </w:rPr>
      </w:pPr>
    </w:p>
    <w:p w14:paraId="1B60F0A9">
      <w:pPr>
        <w:adjustRightInd w:val="0"/>
        <w:snapToGrid w:val="0"/>
        <w:spacing w:line="500" w:lineRule="exact"/>
        <w:ind w:firstLine="480" w:firstLineChars="200"/>
        <w:rPr>
          <w:rFonts w:ascii="宋体" w:hAnsi="宋体" w:eastAsia="宋体" w:cs="宋体"/>
          <w:bCs/>
          <w:sz w:val="24"/>
          <w:szCs w:val="32"/>
          <w:highlight w:val="none"/>
        </w:rPr>
      </w:pPr>
    </w:p>
    <w:p w14:paraId="51502F4E">
      <w:pPr>
        <w:adjustRightInd w:val="0"/>
        <w:snapToGrid w:val="0"/>
        <w:spacing w:line="500" w:lineRule="exact"/>
        <w:ind w:firstLine="480" w:firstLineChars="200"/>
        <w:rPr>
          <w:rFonts w:ascii="宋体" w:hAnsi="宋体" w:eastAsia="宋体" w:cs="宋体"/>
          <w:bCs/>
          <w:sz w:val="24"/>
          <w:szCs w:val="32"/>
          <w:highlight w:val="none"/>
        </w:rPr>
      </w:pPr>
    </w:p>
    <w:p w14:paraId="0F09612D">
      <w:pPr>
        <w:adjustRightInd w:val="0"/>
        <w:snapToGrid w:val="0"/>
        <w:spacing w:line="500" w:lineRule="exact"/>
        <w:ind w:firstLine="480" w:firstLineChars="200"/>
        <w:rPr>
          <w:rFonts w:ascii="宋体" w:hAnsi="宋体" w:eastAsia="宋体" w:cs="宋体"/>
          <w:bCs/>
          <w:sz w:val="24"/>
          <w:szCs w:val="32"/>
          <w:highlight w:val="none"/>
        </w:rPr>
      </w:pPr>
    </w:p>
    <w:p w14:paraId="1DC41E26">
      <w:pPr>
        <w:adjustRightInd w:val="0"/>
        <w:snapToGrid w:val="0"/>
        <w:spacing w:line="500" w:lineRule="exact"/>
        <w:ind w:firstLine="480" w:firstLineChars="200"/>
        <w:rPr>
          <w:rFonts w:ascii="宋体" w:hAnsi="宋体" w:eastAsia="宋体" w:cs="宋体"/>
          <w:bCs/>
          <w:sz w:val="24"/>
          <w:szCs w:val="32"/>
          <w:highlight w:val="none"/>
        </w:rPr>
      </w:pPr>
    </w:p>
    <w:p w14:paraId="2D055331">
      <w:pPr>
        <w:adjustRightInd w:val="0"/>
        <w:snapToGrid w:val="0"/>
        <w:spacing w:line="500" w:lineRule="exact"/>
        <w:ind w:firstLine="480" w:firstLineChars="200"/>
        <w:rPr>
          <w:rFonts w:ascii="宋体" w:hAnsi="宋体" w:eastAsia="宋体" w:cs="宋体"/>
          <w:bCs/>
          <w:sz w:val="24"/>
          <w:szCs w:val="32"/>
          <w:highlight w:val="none"/>
        </w:rPr>
      </w:pPr>
    </w:p>
    <w:p w14:paraId="301DD136">
      <w:pPr>
        <w:pStyle w:val="3"/>
        <w:jc w:val="center"/>
        <w:rPr>
          <w:sz w:val="48"/>
          <w:szCs w:val="48"/>
        </w:rPr>
      </w:pPr>
      <w:bookmarkStart w:id="37" w:name="_Toc18677"/>
      <w:r>
        <w:rPr>
          <w:sz w:val="48"/>
          <w:szCs w:val="48"/>
        </w:rPr>
        <w:t>第</w:t>
      </w:r>
      <w:r>
        <w:rPr>
          <w:rFonts w:hint="eastAsia"/>
          <w:sz w:val="48"/>
          <w:szCs w:val="48"/>
        </w:rPr>
        <w:t>四</w:t>
      </w:r>
      <w:r>
        <w:rPr>
          <w:sz w:val="48"/>
          <w:szCs w:val="48"/>
        </w:rPr>
        <w:t>章</w:t>
      </w:r>
      <w:r>
        <w:rPr>
          <w:rFonts w:hint="eastAsia"/>
          <w:sz w:val="48"/>
          <w:szCs w:val="48"/>
          <w:lang w:val="en-US" w:eastAsia="zh-CN"/>
        </w:rPr>
        <w:t xml:space="preserve">  </w:t>
      </w:r>
      <w:r>
        <w:rPr>
          <w:sz w:val="48"/>
          <w:szCs w:val="48"/>
        </w:rPr>
        <w:t>项目要求</w:t>
      </w:r>
      <w:bookmarkEnd w:id="37"/>
    </w:p>
    <w:p w14:paraId="17B14772">
      <w:pPr>
        <w:adjustRightInd w:val="0"/>
        <w:snapToGrid w:val="0"/>
        <w:spacing w:line="500" w:lineRule="exact"/>
        <w:jc w:val="center"/>
        <w:rPr>
          <w:rFonts w:ascii="宋体" w:hAnsi="宋体" w:eastAsia="宋体" w:cs="宋体"/>
          <w:spacing w:val="9"/>
          <w:sz w:val="44"/>
          <w:szCs w:val="44"/>
          <w:highlight w:val="none"/>
          <w14:textOutline w14:w="6540" w14:cap="sq" w14:cmpd="sng" w14:algn="ctr">
            <w14:solidFill>
              <w14:srgbClr w14:val="000000"/>
            </w14:solidFill>
            <w14:prstDash w14:val="solid"/>
            <w14:bevel/>
          </w14:textOutline>
        </w:rPr>
      </w:pPr>
    </w:p>
    <w:p w14:paraId="691FD75A">
      <w:pPr>
        <w:adjustRightInd w:val="0"/>
        <w:snapToGrid w:val="0"/>
        <w:spacing w:line="500" w:lineRule="exact"/>
        <w:jc w:val="center"/>
        <w:rPr>
          <w:rFonts w:ascii="宋体" w:hAnsi="宋体" w:eastAsia="宋体" w:cs="宋体"/>
          <w:spacing w:val="9"/>
          <w:sz w:val="44"/>
          <w:szCs w:val="44"/>
          <w:highlight w:val="none"/>
          <w14:textOutline w14:w="6540" w14:cap="sq" w14:cmpd="sng" w14:algn="ctr">
            <w14:solidFill>
              <w14:srgbClr w14:val="000000"/>
            </w14:solidFill>
            <w14:prstDash w14:val="solid"/>
            <w14:bevel/>
          </w14:textOutline>
        </w:rPr>
      </w:pPr>
    </w:p>
    <w:p w14:paraId="3A309043">
      <w:pPr>
        <w:widowControl/>
        <w:jc w:val="left"/>
        <w:rPr>
          <w:rFonts w:ascii="宋体" w:hAnsi="宋体" w:eastAsia="宋体" w:cs="宋体"/>
          <w:spacing w:val="9"/>
          <w:sz w:val="44"/>
          <w:szCs w:val="44"/>
          <w:highlight w:val="none"/>
          <w14:textOutline w14:w="6540" w14:cap="sq" w14:cmpd="sng" w14:algn="ctr">
            <w14:solidFill>
              <w14:srgbClr w14:val="000000"/>
            </w14:solidFill>
            <w14:prstDash w14:val="solid"/>
            <w14:bevel/>
          </w14:textOutline>
        </w:rPr>
      </w:pPr>
      <w:r>
        <w:rPr>
          <w:rFonts w:ascii="宋体" w:hAnsi="宋体" w:eastAsia="宋体" w:cs="宋体"/>
          <w:spacing w:val="9"/>
          <w:sz w:val="44"/>
          <w:szCs w:val="44"/>
          <w:highlight w:val="none"/>
          <w14:textOutline w14:w="6540" w14:cap="sq" w14:cmpd="sng" w14:algn="ctr">
            <w14:solidFill>
              <w14:srgbClr w14:val="000000"/>
            </w14:solidFill>
            <w14:prstDash w14:val="solid"/>
            <w14:bevel/>
          </w14:textOutline>
        </w:rPr>
        <w:br w:type="page"/>
      </w:r>
    </w:p>
    <w:p w14:paraId="457F28AF">
      <w:pPr>
        <w:keepNext w:val="0"/>
        <w:keepLines w:val="0"/>
        <w:pageBreakBefore w:val="0"/>
        <w:kinsoku/>
        <w:wordWrap w:val="0"/>
        <w:overflowPunct/>
        <w:topLinePunct/>
        <w:autoSpaceDE/>
        <w:autoSpaceDN/>
        <w:bidi w:val="0"/>
        <w:adjustRightInd w:val="0"/>
        <w:snapToGrid/>
        <w:spacing w:line="520" w:lineRule="exact"/>
        <w:ind w:left="0" w:leftChars="0" w:firstLine="482" w:firstLineChars="200"/>
        <w:jc w:val="left"/>
        <w:textAlignment w:val="auto"/>
        <w:rPr>
          <w:rFonts w:hint="eastAsia" w:ascii="宋体" w:hAnsi="宋体" w:eastAsia="宋体" w:cs="宋体"/>
          <w:b/>
          <w:bCs w:val="0"/>
          <w:kern w:val="0"/>
          <w:sz w:val="24"/>
          <w:szCs w:val="24"/>
          <w:lang w:val="en-US" w:eastAsia="zh-CN"/>
        </w:rPr>
      </w:pPr>
      <w:r>
        <w:rPr>
          <w:rFonts w:hint="eastAsia" w:ascii="宋体" w:hAnsi="宋体" w:eastAsia="宋体" w:cs="宋体"/>
          <w:b/>
          <w:bCs w:val="0"/>
          <w:kern w:val="0"/>
          <w:sz w:val="24"/>
          <w:szCs w:val="24"/>
          <w:lang w:val="en-US" w:eastAsia="zh-CN"/>
        </w:rPr>
        <w:t>一、服务范围</w:t>
      </w:r>
    </w:p>
    <w:p w14:paraId="1C253C02">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b/>
          <w:bCs w:val="0"/>
          <w:kern w:val="0"/>
          <w:sz w:val="24"/>
          <w:szCs w:val="24"/>
          <w:lang w:val="en-US" w:eastAsia="zh-CN"/>
        </w:rPr>
      </w:pPr>
      <w:r>
        <w:rPr>
          <w:rFonts w:hint="eastAsia" w:ascii="宋体" w:hAnsi="宋体" w:eastAsia="宋体" w:cs="宋体"/>
          <w:sz w:val="24"/>
          <w:szCs w:val="24"/>
        </w:rPr>
        <w:t>济源市人民医院保安服务采购项目</w:t>
      </w:r>
      <w:r>
        <w:rPr>
          <w:rFonts w:hint="eastAsia" w:ascii="宋体" w:hAnsi="宋体" w:eastAsia="宋体" w:cs="宋体"/>
          <w:sz w:val="24"/>
          <w:szCs w:val="24"/>
          <w:lang w:val="en-US" w:eastAsia="zh-CN"/>
        </w:rPr>
        <w:t>服务范围</w:t>
      </w:r>
      <w:r>
        <w:rPr>
          <w:rFonts w:hint="eastAsia" w:ascii="宋体" w:hAnsi="宋体" w:eastAsia="宋体" w:cs="宋体"/>
          <w:b w:val="0"/>
          <w:bCs/>
          <w:kern w:val="0"/>
          <w:sz w:val="24"/>
          <w:szCs w:val="24"/>
        </w:rPr>
        <w:t>包括但不限于对济源市人民医院各类建筑门岗及公共区域执勤、巡逻、守护、交通管理、秩序维持、临时保卫、协助做好消防安全、停车场管理及应急处理等工作。</w:t>
      </w:r>
    </w:p>
    <w:p w14:paraId="6CF1B783">
      <w:pPr>
        <w:keepNext w:val="0"/>
        <w:keepLines w:val="0"/>
        <w:pageBreakBefore w:val="0"/>
        <w:kinsoku/>
        <w:wordWrap w:val="0"/>
        <w:overflowPunct/>
        <w:topLinePunct/>
        <w:autoSpaceDE/>
        <w:autoSpaceDN/>
        <w:bidi w:val="0"/>
        <w:adjustRightInd w:val="0"/>
        <w:snapToGrid/>
        <w:spacing w:line="520" w:lineRule="exact"/>
        <w:ind w:left="0" w:leftChars="0" w:firstLine="482" w:firstLineChars="200"/>
        <w:jc w:val="left"/>
        <w:textAlignment w:val="auto"/>
        <w:rPr>
          <w:rFonts w:hint="eastAsia" w:ascii="宋体" w:hAnsi="宋体" w:eastAsia="宋体" w:cs="宋体"/>
          <w:b/>
          <w:bCs w:val="0"/>
          <w:kern w:val="0"/>
          <w:sz w:val="24"/>
          <w:szCs w:val="24"/>
          <w:lang w:val="en-US"/>
        </w:rPr>
      </w:pPr>
      <w:r>
        <w:rPr>
          <w:rFonts w:hint="eastAsia" w:ascii="宋体" w:hAnsi="宋体" w:eastAsia="宋体" w:cs="宋体"/>
          <w:b/>
          <w:bCs w:val="0"/>
          <w:kern w:val="0"/>
          <w:sz w:val="24"/>
          <w:szCs w:val="24"/>
          <w:lang w:val="en-US" w:eastAsia="zh-CN"/>
        </w:rPr>
        <w:t>二、安保工作重点及职责</w:t>
      </w:r>
    </w:p>
    <w:p w14:paraId="1689848A">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人民医院</w:t>
      </w:r>
      <w:r>
        <w:rPr>
          <w:rFonts w:hint="eastAsia" w:ascii="宋体" w:hAnsi="宋体" w:eastAsia="宋体" w:cs="宋体"/>
          <w:sz w:val="24"/>
          <w:szCs w:val="24"/>
          <w:lang w:val="en-US" w:eastAsia="zh-CN"/>
        </w:rPr>
        <w:t>安保</w:t>
      </w:r>
      <w:r>
        <w:rPr>
          <w:rFonts w:hint="eastAsia" w:ascii="宋体" w:hAnsi="宋体" w:eastAsia="宋体" w:cs="宋体"/>
          <w:sz w:val="24"/>
          <w:szCs w:val="24"/>
        </w:rPr>
        <w:t>核心是24小时守护医患安全、维护医疗秩序、保障院区安全，职责分</w:t>
      </w:r>
      <w:r>
        <w:rPr>
          <w:rFonts w:hint="eastAsia" w:ascii="宋体" w:hAnsi="宋体" w:eastAsia="宋体" w:cs="宋体"/>
          <w:sz w:val="24"/>
          <w:szCs w:val="24"/>
          <w:lang w:val="en-US" w:eastAsia="zh-CN"/>
        </w:rPr>
        <w:t>五</w:t>
      </w:r>
      <w:r>
        <w:rPr>
          <w:rFonts w:hint="eastAsia" w:ascii="宋体" w:hAnsi="宋体" w:eastAsia="宋体" w:cs="宋体"/>
          <w:sz w:val="24"/>
          <w:szCs w:val="24"/>
        </w:rPr>
        <w:t>大类：</w:t>
      </w:r>
    </w:p>
    <w:p w14:paraId="04F2C4FE">
      <w:pPr>
        <w:keepNext w:val="0"/>
        <w:keepLines w:val="0"/>
        <w:pageBreakBefore w:val="0"/>
        <w:kinsoku/>
        <w:wordWrap w:val="0"/>
        <w:overflowPunct/>
        <w:topLinePunct/>
        <w:autoSpaceDE/>
        <w:autoSpaceDN/>
        <w:bidi w:val="0"/>
        <w:snapToGrid/>
        <w:spacing w:line="520" w:lineRule="exact"/>
        <w:ind w:left="0" w:leftChars="0"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rPr>
        <w:t>一</w:t>
      </w:r>
      <w:r>
        <w:rPr>
          <w:rFonts w:hint="eastAsia" w:ascii="宋体" w:hAnsi="宋体" w:eastAsia="宋体" w:cs="宋体"/>
          <w:b/>
          <w:bCs/>
          <w:sz w:val="24"/>
          <w:szCs w:val="24"/>
          <w:lang w:eastAsia="zh-CN"/>
        </w:rPr>
        <w:t>）</w:t>
      </w:r>
      <w:r>
        <w:rPr>
          <w:rFonts w:hint="eastAsia" w:ascii="宋体" w:hAnsi="宋体" w:eastAsia="宋体" w:cs="宋体"/>
          <w:b/>
          <w:bCs/>
          <w:sz w:val="24"/>
          <w:szCs w:val="24"/>
        </w:rPr>
        <w:t>门岗管控（第一道防线）</w:t>
      </w:r>
    </w:p>
    <w:p w14:paraId="617BB76C">
      <w:pPr>
        <w:keepNext w:val="0"/>
        <w:keepLines w:val="0"/>
        <w:pageBreakBefore w:val="0"/>
        <w:kinsoku/>
        <w:wordWrap w:val="0"/>
        <w:overflowPunct/>
        <w:topLinePunct/>
        <w:autoSpaceDE/>
        <w:autoSpaceDN/>
        <w:bidi w:val="0"/>
        <w:snapToGrid/>
        <w:spacing w:line="520" w:lineRule="exact"/>
        <w:ind w:left="0" w:leftChars="0"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人员：核查身份、访客登记、引导就医；劝阻醉酒/精神异常/无陪未成年人单独进入诊疗区；安检违禁品（易燃易爆、管制刀具等）</w:t>
      </w:r>
      <w:r>
        <w:rPr>
          <w:rFonts w:hint="eastAsia" w:ascii="宋体" w:hAnsi="宋体" w:eastAsia="宋体" w:cs="宋体"/>
          <w:sz w:val="24"/>
          <w:szCs w:val="24"/>
          <w:lang w:eastAsia="zh-CN"/>
        </w:rPr>
        <w:t>。</w:t>
      </w:r>
    </w:p>
    <w:p w14:paraId="215FBB3A">
      <w:pPr>
        <w:keepNext w:val="0"/>
        <w:keepLines w:val="0"/>
        <w:pageBreakBefore w:val="0"/>
        <w:kinsoku/>
        <w:wordWrap w:val="0"/>
        <w:overflowPunct/>
        <w:topLinePunct/>
        <w:autoSpaceDE/>
        <w:autoSpaceDN/>
        <w:bidi w:val="0"/>
        <w:snapToGrid/>
        <w:spacing w:line="520" w:lineRule="exact"/>
        <w:ind w:left="0" w:leftChars="0"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车辆：疏导进出、规范停放；优先放行120/消防车，保障急救/消防通道畅通；非机动车统一管理</w:t>
      </w:r>
      <w:r>
        <w:rPr>
          <w:rFonts w:hint="eastAsia" w:ascii="宋体" w:hAnsi="宋体" w:eastAsia="宋体" w:cs="宋体"/>
          <w:sz w:val="24"/>
          <w:szCs w:val="24"/>
          <w:lang w:eastAsia="zh-CN"/>
        </w:rPr>
        <w:t>。</w:t>
      </w:r>
    </w:p>
    <w:p w14:paraId="1DA9D040">
      <w:pPr>
        <w:keepNext w:val="0"/>
        <w:keepLines w:val="0"/>
        <w:pageBreakBefore w:val="0"/>
        <w:kinsoku/>
        <w:wordWrap w:val="0"/>
        <w:overflowPunct/>
        <w:topLinePunct/>
        <w:autoSpaceDE/>
        <w:autoSpaceDN/>
        <w:bidi w:val="0"/>
        <w:snapToGrid/>
        <w:spacing w:line="520" w:lineRule="exact"/>
        <w:ind w:left="0" w:leftChars="0"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物资：大件物品出院需核出门条</w:t>
      </w:r>
      <w:r>
        <w:rPr>
          <w:rFonts w:hint="eastAsia" w:ascii="宋体" w:hAnsi="宋体" w:eastAsia="宋体" w:cs="宋体"/>
          <w:sz w:val="24"/>
          <w:szCs w:val="24"/>
          <w:lang w:eastAsia="zh-CN"/>
        </w:rPr>
        <w:t>，以</w:t>
      </w:r>
      <w:r>
        <w:rPr>
          <w:rFonts w:hint="eastAsia" w:ascii="宋体" w:hAnsi="宋体" w:eastAsia="宋体" w:cs="宋体"/>
          <w:sz w:val="24"/>
          <w:szCs w:val="24"/>
        </w:rPr>
        <w:t>防医院财产流失</w:t>
      </w:r>
      <w:r>
        <w:rPr>
          <w:rFonts w:hint="eastAsia" w:ascii="宋体" w:hAnsi="宋体" w:eastAsia="宋体" w:cs="宋体"/>
          <w:sz w:val="24"/>
          <w:szCs w:val="24"/>
          <w:lang w:eastAsia="zh-CN"/>
        </w:rPr>
        <w:t>。</w:t>
      </w:r>
    </w:p>
    <w:p w14:paraId="2CB92DD8">
      <w:pPr>
        <w:keepNext w:val="0"/>
        <w:keepLines w:val="0"/>
        <w:pageBreakBefore w:val="0"/>
        <w:kinsoku/>
        <w:wordWrap w:val="0"/>
        <w:overflowPunct/>
        <w:topLinePunct/>
        <w:autoSpaceDE/>
        <w:autoSpaceDN/>
        <w:bidi w:val="0"/>
        <w:snapToGrid/>
        <w:spacing w:line="520" w:lineRule="exact"/>
        <w:ind w:left="0" w:leftChars="0"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lang w:eastAsia="zh-CN"/>
        </w:rPr>
        <w:t>（二）</w:t>
      </w:r>
      <w:r>
        <w:rPr>
          <w:rFonts w:hint="eastAsia" w:ascii="宋体" w:hAnsi="宋体" w:eastAsia="宋体" w:cs="宋体"/>
          <w:b/>
          <w:bCs/>
          <w:sz w:val="24"/>
          <w:szCs w:val="24"/>
        </w:rPr>
        <w:t>院区巡逻与秩序维护</w:t>
      </w:r>
    </w:p>
    <w:p w14:paraId="11804EA3">
      <w:pPr>
        <w:keepNext w:val="0"/>
        <w:keepLines w:val="0"/>
        <w:pageBreakBefore w:val="0"/>
        <w:kinsoku/>
        <w:wordWrap w:val="0"/>
        <w:overflowPunct/>
        <w:topLinePunct/>
        <w:autoSpaceDE/>
        <w:autoSpaceDN/>
        <w:bidi w:val="0"/>
        <w:snapToGrid/>
        <w:spacing w:line="520" w:lineRule="exact"/>
        <w:ind w:left="0" w:leftChars="0"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定时巡查门诊、急诊、住院部、药房、财务室、ICU、手术室等重点区域</w:t>
      </w:r>
      <w:r>
        <w:rPr>
          <w:rFonts w:hint="eastAsia" w:ascii="宋体" w:hAnsi="宋体" w:eastAsia="宋体" w:cs="宋体"/>
          <w:sz w:val="24"/>
          <w:szCs w:val="24"/>
          <w:lang w:eastAsia="zh-CN"/>
        </w:rPr>
        <w:t>。</w:t>
      </w:r>
    </w:p>
    <w:p w14:paraId="7A5A819C">
      <w:pPr>
        <w:keepNext w:val="0"/>
        <w:keepLines w:val="0"/>
        <w:pageBreakBefore w:val="0"/>
        <w:kinsoku/>
        <w:wordWrap w:val="0"/>
        <w:overflowPunct/>
        <w:topLinePunct/>
        <w:autoSpaceDE/>
        <w:autoSpaceDN/>
        <w:bidi w:val="0"/>
        <w:snapToGrid/>
        <w:spacing w:line="520" w:lineRule="exact"/>
        <w:ind w:left="0" w:leftChars="0"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制止争吵、医闹、盗窃、破坏设施等行为；维护候诊/病房秩序</w:t>
      </w:r>
      <w:r>
        <w:rPr>
          <w:rFonts w:hint="eastAsia" w:ascii="宋体" w:hAnsi="宋体" w:eastAsia="宋体" w:cs="宋体"/>
          <w:sz w:val="24"/>
          <w:szCs w:val="24"/>
          <w:lang w:eastAsia="zh-CN"/>
        </w:rPr>
        <w:t>。</w:t>
      </w:r>
    </w:p>
    <w:p w14:paraId="7DE4FAE0">
      <w:pPr>
        <w:keepNext w:val="0"/>
        <w:keepLines w:val="0"/>
        <w:pageBreakBefore w:val="0"/>
        <w:kinsoku/>
        <w:wordWrap w:val="0"/>
        <w:overflowPunct/>
        <w:topLinePunct/>
        <w:autoSpaceDE/>
        <w:autoSpaceDN/>
        <w:bidi w:val="0"/>
        <w:snapToGrid/>
        <w:spacing w:line="520" w:lineRule="exact"/>
        <w:ind w:left="0" w:leftChars="0"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协助指引、帮扶老弱病残；处理迷路、突发晕倒等情况</w:t>
      </w:r>
      <w:r>
        <w:rPr>
          <w:rFonts w:hint="eastAsia" w:ascii="宋体" w:hAnsi="宋体" w:eastAsia="宋体" w:cs="宋体"/>
          <w:sz w:val="24"/>
          <w:szCs w:val="24"/>
          <w:lang w:eastAsia="zh-CN"/>
        </w:rPr>
        <w:t>。</w:t>
      </w:r>
    </w:p>
    <w:p w14:paraId="4D3E9DF8">
      <w:pPr>
        <w:keepNext w:val="0"/>
        <w:keepLines w:val="0"/>
        <w:pageBreakBefore w:val="0"/>
        <w:kinsoku/>
        <w:wordWrap w:val="0"/>
        <w:overflowPunct/>
        <w:topLinePunct/>
        <w:autoSpaceDE/>
        <w:autoSpaceDN/>
        <w:bidi w:val="0"/>
        <w:snapToGrid/>
        <w:spacing w:line="520" w:lineRule="exact"/>
        <w:ind w:left="0" w:leftChars="0"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lang w:eastAsia="zh-CN"/>
        </w:rPr>
        <w:t>（三）</w:t>
      </w:r>
      <w:r>
        <w:rPr>
          <w:rFonts w:hint="eastAsia" w:ascii="宋体" w:hAnsi="宋体" w:eastAsia="宋体" w:cs="宋体"/>
          <w:b/>
          <w:bCs/>
          <w:sz w:val="24"/>
          <w:szCs w:val="24"/>
        </w:rPr>
        <w:t>消防安全管理</w:t>
      </w:r>
    </w:p>
    <w:p w14:paraId="24A4EE0E">
      <w:pPr>
        <w:keepNext w:val="0"/>
        <w:keepLines w:val="0"/>
        <w:pageBreakBefore w:val="0"/>
        <w:kinsoku/>
        <w:wordWrap w:val="0"/>
        <w:overflowPunct/>
        <w:topLinePunct/>
        <w:autoSpaceDE/>
        <w:autoSpaceDN/>
        <w:bidi w:val="0"/>
        <w:snapToGrid/>
        <w:spacing w:line="520" w:lineRule="exact"/>
        <w:ind w:left="0" w:leftChars="0"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日常巡查消防栓、灭火器、应急灯、疏散通道，确保完好畅通</w:t>
      </w:r>
      <w:r>
        <w:rPr>
          <w:rFonts w:hint="eastAsia" w:ascii="宋体" w:hAnsi="宋体" w:eastAsia="宋体" w:cs="宋体"/>
          <w:sz w:val="24"/>
          <w:szCs w:val="24"/>
          <w:lang w:eastAsia="zh-CN"/>
        </w:rPr>
        <w:t>。</w:t>
      </w:r>
    </w:p>
    <w:p w14:paraId="5E92D031">
      <w:pPr>
        <w:keepNext w:val="0"/>
        <w:keepLines w:val="0"/>
        <w:pageBreakBefore w:val="0"/>
        <w:kinsoku/>
        <w:wordWrap w:val="0"/>
        <w:overflowPunct/>
        <w:topLinePunct/>
        <w:autoSpaceDE/>
        <w:autoSpaceDN/>
        <w:bidi w:val="0"/>
        <w:snapToGrid/>
        <w:spacing w:line="520" w:lineRule="exact"/>
        <w:ind w:left="0" w:leftChars="0"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发现火情立即报警、上报、扑救初起火灾、组织疏散</w:t>
      </w:r>
      <w:r>
        <w:rPr>
          <w:rFonts w:hint="eastAsia" w:ascii="宋体" w:hAnsi="宋体" w:eastAsia="宋体" w:cs="宋体"/>
          <w:sz w:val="24"/>
          <w:szCs w:val="24"/>
          <w:lang w:eastAsia="zh-CN"/>
        </w:rPr>
        <w:t>。</w:t>
      </w:r>
    </w:p>
    <w:p w14:paraId="0DA9CC3C">
      <w:pPr>
        <w:keepNext w:val="0"/>
        <w:keepLines w:val="0"/>
        <w:pageBreakBefore w:val="0"/>
        <w:kinsoku/>
        <w:wordWrap w:val="0"/>
        <w:overflowPunct/>
        <w:topLinePunct/>
        <w:autoSpaceDE/>
        <w:autoSpaceDN/>
        <w:bidi w:val="0"/>
        <w:snapToGrid/>
        <w:spacing w:line="520" w:lineRule="exact"/>
        <w:ind w:left="0" w:leftChars="0"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参与消防培训与演练，会用消防器材</w:t>
      </w:r>
      <w:r>
        <w:rPr>
          <w:rFonts w:hint="eastAsia" w:ascii="宋体" w:hAnsi="宋体" w:eastAsia="宋体" w:cs="宋体"/>
          <w:sz w:val="24"/>
          <w:szCs w:val="24"/>
          <w:lang w:eastAsia="zh-CN"/>
        </w:rPr>
        <w:t>。</w:t>
      </w:r>
    </w:p>
    <w:p w14:paraId="5E0FE363">
      <w:pPr>
        <w:keepNext w:val="0"/>
        <w:keepLines w:val="0"/>
        <w:pageBreakBefore w:val="0"/>
        <w:kinsoku/>
        <w:wordWrap w:val="0"/>
        <w:overflowPunct/>
        <w:topLinePunct/>
        <w:autoSpaceDE/>
        <w:autoSpaceDN/>
        <w:bidi w:val="0"/>
        <w:snapToGrid/>
        <w:spacing w:line="520" w:lineRule="exact"/>
        <w:ind w:left="0" w:leftChars="0"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lang w:eastAsia="zh-CN"/>
        </w:rPr>
        <w:t>（四）</w:t>
      </w:r>
      <w:r>
        <w:rPr>
          <w:rFonts w:hint="eastAsia" w:ascii="宋体" w:hAnsi="宋体" w:eastAsia="宋体" w:cs="宋体"/>
          <w:b/>
          <w:bCs/>
          <w:sz w:val="24"/>
          <w:szCs w:val="24"/>
        </w:rPr>
        <w:t>应急处置（快速响应）</w:t>
      </w:r>
    </w:p>
    <w:p w14:paraId="5475203E">
      <w:pPr>
        <w:keepNext w:val="0"/>
        <w:keepLines w:val="0"/>
        <w:pageBreakBefore w:val="0"/>
        <w:kinsoku/>
        <w:wordWrap w:val="0"/>
        <w:overflowPunct/>
        <w:topLinePunct/>
        <w:autoSpaceDE/>
        <w:autoSpaceDN/>
        <w:bidi w:val="0"/>
        <w:snapToGrid/>
        <w:spacing w:line="520" w:lineRule="exact"/>
        <w:ind w:left="0" w:leftChars="0"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医疗纠纷：劝阻、稳控、上报医务科/保卫科；必要时联动警方</w:t>
      </w:r>
      <w:r>
        <w:rPr>
          <w:rFonts w:hint="eastAsia" w:ascii="宋体" w:hAnsi="宋体" w:eastAsia="宋体" w:cs="宋体"/>
          <w:sz w:val="24"/>
          <w:szCs w:val="24"/>
          <w:lang w:eastAsia="zh-CN"/>
        </w:rPr>
        <w:t>。</w:t>
      </w:r>
    </w:p>
    <w:p w14:paraId="4F1F078D">
      <w:pPr>
        <w:keepNext w:val="0"/>
        <w:keepLines w:val="0"/>
        <w:pageBreakBefore w:val="0"/>
        <w:kinsoku/>
        <w:wordWrap w:val="0"/>
        <w:overflowPunct/>
        <w:topLinePunct/>
        <w:autoSpaceDE/>
        <w:autoSpaceDN/>
        <w:bidi w:val="0"/>
        <w:snapToGrid/>
        <w:spacing w:line="520" w:lineRule="exact"/>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突发事故：斗殴、伤医、可疑人员/物品、反恐、地震等，按预案处置、封锁现场、报警</w:t>
      </w:r>
      <w:r>
        <w:rPr>
          <w:rFonts w:hint="eastAsia" w:ascii="宋体" w:hAnsi="宋体" w:eastAsia="宋体" w:cs="宋体"/>
          <w:sz w:val="24"/>
          <w:szCs w:val="24"/>
          <w:lang w:eastAsia="zh-CN"/>
        </w:rPr>
        <w:t>。</w:t>
      </w:r>
    </w:p>
    <w:p w14:paraId="4FF95230">
      <w:pPr>
        <w:keepNext w:val="0"/>
        <w:keepLines w:val="0"/>
        <w:pageBreakBefore w:val="0"/>
        <w:kinsoku/>
        <w:wordWrap w:val="0"/>
        <w:overflowPunct/>
        <w:topLinePunct/>
        <w:autoSpaceDE/>
        <w:autoSpaceDN/>
        <w:bidi w:val="0"/>
        <w:snapToGrid/>
        <w:spacing w:line="520" w:lineRule="exact"/>
        <w:ind w:left="0" w:leftChars="0"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协助急救：疏导人流、保障急救通道、配合医护人员</w:t>
      </w:r>
      <w:r>
        <w:rPr>
          <w:rFonts w:hint="eastAsia" w:ascii="宋体" w:hAnsi="宋体" w:eastAsia="宋体" w:cs="宋体"/>
          <w:sz w:val="24"/>
          <w:szCs w:val="24"/>
          <w:lang w:eastAsia="zh-CN"/>
        </w:rPr>
        <w:t>。</w:t>
      </w:r>
    </w:p>
    <w:p w14:paraId="54E68FF5">
      <w:pPr>
        <w:keepNext w:val="0"/>
        <w:keepLines w:val="0"/>
        <w:pageBreakBefore w:val="0"/>
        <w:kinsoku/>
        <w:wordWrap w:val="0"/>
        <w:overflowPunct/>
        <w:topLinePunct/>
        <w:autoSpaceDE/>
        <w:autoSpaceDN/>
        <w:bidi w:val="0"/>
        <w:snapToGrid/>
        <w:spacing w:line="520" w:lineRule="exact"/>
        <w:ind w:left="0" w:leftChars="0"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lang w:eastAsia="zh-CN"/>
        </w:rPr>
        <w:t>（五）</w:t>
      </w:r>
      <w:r>
        <w:rPr>
          <w:rFonts w:hint="eastAsia" w:ascii="宋体" w:hAnsi="宋体" w:eastAsia="宋体" w:cs="宋体"/>
          <w:b/>
          <w:bCs/>
          <w:sz w:val="24"/>
          <w:szCs w:val="24"/>
        </w:rPr>
        <w:t>配合与其他</w:t>
      </w:r>
    </w:p>
    <w:p w14:paraId="0A0837EC">
      <w:pPr>
        <w:keepNext w:val="0"/>
        <w:keepLines w:val="0"/>
        <w:pageBreakBefore w:val="0"/>
        <w:kinsoku/>
        <w:wordWrap w:val="0"/>
        <w:overflowPunct/>
        <w:topLinePunct/>
        <w:autoSpaceDE/>
        <w:autoSpaceDN/>
        <w:bidi w:val="0"/>
        <w:snapToGrid/>
        <w:spacing w:line="520" w:lineRule="exact"/>
        <w:ind w:left="0" w:leftChars="0"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协助公安联防、疫情防控、大型活动安保、资金押送</w:t>
      </w:r>
      <w:r>
        <w:rPr>
          <w:rFonts w:hint="eastAsia" w:ascii="宋体" w:hAnsi="宋体" w:eastAsia="宋体" w:cs="宋体"/>
          <w:sz w:val="24"/>
          <w:szCs w:val="24"/>
          <w:lang w:eastAsia="zh-CN"/>
        </w:rPr>
        <w:t>，</w:t>
      </w:r>
      <w:r>
        <w:rPr>
          <w:rFonts w:hint="eastAsia" w:ascii="宋体" w:hAnsi="宋体" w:eastAsia="宋体" w:cs="宋体"/>
          <w:sz w:val="24"/>
          <w:szCs w:val="24"/>
        </w:rPr>
        <w:t>完成院方临时安保任务，做好值班与巡查记录</w:t>
      </w:r>
      <w:r>
        <w:rPr>
          <w:rFonts w:hint="eastAsia" w:ascii="宋体" w:hAnsi="宋体" w:eastAsia="宋体" w:cs="宋体"/>
          <w:sz w:val="24"/>
          <w:szCs w:val="24"/>
          <w:lang w:eastAsia="zh-CN"/>
        </w:rPr>
        <w:t>。</w:t>
      </w:r>
    </w:p>
    <w:p w14:paraId="1D5BFA4F">
      <w:pPr>
        <w:keepNext w:val="0"/>
        <w:keepLines w:val="0"/>
        <w:pageBreakBefore w:val="0"/>
        <w:kinsoku/>
        <w:wordWrap w:val="0"/>
        <w:overflowPunct/>
        <w:topLinePunct/>
        <w:autoSpaceDE/>
        <w:autoSpaceDN/>
        <w:bidi w:val="0"/>
        <w:adjustRightInd w:val="0"/>
        <w:snapToGrid/>
        <w:spacing w:line="520" w:lineRule="exact"/>
        <w:ind w:left="0" w:leftChars="0" w:firstLine="482" w:firstLineChars="200"/>
        <w:jc w:val="left"/>
        <w:textAlignment w:val="auto"/>
        <w:rPr>
          <w:rFonts w:hint="eastAsia" w:ascii="宋体" w:hAnsi="宋体" w:eastAsia="宋体" w:cs="宋体"/>
          <w:b/>
          <w:bCs w:val="0"/>
          <w:kern w:val="0"/>
          <w:sz w:val="24"/>
          <w:szCs w:val="24"/>
        </w:rPr>
      </w:pPr>
      <w:r>
        <w:rPr>
          <w:rFonts w:hint="eastAsia" w:ascii="宋体" w:hAnsi="宋体" w:eastAsia="宋体" w:cs="宋体"/>
          <w:b/>
          <w:bCs w:val="0"/>
          <w:kern w:val="0"/>
          <w:sz w:val="24"/>
          <w:szCs w:val="24"/>
          <w:lang w:val="en-US" w:eastAsia="zh-CN"/>
        </w:rPr>
        <w:t>三</w:t>
      </w:r>
      <w:r>
        <w:rPr>
          <w:rFonts w:hint="eastAsia" w:ascii="宋体" w:hAnsi="宋体" w:eastAsia="宋体" w:cs="宋体"/>
          <w:b/>
          <w:bCs w:val="0"/>
          <w:kern w:val="0"/>
          <w:sz w:val="24"/>
          <w:szCs w:val="24"/>
          <w:lang w:eastAsia="zh-CN"/>
        </w:rPr>
        <w:t>、</w:t>
      </w:r>
      <w:r>
        <w:rPr>
          <w:rFonts w:hint="eastAsia" w:ascii="宋体" w:hAnsi="宋体" w:eastAsia="宋体" w:cs="宋体"/>
          <w:b/>
          <w:bCs w:val="0"/>
          <w:kern w:val="0"/>
          <w:sz w:val="24"/>
          <w:szCs w:val="24"/>
          <w:lang w:val="en-US" w:eastAsia="zh-CN"/>
        </w:rPr>
        <w:t>安保</w:t>
      </w:r>
      <w:r>
        <w:rPr>
          <w:rFonts w:hint="eastAsia" w:ascii="宋体" w:hAnsi="宋体" w:eastAsia="宋体" w:cs="宋体"/>
          <w:b/>
          <w:bCs w:val="0"/>
          <w:kern w:val="0"/>
          <w:sz w:val="24"/>
          <w:szCs w:val="24"/>
        </w:rPr>
        <w:t>人员岗位职责</w:t>
      </w:r>
    </w:p>
    <w:p w14:paraId="38294E8E">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1．在</w:t>
      </w:r>
      <w:r>
        <w:rPr>
          <w:rFonts w:hint="eastAsia" w:ascii="宋体" w:hAnsi="宋体" w:eastAsia="宋体" w:cs="宋体"/>
          <w:bCs/>
          <w:kern w:val="0"/>
          <w:sz w:val="24"/>
          <w:szCs w:val="24"/>
          <w:lang w:val="en-US" w:eastAsia="zh-CN"/>
        </w:rPr>
        <w:t>人民医院</w:t>
      </w:r>
      <w:r>
        <w:rPr>
          <w:rFonts w:hint="eastAsia" w:ascii="宋体" w:hAnsi="宋体" w:eastAsia="宋体" w:cs="宋体"/>
          <w:bCs/>
          <w:kern w:val="0"/>
          <w:sz w:val="24"/>
          <w:szCs w:val="24"/>
        </w:rPr>
        <w:t>领导下，认真做好全院治安保卫工作，搞好院内车辆，消防和公共治安秩序的管理工作。</w:t>
      </w:r>
    </w:p>
    <w:p w14:paraId="7DD94162">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2．保安人员上岗必须按规定着装，严肃保安风纪，精神抖擞，言行规范，文明礼貌。</w:t>
      </w:r>
    </w:p>
    <w:p w14:paraId="04A0795A">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3．实行24小时值班制度，做到尽职尽责，工作中要严格执法，值班期间要严禁脱岗，串岗及做与工作无关的事情。</w:t>
      </w:r>
    </w:p>
    <w:p w14:paraId="496A2379">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4．自觉遵纪守法，做好院内防火，防盗工作；每天要进行防范检查，做好记录，发现问题及时处理并报告；确保医疗，生活正常秩序和职工病员生命财产安全。</w:t>
      </w:r>
    </w:p>
    <w:p w14:paraId="41AAAAD8">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5．对外来可疑人员，要进行盘问，严禁外来人员在院内做买卖。</w:t>
      </w:r>
    </w:p>
    <w:p w14:paraId="096CB788">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6．如有案件发生，应保护现场，及时报告，提供情况，协助查破，并做好记录。</w:t>
      </w:r>
    </w:p>
    <w:p w14:paraId="05FEA561">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7．保安人员必须做好交接岗工作，不得撤离职守，一经发现，从严处理，直至辞退。</w:t>
      </w:r>
    </w:p>
    <w:p w14:paraId="565158AC">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8．搞好机动车，非机动车的停放管理，严防损坏或丢失，避免纠纷的发生。实行当班责任制，谁当班谁负责。</w:t>
      </w:r>
    </w:p>
    <w:p w14:paraId="2CF58854">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9．保安人员如有事需外出，必须向主管领导请假，未经批准，不得外出。</w:t>
      </w:r>
    </w:p>
    <w:p w14:paraId="26AC4C1E">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b/>
          <w:kern w:val="0"/>
          <w:sz w:val="24"/>
          <w:szCs w:val="24"/>
          <w:lang w:val="en-US" w:eastAsia="zh-CN"/>
        </w:rPr>
      </w:pPr>
      <w:r>
        <w:rPr>
          <w:rFonts w:hint="eastAsia" w:ascii="宋体" w:hAnsi="宋体" w:eastAsia="宋体" w:cs="宋体"/>
          <w:bCs/>
          <w:kern w:val="0"/>
          <w:sz w:val="24"/>
          <w:szCs w:val="24"/>
        </w:rPr>
        <w:t>10．完成领导交办的其它任务。</w:t>
      </w:r>
    </w:p>
    <w:p w14:paraId="4A514129">
      <w:pPr>
        <w:keepNext w:val="0"/>
        <w:keepLines w:val="0"/>
        <w:pageBreakBefore w:val="0"/>
        <w:kinsoku/>
        <w:wordWrap w:val="0"/>
        <w:overflowPunct/>
        <w:topLinePunct/>
        <w:autoSpaceDE/>
        <w:autoSpaceDN/>
        <w:bidi w:val="0"/>
        <w:adjustRightInd w:val="0"/>
        <w:snapToGrid/>
        <w:spacing w:line="520" w:lineRule="exact"/>
        <w:ind w:left="0" w:leftChars="0" w:firstLine="482" w:firstLineChars="200"/>
        <w:jc w:val="left"/>
        <w:textAlignment w:val="auto"/>
        <w:rPr>
          <w:rFonts w:hint="eastAsia" w:ascii="宋体" w:hAnsi="宋体" w:eastAsia="宋体" w:cs="宋体"/>
          <w:b/>
          <w:bCs w:val="0"/>
          <w:kern w:val="0"/>
          <w:sz w:val="24"/>
          <w:szCs w:val="24"/>
        </w:rPr>
      </w:pPr>
      <w:r>
        <w:rPr>
          <w:rFonts w:hint="eastAsia" w:ascii="宋体" w:hAnsi="宋体" w:eastAsia="宋体" w:cs="宋体"/>
          <w:b/>
          <w:bCs w:val="0"/>
          <w:kern w:val="0"/>
          <w:sz w:val="24"/>
          <w:szCs w:val="24"/>
          <w:lang w:val="en-US" w:eastAsia="zh-CN"/>
        </w:rPr>
        <w:t>四</w:t>
      </w:r>
      <w:r>
        <w:rPr>
          <w:rFonts w:hint="eastAsia" w:ascii="宋体" w:hAnsi="宋体" w:eastAsia="宋体" w:cs="宋体"/>
          <w:b/>
          <w:bCs w:val="0"/>
          <w:kern w:val="0"/>
          <w:sz w:val="24"/>
          <w:szCs w:val="24"/>
          <w:lang w:eastAsia="zh-CN"/>
        </w:rPr>
        <w:t>、</w:t>
      </w:r>
      <w:r>
        <w:rPr>
          <w:rFonts w:hint="eastAsia" w:ascii="宋体" w:hAnsi="宋体" w:eastAsia="宋体" w:cs="宋体"/>
          <w:b/>
          <w:bCs w:val="0"/>
          <w:kern w:val="0"/>
          <w:sz w:val="24"/>
          <w:szCs w:val="24"/>
        </w:rPr>
        <w:t>停车场管理制度</w:t>
      </w:r>
    </w:p>
    <w:p w14:paraId="610A5511">
      <w:pPr>
        <w:keepNext w:val="0"/>
        <w:keepLines w:val="0"/>
        <w:pageBreakBefore w:val="0"/>
        <w:kinsoku/>
        <w:wordWrap w:val="0"/>
        <w:overflowPunct/>
        <w:topLinePunct/>
        <w:autoSpaceDE/>
        <w:autoSpaceDN/>
        <w:bidi w:val="0"/>
        <w:adjustRightInd w:val="0"/>
        <w:snapToGrid/>
        <w:spacing w:line="520" w:lineRule="exact"/>
        <w:ind w:left="0" w:leftChars="0" w:firstLine="482" w:firstLineChars="200"/>
        <w:jc w:val="left"/>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rPr>
        <w:t>一</w:t>
      </w: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rPr>
        <w:t>车辆管理负责人职责</w:t>
      </w:r>
    </w:p>
    <w:p w14:paraId="4052D77E">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1、依法循章对医院院区内交通、车辆进行管理。</w:t>
      </w:r>
    </w:p>
    <w:p w14:paraId="53CB2B12">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2、负责按物价部门收费规定规范车辆管理员收取车辆场地占用费。 </w:t>
      </w:r>
    </w:p>
    <w:p w14:paraId="19310684">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3、熟悉院区内车辆流通情况、车位情况，合理布署安排，优先保证就诊患者使用车位。</w:t>
      </w:r>
    </w:p>
    <w:p w14:paraId="1207684A">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4、负责监督和落实车辆管理员岗位职责，对所属员工进行检查监督。</w:t>
      </w:r>
    </w:p>
    <w:p w14:paraId="6B85931A">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5、负责每日管辖工作检查。</w:t>
      </w:r>
    </w:p>
    <w:p w14:paraId="1063A291">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6、处理车辆管理方面的问题和客户投诉，负责对外协调与联系。</w:t>
      </w:r>
    </w:p>
    <w:p w14:paraId="44C068F3">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7、负责对车辆管理员进行法制教育和职业道德教育，不断提高服务质量。</w:t>
      </w:r>
    </w:p>
    <w:p w14:paraId="59B949CC">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8、负责对车辆管理员进行岗位培训，并做好培训记录。</w:t>
      </w:r>
    </w:p>
    <w:p w14:paraId="27DE529F">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9、主动、适时向上级主管领导汇报工作。</w:t>
      </w:r>
    </w:p>
    <w:p w14:paraId="2F4CFD02">
      <w:pPr>
        <w:keepNext w:val="0"/>
        <w:keepLines w:val="0"/>
        <w:pageBreakBefore w:val="0"/>
        <w:kinsoku/>
        <w:wordWrap w:val="0"/>
        <w:overflowPunct/>
        <w:topLinePunct/>
        <w:autoSpaceDE/>
        <w:autoSpaceDN/>
        <w:bidi w:val="0"/>
        <w:adjustRightInd w:val="0"/>
        <w:snapToGrid/>
        <w:spacing w:line="520" w:lineRule="exact"/>
        <w:ind w:left="0" w:leftChars="0" w:firstLine="482" w:firstLineChars="200"/>
        <w:jc w:val="left"/>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lang w:val="en-US" w:eastAsia="zh-CN"/>
        </w:rPr>
        <w:t>二</w:t>
      </w: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rPr>
        <w:t>车辆管理员岗位职责</w:t>
      </w:r>
    </w:p>
    <w:p w14:paraId="51B95FF4">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1、负责对停车场(库)的汽车、摩托车、电动车、自行车进行管理。</w:t>
      </w:r>
    </w:p>
    <w:p w14:paraId="7B9C8D4D">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2、实行24小时轮流值班制度，服从科室、班组的统一安排调度。</w:t>
      </w:r>
    </w:p>
    <w:p w14:paraId="4141F9C4">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3、按规定着装，佩戴工作牌，对出入车辆按规定和程序指挥放行。</w:t>
      </w:r>
    </w:p>
    <w:p w14:paraId="4CBCBAF5">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4、遵守规章制度，按时上下班，认真做好交接班手续，不擅离职守。</w:t>
      </w:r>
    </w:p>
    <w:p w14:paraId="4523A1B5">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5、按规定和标准收费，主动向车主开具发票。</w:t>
      </w:r>
    </w:p>
    <w:p w14:paraId="08F076B0">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6、负责指挥医院院区内车辆行驶和停放，维持院区内交通、停车秩序。</w:t>
      </w:r>
    </w:p>
    <w:p w14:paraId="7BCBEE92">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7、负责对停车场的车位情况进行巡视查看，掌握车位使用情况，保证车位的有效使用。</w:t>
      </w:r>
    </w:p>
    <w:p w14:paraId="57310CE1">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8、负责停车场的消防以及停车场、值班室的清洁工作。</w:t>
      </w:r>
    </w:p>
    <w:p w14:paraId="272C6927">
      <w:pPr>
        <w:keepNext w:val="0"/>
        <w:keepLines w:val="0"/>
        <w:pageBreakBefore w:val="0"/>
        <w:kinsoku/>
        <w:wordWrap w:val="0"/>
        <w:overflowPunct/>
        <w:topLinePunct/>
        <w:autoSpaceDE/>
        <w:autoSpaceDN/>
        <w:bidi w:val="0"/>
        <w:adjustRightInd w:val="0"/>
        <w:snapToGrid/>
        <w:spacing w:line="520" w:lineRule="exact"/>
        <w:ind w:left="0" w:leftChars="0" w:firstLine="482" w:firstLineChars="200"/>
        <w:jc w:val="left"/>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lang w:val="en-US" w:eastAsia="zh-CN"/>
        </w:rPr>
        <w:t>三）</w:t>
      </w:r>
      <w:r>
        <w:rPr>
          <w:rFonts w:hint="eastAsia" w:ascii="宋体" w:hAnsi="宋体" w:eastAsia="宋体" w:cs="宋体"/>
          <w:b/>
          <w:bCs/>
          <w:kern w:val="0"/>
          <w:sz w:val="24"/>
          <w:szCs w:val="24"/>
        </w:rPr>
        <w:t>车辆管理员岗位制度</w:t>
      </w:r>
    </w:p>
    <w:p w14:paraId="523F8FE7">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1、仪容整洁，按规定着装，佩戴胸牌。</w:t>
      </w:r>
    </w:p>
    <w:p w14:paraId="5C6A23AC">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2、执行文明礼貌用语，服务规范，讲究文明服务，礼貌待人。</w:t>
      </w:r>
    </w:p>
    <w:p w14:paraId="2A2D7688">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3、严格遵守《交接班制度》。</w:t>
      </w:r>
    </w:p>
    <w:p w14:paraId="3FD629CE">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4、值班时禁止喝酒、吸烟、吃东西；不准嘻笑、打闹，不准在值班时做与工作无关的事情。</w:t>
      </w:r>
    </w:p>
    <w:p w14:paraId="6409F61F">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5、爱护各种车管器具，不得丢失、损坏、转借或随意携带外出。</w:t>
      </w:r>
    </w:p>
    <w:p w14:paraId="2B71D627">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6、依法循章办事，廉洁奉公，坚持原则，是非分明。</w:t>
      </w:r>
    </w:p>
    <w:p w14:paraId="6590D4A9">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rPr>
        <w:t>7、团结互助，禁止闹纠纷；不说脏话，不做不利团结的事</w:t>
      </w:r>
      <w:r>
        <w:rPr>
          <w:rFonts w:hint="eastAsia" w:ascii="宋体" w:hAnsi="宋体" w:eastAsia="宋体" w:cs="宋体"/>
          <w:kern w:val="0"/>
          <w:sz w:val="24"/>
          <w:szCs w:val="24"/>
          <w:lang w:eastAsia="zh-CN"/>
        </w:rPr>
        <w:t>。</w:t>
      </w:r>
    </w:p>
    <w:p w14:paraId="14D7F1DC">
      <w:pPr>
        <w:keepNext w:val="0"/>
        <w:keepLines w:val="0"/>
        <w:pageBreakBefore w:val="0"/>
        <w:kinsoku/>
        <w:wordWrap w:val="0"/>
        <w:overflowPunct/>
        <w:topLinePunct/>
        <w:autoSpaceDE/>
        <w:autoSpaceDN/>
        <w:bidi w:val="0"/>
        <w:adjustRightInd w:val="0"/>
        <w:snapToGrid/>
        <w:spacing w:line="520" w:lineRule="exact"/>
        <w:ind w:left="0" w:leftChars="0" w:firstLine="482" w:firstLineChars="200"/>
        <w:jc w:val="left"/>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lang w:val="en-US" w:eastAsia="zh-CN"/>
        </w:rPr>
        <w:t>四）</w:t>
      </w:r>
      <w:r>
        <w:rPr>
          <w:rFonts w:hint="eastAsia" w:ascii="宋体" w:hAnsi="宋体" w:eastAsia="宋体" w:cs="宋体"/>
          <w:b/>
          <w:bCs/>
          <w:kern w:val="0"/>
          <w:sz w:val="24"/>
          <w:szCs w:val="24"/>
        </w:rPr>
        <w:t>车辆管理员交接班制度</w:t>
      </w:r>
    </w:p>
    <w:p w14:paraId="0F0F4814">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1、按时交接班，接班人员应提前10分钟到达岗位，在接班人员未到达前，当班人员不能离岗。</w:t>
      </w:r>
    </w:p>
    <w:p w14:paraId="63C7FFC7">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rPr>
        <w:t>2、接班时，要详细了解上一班车辆出入和停放情况以及本班应注意事项</w:t>
      </w:r>
      <w:r>
        <w:rPr>
          <w:rFonts w:hint="eastAsia" w:ascii="宋体" w:hAnsi="宋体" w:eastAsia="宋体" w:cs="宋体"/>
          <w:kern w:val="0"/>
          <w:sz w:val="24"/>
          <w:szCs w:val="24"/>
          <w:lang w:eastAsia="zh-CN"/>
        </w:rPr>
        <w:t>。</w:t>
      </w:r>
    </w:p>
    <w:p w14:paraId="72DFCCF4">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3、交班时应向下一班移交值班记录本和交接班记录本。</w:t>
      </w:r>
    </w:p>
    <w:p w14:paraId="46B310AC">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4、交接班时应将上一班移交的值班物品如对讲机等及其他设备清点清楚，并在值班记录本和交接班记录本上签名。</w:t>
      </w:r>
    </w:p>
    <w:p w14:paraId="2B064813">
      <w:pPr>
        <w:keepNext w:val="0"/>
        <w:keepLines w:val="0"/>
        <w:pageBreakBefore w:val="0"/>
        <w:kinsoku/>
        <w:wordWrap w:val="0"/>
        <w:overflowPunct/>
        <w:topLinePunct/>
        <w:autoSpaceDE/>
        <w:autoSpaceDN/>
        <w:bidi w:val="0"/>
        <w:adjustRightInd w:val="0"/>
        <w:snapToGrid/>
        <w:spacing w:line="520" w:lineRule="exact"/>
        <w:ind w:left="0" w:leftChars="0" w:firstLine="482" w:firstLineChars="200"/>
        <w:jc w:val="left"/>
        <w:textAlignment w:val="auto"/>
        <w:rPr>
          <w:rFonts w:hint="eastAsia" w:ascii="宋体" w:hAnsi="宋体" w:eastAsia="宋体" w:cs="宋体"/>
          <w:kern w:val="0"/>
          <w:sz w:val="24"/>
          <w:szCs w:val="24"/>
        </w:rPr>
      </w:pP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lang w:val="en-US" w:eastAsia="zh-CN"/>
        </w:rPr>
        <w:t>五）</w:t>
      </w:r>
      <w:r>
        <w:rPr>
          <w:rFonts w:hint="eastAsia" w:ascii="宋体" w:hAnsi="宋体" w:eastAsia="宋体" w:cs="宋体"/>
          <w:b/>
          <w:bCs/>
          <w:kern w:val="0"/>
          <w:sz w:val="24"/>
          <w:szCs w:val="24"/>
        </w:rPr>
        <w:t>停车场管理规定</w:t>
      </w:r>
      <w:r>
        <w:rPr>
          <w:rFonts w:hint="eastAsia" w:ascii="宋体" w:hAnsi="宋体" w:eastAsia="宋体" w:cs="宋体"/>
          <w:kern w:val="0"/>
          <w:sz w:val="24"/>
          <w:szCs w:val="24"/>
        </w:rPr>
        <w:t>  </w:t>
      </w:r>
    </w:p>
    <w:p w14:paraId="71BBD770">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1、进入停车场的司机，须按进出场各种程序办理停车手续，并按指定的车位停放。</w:t>
      </w:r>
    </w:p>
    <w:p w14:paraId="3398FDF2">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2、车辆停放后，司机须配合车管员做好车辆的检查记录，并锁好车门窗，带走贵重物品，车管员没有帮司机保管物品的义务。</w:t>
      </w:r>
    </w:p>
    <w:p w14:paraId="7C829049">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3、进场车辆严禁在场内加油、修车、试刹车，禁止任何人在场内学习驾驶车辆。</w:t>
      </w:r>
    </w:p>
    <w:p w14:paraId="4412689F">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rPr>
        <w:t>4、进场车辆和司机要保持场内清洁，禁止在场内乱丢垃圾与弃置废杂物，</w:t>
      </w:r>
      <w:r>
        <w:rPr>
          <w:rFonts w:hint="eastAsia" w:ascii="宋体" w:hAnsi="宋体" w:eastAsia="宋体" w:cs="宋体"/>
          <w:kern w:val="0"/>
          <w:sz w:val="24"/>
          <w:szCs w:val="24"/>
          <w:lang w:val="en-US" w:eastAsia="zh-CN"/>
        </w:rPr>
        <w:t>无烟单位</w:t>
      </w:r>
      <w:r>
        <w:rPr>
          <w:rFonts w:hint="eastAsia" w:ascii="宋体" w:hAnsi="宋体" w:eastAsia="宋体" w:cs="宋体"/>
          <w:kern w:val="0"/>
          <w:sz w:val="24"/>
          <w:szCs w:val="24"/>
        </w:rPr>
        <w:t>禁止在场内吸烟</w:t>
      </w:r>
      <w:r>
        <w:rPr>
          <w:rFonts w:hint="eastAsia" w:ascii="宋体" w:hAnsi="宋体" w:eastAsia="宋体" w:cs="宋体"/>
          <w:kern w:val="0"/>
          <w:sz w:val="24"/>
          <w:szCs w:val="24"/>
          <w:lang w:eastAsia="zh-CN"/>
        </w:rPr>
        <w:t>。</w:t>
      </w:r>
    </w:p>
    <w:p w14:paraId="79C95274">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5、进场司机必须遵守安全防火规定，严禁载有易燃易爆、剧毒等危险品的车辆进入停车场。</w:t>
      </w:r>
    </w:p>
    <w:p w14:paraId="224989B5">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6、禁止超过停车场限宽规定的车辆、集装箱车以及漏油、漏水等病车进入停车场。</w:t>
      </w:r>
    </w:p>
    <w:p w14:paraId="74C32836">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7、进场车辆如不服从车管员指挥，造成本身车辆受损时，后果自负；造成停车场设施毁损的，应照价赔偿。</w:t>
      </w:r>
    </w:p>
    <w:p w14:paraId="4254C5C7">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8、机动车辆在院区行驶，时速不得超过5ｋm/h，严禁超车，禁止鸣笛。</w:t>
      </w:r>
    </w:p>
    <w:p w14:paraId="649E7CC5">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9、车辆不准在院区内长期停放，并按《车辆保管统一收费标准》缴费。</w:t>
      </w:r>
    </w:p>
    <w:p w14:paraId="1B28400A">
      <w:pPr>
        <w:keepNext w:val="0"/>
        <w:keepLines w:val="0"/>
        <w:pageBreakBefore w:val="0"/>
        <w:kinsoku/>
        <w:wordWrap w:val="0"/>
        <w:overflowPunct/>
        <w:topLinePunct/>
        <w:autoSpaceDE/>
        <w:autoSpaceDN/>
        <w:bidi w:val="0"/>
        <w:adjustRightInd w:val="0"/>
        <w:snapToGrid/>
        <w:spacing w:line="520" w:lineRule="exact"/>
        <w:ind w:left="0" w:leftChars="0" w:firstLine="482" w:firstLineChars="200"/>
        <w:jc w:val="left"/>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lang w:val="en-US" w:eastAsia="zh-CN"/>
        </w:rPr>
        <w:t>六）</w:t>
      </w:r>
      <w:r>
        <w:rPr>
          <w:rFonts w:hint="eastAsia" w:ascii="宋体" w:hAnsi="宋体" w:eastAsia="宋体" w:cs="宋体"/>
          <w:b/>
          <w:bCs/>
          <w:kern w:val="0"/>
          <w:sz w:val="24"/>
          <w:szCs w:val="24"/>
        </w:rPr>
        <w:t>电动车、自行车保管规定</w:t>
      </w:r>
    </w:p>
    <w:p w14:paraId="0C612345">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1、电动车、自行车进场需按车管员指示到门诊楼东侧车棚停放，医院其他区域不承担电动车与自行车的保管任务与保管责任。</w:t>
      </w:r>
    </w:p>
    <w:p w14:paraId="3CF39524">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2、车辆在指定位置有序停放。</w:t>
      </w:r>
    </w:p>
    <w:p w14:paraId="40C8B25A">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3、禁止车主在车棚内洗车、修理电动车，防止火灾事故的发生。</w:t>
      </w:r>
    </w:p>
    <w:p w14:paraId="596B457B">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4、存放在车棚的自行车，长期存放无人使用，由车管员清出车棚，不再负保管责任。  </w:t>
      </w:r>
    </w:p>
    <w:p w14:paraId="4406B5FE">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5、车主随身携带的物品自行保管。 </w:t>
      </w:r>
    </w:p>
    <w:p w14:paraId="68D519E5">
      <w:pPr>
        <w:keepNext w:val="0"/>
        <w:keepLines w:val="0"/>
        <w:pageBreakBefore w:val="0"/>
        <w:kinsoku/>
        <w:wordWrap w:val="0"/>
        <w:overflowPunct/>
        <w:topLinePunct/>
        <w:autoSpaceDE/>
        <w:autoSpaceDN/>
        <w:bidi w:val="0"/>
        <w:adjustRightInd w:val="0"/>
        <w:snapToGrid/>
        <w:spacing w:line="520" w:lineRule="exact"/>
        <w:ind w:left="0" w:leftChars="0" w:firstLine="482" w:firstLineChars="200"/>
        <w:jc w:val="left"/>
        <w:textAlignment w:val="auto"/>
        <w:rPr>
          <w:rFonts w:hint="eastAsia" w:ascii="宋体" w:hAnsi="宋体" w:eastAsia="宋体" w:cs="宋体"/>
          <w:b/>
          <w:kern w:val="0"/>
          <w:sz w:val="24"/>
          <w:szCs w:val="24"/>
        </w:rPr>
      </w:pPr>
      <w:r>
        <w:rPr>
          <w:rFonts w:hint="eastAsia" w:ascii="宋体" w:hAnsi="宋体" w:eastAsia="宋体" w:cs="宋体"/>
          <w:b/>
          <w:kern w:val="0"/>
          <w:sz w:val="24"/>
          <w:szCs w:val="24"/>
          <w:lang w:val="en-US" w:eastAsia="zh-CN"/>
        </w:rPr>
        <w:t>五</w:t>
      </w:r>
      <w:r>
        <w:rPr>
          <w:rFonts w:hint="eastAsia" w:ascii="宋体" w:hAnsi="宋体" w:eastAsia="宋体" w:cs="宋体"/>
          <w:kern w:val="0"/>
          <w:sz w:val="24"/>
          <w:szCs w:val="24"/>
        </w:rPr>
        <w:t>、</w:t>
      </w:r>
      <w:r>
        <w:rPr>
          <w:rFonts w:hint="eastAsia" w:ascii="宋体" w:hAnsi="宋体" w:eastAsia="宋体" w:cs="宋体"/>
          <w:b/>
          <w:kern w:val="0"/>
          <w:sz w:val="24"/>
          <w:szCs w:val="24"/>
        </w:rPr>
        <w:t>防火巡查制度</w:t>
      </w:r>
    </w:p>
    <w:p w14:paraId="241615E3">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一）</w:t>
      </w:r>
      <w:r>
        <w:rPr>
          <w:rFonts w:hint="eastAsia" w:ascii="宋体" w:hAnsi="宋体" w:eastAsia="宋体" w:cs="宋体"/>
          <w:kern w:val="0"/>
          <w:sz w:val="24"/>
          <w:szCs w:val="24"/>
        </w:rPr>
        <w:t>单位应当进行每日防火巡查，并确定巡查的人员、内容、部位和频次。巡查的内容应当包括：</w:t>
      </w:r>
    </w:p>
    <w:p w14:paraId="6A15987B">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1、用火、用电有无违章情况；</w:t>
      </w:r>
    </w:p>
    <w:p w14:paraId="43004E02">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2、安全出口、疏散通道是否畅通，安全疏散指示标志、应急照明是否完好；</w:t>
      </w:r>
    </w:p>
    <w:p w14:paraId="4BB21112">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3、消防设施、器材和消防安全标志是否在位、完整；</w:t>
      </w:r>
    </w:p>
    <w:p w14:paraId="0D33908C">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4、常闭式防火门是否处于关闭状态、防火卷帘下是否堆放物品影响使用；</w:t>
      </w:r>
    </w:p>
    <w:p w14:paraId="53867CCA">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5、消防安全重点部位的人员在岗情况；</w:t>
      </w:r>
    </w:p>
    <w:p w14:paraId="46FF9F40">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6、其他消防安全情况。</w:t>
      </w:r>
    </w:p>
    <w:p w14:paraId="42C5CD4C">
      <w:pPr>
        <w:keepNext w:val="0"/>
        <w:keepLines w:val="0"/>
        <w:pageBreakBefore w:val="0"/>
        <w:kinsoku/>
        <w:wordWrap w:val="0"/>
        <w:overflowPunct/>
        <w:topLinePunct/>
        <w:autoSpaceDE/>
        <w:autoSpaceDN/>
        <w:bidi w:val="0"/>
        <w:adjustRightInd w:val="0"/>
        <w:snapToGrid/>
        <w:spacing w:line="520" w:lineRule="exact"/>
        <w:ind w:left="0" w:leftChars="0" w:firstLine="482" w:firstLineChars="200"/>
        <w:jc w:val="left"/>
        <w:textAlignment w:val="auto"/>
        <w:rPr>
          <w:rFonts w:hint="eastAsia" w:ascii="宋体" w:hAnsi="宋体" w:eastAsia="宋体" w:cs="宋体"/>
          <w:kern w:val="0"/>
          <w:sz w:val="24"/>
          <w:szCs w:val="24"/>
        </w:rPr>
      </w:pP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lang w:val="en-US" w:eastAsia="zh-CN"/>
        </w:rPr>
        <w:t>二）</w:t>
      </w:r>
      <w:r>
        <w:rPr>
          <w:rFonts w:hint="eastAsia" w:ascii="宋体" w:hAnsi="宋体" w:eastAsia="宋体" w:cs="宋体"/>
          <w:b/>
          <w:bCs/>
          <w:kern w:val="0"/>
          <w:sz w:val="24"/>
          <w:szCs w:val="24"/>
        </w:rPr>
        <w:t>单位应当加强夜间防火巡查</w:t>
      </w:r>
    </w:p>
    <w:p w14:paraId="2929CC04">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防火巡查人员应当及时纠正违章行为，妥善处置火灾危险，无法当场处置的，应当立即报告。发现初起火灾应当立即报警并及时扑救。</w:t>
      </w:r>
    </w:p>
    <w:p w14:paraId="376470E0">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防火巡查应当填写巡查记录，巡查人员及其主管人员应当在巡查记录上签名。巡查记录应当记明巡查的人员、时间、部位、内容、发现的火灾隐患以及处理措施等。</w:t>
      </w:r>
    </w:p>
    <w:p w14:paraId="2A110C71">
      <w:pPr>
        <w:keepNext w:val="0"/>
        <w:keepLines w:val="0"/>
        <w:pageBreakBefore w:val="0"/>
        <w:kinsoku/>
        <w:wordWrap w:val="0"/>
        <w:overflowPunct/>
        <w:topLinePunct/>
        <w:autoSpaceDE/>
        <w:autoSpaceDN/>
        <w:bidi w:val="0"/>
        <w:adjustRightInd w:val="0"/>
        <w:snapToGrid/>
        <w:spacing w:line="520" w:lineRule="exact"/>
        <w:ind w:left="0" w:leftChars="0" w:firstLine="482" w:firstLineChars="200"/>
        <w:jc w:val="left"/>
        <w:textAlignment w:val="auto"/>
        <w:rPr>
          <w:rFonts w:hint="eastAsia" w:ascii="宋体" w:hAnsi="宋体" w:eastAsia="宋体" w:cs="宋体"/>
          <w:b/>
          <w:kern w:val="0"/>
          <w:sz w:val="24"/>
          <w:szCs w:val="24"/>
        </w:rPr>
      </w:pPr>
      <w:r>
        <w:rPr>
          <w:rFonts w:hint="eastAsia" w:ascii="宋体" w:hAnsi="宋体" w:eastAsia="宋体" w:cs="宋体"/>
          <w:b/>
          <w:kern w:val="0"/>
          <w:sz w:val="24"/>
          <w:szCs w:val="24"/>
          <w:lang w:val="en-US" w:eastAsia="zh-CN"/>
        </w:rPr>
        <w:t>六</w:t>
      </w:r>
      <w:r>
        <w:rPr>
          <w:rFonts w:hint="eastAsia" w:ascii="宋体" w:hAnsi="宋体" w:eastAsia="宋体" w:cs="宋体"/>
          <w:kern w:val="0"/>
          <w:sz w:val="24"/>
          <w:szCs w:val="24"/>
        </w:rPr>
        <w:t>、</w:t>
      </w:r>
      <w:r>
        <w:rPr>
          <w:rFonts w:hint="eastAsia" w:ascii="宋体" w:hAnsi="宋体" w:eastAsia="宋体" w:cs="宋体"/>
          <w:b/>
          <w:kern w:val="0"/>
          <w:sz w:val="24"/>
          <w:szCs w:val="24"/>
        </w:rPr>
        <w:t>巡逻队职责</w:t>
      </w:r>
    </w:p>
    <w:p w14:paraId="6B9821E3">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1、24小时全院范围内巡逻，主要以体能、擒拿、防暴、消防专业和突发事件演练技术为主；</w:t>
      </w:r>
    </w:p>
    <w:p w14:paraId="2D0B8025">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2、处理突发事件、维护医院正常医疗秩序；</w:t>
      </w:r>
    </w:p>
    <w:p w14:paraId="63C47D35">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3、处理消防问题时化被动为主动，现场第一时间接警、出警、报警、以防止事态扩大；</w:t>
      </w:r>
    </w:p>
    <w:p w14:paraId="7EBDF7AE">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4、保障本院医护人员及患者的人身及财产安全；</w:t>
      </w:r>
    </w:p>
    <w:p w14:paraId="4C7C23DA">
      <w:pPr>
        <w:keepNext w:val="0"/>
        <w:keepLines w:val="0"/>
        <w:pageBreakBefore w:val="0"/>
        <w:kinsoku/>
        <w:wordWrap w:val="0"/>
        <w:overflowPunct/>
        <w:topLinePunct/>
        <w:autoSpaceDE/>
        <w:autoSpaceDN/>
        <w:bidi w:val="0"/>
        <w:adjustRightInd w:val="0"/>
        <w:snapToGrid/>
        <w:spacing w:line="520" w:lineRule="exact"/>
        <w:ind w:left="0" w:leftChars="0" w:firstLine="480" w:firstLineChars="200"/>
        <w:jc w:val="left"/>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5、协助安保科处理各类应急事件、突发事件。</w:t>
      </w:r>
    </w:p>
    <w:p w14:paraId="11F6EDF8">
      <w:pPr>
        <w:keepNext w:val="0"/>
        <w:keepLines w:val="0"/>
        <w:pageBreakBefore w:val="0"/>
        <w:kinsoku/>
        <w:wordWrap w:val="0"/>
        <w:overflowPunct/>
        <w:topLinePunct/>
        <w:autoSpaceDE/>
        <w:autoSpaceDN/>
        <w:bidi w:val="0"/>
        <w:adjustRightInd w:val="0"/>
        <w:snapToGrid/>
        <w:spacing w:line="520" w:lineRule="exact"/>
        <w:ind w:left="0" w:leftChars="0" w:firstLine="482" w:firstLineChars="200"/>
        <w:jc w:val="left"/>
        <w:textAlignment w:val="auto"/>
        <w:rPr>
          <w:rFonts w:hint="eastAsia" w:ascii="宋体" w:hAnsi="宋体" w:eastAsia="宋体" w:cs="宋体"/>
          <w:b/>
          <w:bCs w:val="0"/>
          <w:kern w:val="0"/>
          <w:sz w:val="24"/>
          <w:szCs w:val="24"/>
          <w:lang w:val="en-US" w:eastAsia="zh-CN"/>
        </w:rPr>
      </w:pPr>
      <w:r>
        <w:rPr>
          <w:rFonts w:hint="eastAsia" w:ascii="宋体" w:hAnsi="宋体" w:eastAsia="宋体" w:cs="宋体"/>
          <w:b/>
          <w:bCs w:val="0"/>
          <w:kern w:val="0"/>
          <w:sz w:val="24"/>
          <w:szCs w:val="24"/>
          <w:lang w:val="en-US" w:eastAsia="zh-CN"/>
        </w:rPr>
        <w:t>七、安保人员要求：</w:t>
      </w:r>
    </w:p>
    <w:p w14:paraId="5DF7D1E1">
      <w:pPr>
        <w:pStyle w:val="43"/>
        <w:keepNext w:val="0"/>
        <w:keepLines w:val="0"/>
        <w:pageBreakBefore w:val="0"/>
        <w:numPr>
          <w:ilvl w:val="0"/>
          <w:numId w:val="0"/>
        </w:numPr>
        <w:tabs>
          <w:tab w:val="left" w:pos="672"/>
        </w:tabs>
        <w:kinsoku/>
        <w:wordWrap w:val="0"/>
        <w:overflowPunct/>
        <w:topLinePunct/>
        <w:autoSpaceDE/>
        <w:autoSpaceDN/>
        <w:bidi w:val="0"/>
        <w:spacing w:line="500" w:lineRule="exact"/>
        <w:ind w:left="0" w:leftChars="0" w:firstLine="472" w:firstLineChars="200"/>
        <w:jc w:val="left"/>
        <w:textAlignment w:val="auto"/>
        <w:rPr>
          <w:rFonts w:hint="eastAsia" w:ascii="宋体" w:hAnsi="宋体" w:eastAsia="宋体" w:cs="宋体"/>
          <w:b w:val="0"/>
          <w:bCs/>
          <w:kern w:val="0"/>
          <w:sz w:val="24"/>
          <w:szCs w:val="24"/>
          <w:lang w:val="en-US" w:eastAsia="zh-CN"/>
        </w:rPr>
      </w:pPr>
      <w:r>
        <w:rPr>
          <w:rFonts w:ascii="宋体" w:hAnsi="宋体" w:eastAsia="宋体" w:cs="宋体"/>
          <w:b w:val="0"/>
          <w:bCs w:val="0"/>
          <w:spacing w:val="-2"/>
          <w:sz w:val="24"/>
          <w:szCs w:val="24"/>
          <w:highlight w:val="none"/>
        </w:rPr>
        <w:t>提供的保安人员</w:t>
      </w:r>
      <w:r>
        <w:rPr>
          <w:rFonts w:hint="eastAsia" w:ascii="宋体" w:hAnsi="宋体" w:eastAsia="宋体" w:cs="宋体"/>
          <w:b w:val="0"/>
          <w:bCs w:val="0"/>
          <w:spacing w:val="-2"/>
          <w:sz w:val="24"/>
          <w:szCs w:val="24"/>
          <w:highlight w:val="none"/>
          <w:lang w:val="en-US" w:eastAsia="zh-CN"/>
        </w:rPr>
        <w:t>60</w:t>
      </w:r>
      <w:r>
        <w:rPr>
          <w:rFonts w:ascii="宋体" w:hAnsi="宋体" w:eastAsia="宋体" w:cs="宋体"/>
          <w:b w:val="0"/>
          <w:bCs w:val="0"/>
          <w:spacing w:val="-2"/>
          <w:sz w:val="24"/>
          <w:szCs w:val="24"/>
          <w:highlight w:val="none"/>
        </w:rPr>
        <w:t>人，人员年龄20-5</w:t>
      </w:r>
      <w:r>
        <w:rPr>
          <w:rFonts w:hint="eastAsia" w:ascii="宋体" w:hAnsi="宋体" w:eastAsia="宋体" w:cs="宋体"/>
          <w:b w:val="0"/>
          <w:bCs w:val="0"/>
          <w:spacing w:val="-2"/>
          <w:sz w:val="24"/>
          <w:szCs w:val="24"/>
          <w:highlight w:val="none"/>
          <w:lang w:val="en-US" w:eastAsia="zh-CN"/>
        </w:rPr>
        <w:t>8</w:t>
      </w:r>
      <w:r>
        <w:rPr>
          <w:rFonts w:ascii="宋体" w:hAnsi="宋体" w:eastAsia="宋体" w:cs="宋体"/>
          <w:b w:val="0"/>
          <w:bCs w:val="0"/>
          <w:spacing w:val="-2"/>
          <w:sz w:val="24"/>
          <w:szCs w:val="24"/>
          <w:highlight w:val="none"/>
        </w:rPr>
        <w:t>周岁</w:t>
      </w:r>
      <w:r>
        <w:rPr>
          <w:rFonts w:hint="eastAsia" w:ascii="宋体" w:hAnsi="宋体" w:eastAsia="宋体" w:cs="宋体"/>
          <w:b w:val="0"/>
          <w:bCs w:val="0"/>
          <w:kern w:val="0"/>
          <w:sz w:val="24"/>
          <w:szCs w:val="24"/>
          <w:highlight w:val="none"/>
          <w:lang w:val="en-US" w:eastAsia="zh-CN"/>
        </w:rPr>
        <w:t>。</w:t>
      </w:r>
      <w:r>
        <w:rPr>
          <w:rFonts w:hint="eastAsia" w:ascii="宋体" w:hAnsi="宋体" w:eastAsia="宋体" w:cs="宋体"/>
          <w:b w:val="0"/>
          <w:bCs/>
          <w:sz w:val="24"/>
          <w:szCs w:val="24"/>
          <w:lang w:val="en-US" w:eastAsia="zh-CN"/>
        </w:rPr>
        <w:t>要求保安身强力壮，素质较高，责任心强，能胜任医院安保工作者。</w:t>
      </w:r>
      <w:r>
        <w:rPr>
          <w:rFonts w:hint="eastAsia" w:ascii="宋体" w:hAnsi="宋体" w:eastAsia="宋体" w:cs="宋体"/>
          <w:b w:val="0"/>
          <w:bCs/>
          <w:kern w:val="0"/>
          <w:sz w:val="24"/>
          <w:szCs w:val="24"/>
        </w:rPr>
        <w:t>人员进场后，</w:t>
      </w:r>
      <w:r>
        <w:rPr>
          <w:rFonts w:hint="eastAsia" w:ascii="宋体" w:hAnsi="宋体" w:eastAsia="宋体" w:cs="宋体"/>
          <w:b w:val="0"/>
          <w:bCs/>
          <w:kern w:val="0"/>
          <w:sz w:val="24"/>
          <w:szCs w:val="24"/>
          <w:lang w:val="en-US" w:eastAsia="zh-CN"/>
        </w:rPr>
        <w:t>按实际上岗人数</w:t>
      </w:r>
      <w:r>
        <w:rPr>
          <w:rFonts w:hint="eastAsia" w:ascii="宋体" w:hAnsi="宋体" w:eastAsia="宋体" w:cs="宋体"/>
          <w:b w:val="0"/>
          <w:bCs/>
          <w:kern w:val="0"/>
          <w:sz w:val="24"/>
          <w:szCs w:val="24"/>
        </w:rPr>
        <w:t>由济源市人民医院进行统一调度和分配岗位</w:t>
      </w:r>
      <w:r>
        <w:rPr>
          <w:rFonts w:hint="eastAsia" w:ascii="宋体" w:hAnsi="宋体" w:eastAsia="宋体" w:cs="宋体"/>
          <w:b w:val="0"/>
          <w:bCs/>
          <w:kern w:val="0"/>
          <w:sz w:val="24"/>
          <w:szCs w:val="24"/>
          <w:lang w:eastAsia="zh-CN"/>
        </w:rPr>
        <w:t>，</w:t>
      </w:r>
      <w:r>
        <w:rPr>
          <w:rFonts w:hint="eastAsia" w:ascii="宋体" w:hAnsi="宋体" w:eastAsia="宋体" w:cs="宋体"/>
          <w:b w:val="0"/>
          <w:bCs/>
          <w:kern w:val="0"/>
          <w:sz w:val="24"/>
          <w:szCs w:val="24"/>
          <w:lang w:val="en-US" w:eastAsia="zh-CN"/>
        </w:rPr>
        <w:t>计划两班倒，每班执勤12个小时。</w:t>
      </w:r>
    </w:p>
    <w:p w14:paraId="7FE58825">
      <w:pPr>
        <w:keepNext w:val="0"/>
        <w:keepLines w:val="0"/>
        <w:pageBreakBefore w:val="0"/>
        <w:numPr>
          <w:ilvl w:val="0"/>
          <w:numId w:val="0"/>
        </w:numPr>
        <w:kinsoku/>
        <w:wordWrap w:val="0"/>
        <w:overflowPunct/>
        <w:topLinePunct/>
        <w:autoSpaceDE/>
        <w:autoSpaceDN/>
        <w:bidi w:val="0"/>
        <w:snapToGrid/>
        <w:spacing w:line="520" w:lineRule="exact"/>
        <w:ind w:left="0" w:leftChars="0"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八、奖罚措施及规章制度</w:t>
      </w:r>
    </w:p>
    <w:p w14:paraId="05F6E3AC">
      <w:pPr>
        <w:keepNext w:val="0"/>
        <w:keepLines w:val="0"/>
        <w:pageBreakBefore w:val="0"/>
        <w:numPr>
          <w:ilvl w:val="0"/>
          <w:numId w:val="0"/>
        </w:numPr>
        <w:kinsoku/>
        <w:wordWrap w:val="0"/>
        <w:overflowPunct/>
        <w:topLinePunct/>
        <w:autoSpaceDE/>
        <w:autoSpaceDN/>
        <w:bidi w:val="0"/>
        <w:snapToGrid/>
        <w:spacing w:line="52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（一）在值班期间发现值班队员脱岗未造成严重后果的给予罚款50元，造成严重后果的罚款200元，并予以辞退。</w:t>
      </w:r>
    </w:p>
    <w:p w14:paraId="5C9CEB00">
      <w:pPr>
        <w:keepNext w:val="0"/>
        <w:keepLines w:val="0"/>
        <w:pageBreakBefore w:val="0"/>
        <w:numPr>
          <w:ilvl w:val="0"/>
          <w:numId w:val="0"/>
        </w:numPr>
        <w:kinsoku/>
        <w:wordWrap w:val="0"/>
        <w:overflowPunct/>
        <w:topLinePunct/>
        <w:autoSpaceDE/>
        <w:autoSpaceDN/>
        <w:bidi w:val="0"/>
        <w:snapToGrid/>
        <w:spacing w:line="52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（二）值班期间严禁饮酒，如果触犯未造成严重后果的予以辞退，造成严重后果的罚款100元，并予以辞退。</w:t>
      </w:r>
    </w:p>
    <w:p w14:paraId="796CBFEF">
      <w:pPr>
        <w:keepNext w:val="0"/>
        <w:keepLines w:val="0"/>
        <w:pageBreakBefore w:val="0"/>
        <w:numPr>
          <w:ilvl w:val="0"/>
          <w:numId w:val="0"/>
        </w:numPr>
        <w:kinsoku/>
        <w:wordWrap w:val="0"/>
        <w:overflowPunct/>
        <w:topLinePunct/>
        <w:autoSpaceDE/>
        <w:autoSpaceDN/>
        <w:bidi w:val="0"/>
        <w:snapToGrid/>
        <w:spacing w:line="52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（三）值班保安不服从医院管理部门管理协调者，医院相关部门可视情况罚款20—50元。情节严重者可要求公司辞退。</w:t>
      </w:r>
    </w:p>
    <w:p w14:paraId="04BF01A2">
      <w:pPr>
        <w:keepNext w:val="0"/>
        <w:keepLines w:val="0"/>
        <w:pageBreakBefore w:val="0"/>
        <w:numPr>
          <w:ilvl w:val="0"/>
          <w:numId w:val="0"/>
        </w:numPr>
        <w:kinsoku/>
        <w:wordWrap w:val="0"/>
        <w:overflowPunct/>
        <w:topLinePunct/>
        <w:autoSpaceDE/>
        <w:autoSpaceDN/>
        <w:bidi w:val="0"/>
        <w:snapToGrid/>
        <w:spacing w:line="52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（四）因保安值班执行无力。造成医院重大损失，中标公司赔偿医院实际损失5%---10%。</w:t>
      </w:r>
    </w:p>
    <w:p w14:paraId="15942BD7">
      <w:pPr>
        <w:keepNext w:val="0"/>
        <w:keepLines w:val="0"/>
        <w:pageBreakBefore w:val="0"/>
        <w:numPr>
          <w:ilvl w:val="0"/>
          <w:numId w:val="0"/>
        </w:numPr>
        <w:kinsoku/>
        <w:wordWrap w:val="0"/>
        <w:overflowPunct/>
        <w:topLinePunct/>
        <w:autoSpaceDE/>
        <w:autoSpaceDN/>
        <w:bidi w:val="0"/>
        <w:snapToGrid/>
        <w:spacing w:line="52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（五）对发现重大隐患并及时上报、重大突发事件中处理及时适当的保安队员，院方认可后可给与50—200元奖励。</w:t>
      </w:r>
    </w:p>
    <w:p w14:paraId="359A785F">
      <w:pPr>
        <w:keepNext w:val="0"/>
        <w:keepLines w:val="0"/>
        <w:pageBreakBefore w:val="0"/>
        <w:numPr>
          <w:ilvl w:val="0"/>
          <w:numId w:val="0"/>
        </w:numPr>
        <w:kinsoku/>
        <w:wordWrap w:val="0"/>
        <w:overflowPunct/>
        <w:topLinePunct/>
        <w:autoSpaceDE/>
        <w:autoSpaceDN/>
        <w:bidi w:val="0"/>
        <w:snapToGrid/>
        <w:spacing w:line="52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（六）查岗时如发现保安不符合招投标文件和合同承诺（如身高、年龄、人数），甲方按照约定给与200处罚。</w:t>
      </w:r>
    </w:p>
    <w:p w14:paraId="70DB1F49">
      <w:pPr>
        <w:keepNext w:val="0"/>
        <w:keepLines w:val="0"/>
        <w:pageBreakBefore w:val="0"/>
        <w:kinsoku/>
        <w:wordWrap w:val="0"/>
        <w:overflowPunct/>
        <w:topLinePunct/>
        <w:autoSpaceDE/>
        <w:autoSpaceDN/>
        <w:bidi w:val="0"/>
        <w:snapToGrid/>
        <w:spacing w:line="520" w:lineRule="exact"/>
        <w:ind w:left="0" w:leftChars="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bCs/>
          <w:sz w:val="24"/>
          <w:szCs w:val="24"/>
          <w:lang w:val="en-US" w:eastAsia="zh-CN"/>
        </w:rPr>
        <w:t>后附具体</w:t>
      </w:r>
      <w:r>
        <w:rPr>
          <w:rFonts w:hint="eastAsia" w:ascii="宋体" w:hAnsi="宋体" w:eastAsia="宋体" w:cs="宋体"/>
          <w:bCs/>
          <w:sz w:val="24"/>
          <w:szCs w:val="24"/>
        </w:rPr>
        <w:t>考核细则</w:t>
      </w:r>
    </w:p>
    <w:p w14:paraId="6308135D">
      <w:pPr>
        <w:keepNext w:val="0"/>
        <w:keepLines w:val="0"/>
        <w:pageBreakBefore w:val="0"/>
        <w:widowControl w:val="0"/>
        <w:kinsoku/>
        <w:wordWrap w:val="0"/>
        <w:overflowPunct/>
        <w:topLinePunct/>
        <w:autoSpaceDE/>
        <w:autoSpaceDN/>
        <w:bidi w:val="0"/>
        <w:snapToGrid/>
        <w:spacing w:line="520" w:lineRule="exact"/>
        <w:ind w:left="0" w:leftChars="0"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九、</w:t>
      </w:r>
      <w:r>
        <w:rPr>
          <w:rFonts w:hint="eastAsia" w:ascii="宋体" w:hAnsi="宋体" w:eastAsia="宋体" w:cs="宋体"/>
          <w:b/>
          <w:bCs/>
          <w:sz w:val="24"/>
          <w:szCs w:val="24"/>
        </w:rPr>
        <w:t>赔偿条款</w:t>
      </w:r>
    </w:p>
    <w:p w14:paraId="1536CB02">
      <w:pPr>
        <w:keepNext w:val="0"/>
        <w:keepLines w:val="0"/>
        <w:pageBreakBefore w:val="0"/>
        <w:widowControl w:val="0"/>
        <w:kinsoku/>
        <w:wordWrap w:val="0"/>
        <w:overflowPunct/>
        <w:topLinePunct/>
        <w:autoSpaceDE/>
        <w:autoSpaceDN/>
        <w:bidi w:val="0"/>
        <w:snapToGrid/>
        <w:spacing w:line="520" w:lineRule="exact"/>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（一）在合同期间，并在合同规定责任区内，因乙方保安人员工作失误、失职而造成甲方财产损失和在甲方责任区内的人员人身伤害，经公安部门认定属实，确定责任大小，由乙方赔偿甲方相应的经济损失。</w:t>
      </w:r>
    </w:p>
    <w:p w14:paraId="0926E9FD">
      <w:pPr>
        <w:keepNext w:val="0"/>
        <w:keepLines w:val="0"/>
        <w:pageBreakBefore w:val="0"/>
        <w:widowControl w:val="0"/>
        <w:kinsoku/>
        <w:wordWrap w:val="0"/>
        <w:overflowPunct/>
        <w:topLinePunct/>
        <w:autoSpaceDE/>
        <w:autoSpaceDN/>
        <w:bidi w:val="0"/>
        <w:snapToGrid/>
        <w:spacing w:line="520" w:lineRule="exact"/>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（二）根据国家有关规定，因下列原因造成的甲方损失，乙方不负责赔偿：</w:t>
      </w:r>
    </w:p>
    <w:p w14:paraId="3B963C7F">
      <w:pPr>
        <w:keepNext w:val="0"/>
        <w:keepLines w:val="0"/>
        <w:pageBreakBefore w:val="0"/>
        <w:widowControl w:val="0"/>
        <w:kinsoku/>
        <w:wordWrap w:val="0"/>
        <w:overflowPunct/>
        <w:topLinePunct/>
        <w:autoSpaceDE/>
        <w:autoSpaceDN/>
        <w:bidi w:val="0"/>
        <w:snapToGrid/>
        <w:spacing w:line="520" w:lineRule="exact"/>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1、因紧急避险造成的损失；</w:t>
      </w:r>
    </w:p>
    <w:p w14:paraId="63AC96F3">
      <w:pPr>
        <w:keepNext w:val="0"/>
        <w:keepLines w:val="0"/>
        <w:pageBreakBefore w:val="0"/>
        <w:widowControl w:val="0"/>
        <w:kinsoku/>
        <w:wordWrap w:val="0"/>
        <w:overflowPunct/>
        <w:topLinePunct/>
        <w:autoSpaceDE/>
        <w:autoSpaceDN/>
        <w:bidi w:val="0"/>
        <w:snapToGrid/>
        <w:spacing w:line="520" w:lineRule="exact"/>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2、在紧急情况下从事对甲方或社会有益的工作而造成的损失；</w:t>
      </w:r>
    </w:p>
    <w:p w14:paraId="329C73F9">
      <w:pPr>
        <w:keepNext w:val="0"/>
        <w:keepLines w:val="0"/>
        <w:pageBreakBefore w:val="0"/>
        <w:widowControl w:val="0"/>
        <w:kinsoku/>
        <w:wordWrap w:val="0"/>
        <w:overflowPunct/>
        <w:topLinePunct/>
        <w:autoSpaceDE/>
        <w:autoSpaceDN/>
        <w:bidi w:val="0"/>
        <w:snapToGrid/>
        <w:spacing w:line="520" w:lineRule="exact"/>
        <w:ind w:left="0" w:leftChars="0"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3、遭受不可抗拒的意外事故造成的损失</w:t>
      </w:r>
      <w:r>
        <w:rPr>
          <w:rFonts w:hint="eastAsia" w:ascii="宋体" w:hAnsi="宋体" w:eastAsia="宋体" w:cs="宋体"/>
          <w:sz w:val="24"/>
          <w:szCs w:val="24"/>
          <w:lang w:eastAsia="zh-CN"/>
        </w:rPr>
        <w:t>。</w:t>
      </w:r>
    </w:p>
    <w:p w14:paraId="1B1DAB9A">
      <w:pPr>
        <w:keepNext w:val="0"/>
        <w:keepLines w:val="0"/>
        <w:pageBreakBefore w:val="0"/>
        <w:widowControl w:val="0"/>
        <w:kinsoku/>
        <w:wordWrap w:val="0"/>
        <w:overflowPunct/>
        <w:topLinePunct/>
        <w:autoSpaceDE/>
        <w:autoSpaceDN/>
        <w:bidi w:val="0"/>
        <w:adjustRightInd/>
        <w:snapToGrid/>
        <w:spacing w:line="520" w:lineRule="exact"/>
        <w:ind w:firstLine="482" w:firstLineChars="200"/>
        <w:textAlignment w:val="auto"/>
        <w:rPr>
          <w:rFonts w:hint="eastAsia" w:ascii="宋体" w:hAnsi="宋体" w:eastAsia="宋体" w:cs="宋体"/>
          <w:b/>
          <w:bCs w:val="0"/>
          <w:color w:val="000000"/>
          <w:kern w:val="0"/>
          <w:sz w:val="24"/>
          <w:szCs w:val="24"/>
          <w:lang w:eastAsia="zh-CN"/>
        </w:rPr>
      </w:pPr>
      <w:r>
        <w:rPr>
          <w:rFonts w:hint="eastAsia" w:ascii="宋体" w:hAnsi="宋体" w:eastAsia="宋体" w:cs="宋体"/>
          <w:b/>
          <w:bCs w:val="0"/>
          <w:color w:val="000000"/>
          <w:kern w:val="0"/>
          <w:sz w:val="24"/>
          <w:szCs w:val="24"/>
          <w:lang w:val="en-US" w:eastAsia="zh-CN"/>
        </w:rPr>
        <w:t>十</w:t>
      </w:r>
      <w:r>
        <w:rPr>
          <w:rFonts w:hint="eastAsia" w:ascii="宋体" w:hAnsi="宋体" w:eastAsia="宋体" w:cs="宋体"/>
          <w:b/>
          <w:bCs w:val="0"/>
          <w:color w:val="000000"/>
          <w:kern w:val="0"/>
          <w:sz w:val="24"/>
          <w:szCs w:val="24"/>
          <w:lang w:eastAsia="zh-CN"/>
        </w:rPr>
        <w:t>、其他要求</w:t>
      </w:r>
    </w:p>
    <w:p w14:paraId="65CBFA94">
      <w:pPr>
        <w:adjustRightInd w:val="0"/>
        <w:snapToGrid w:val="0"/>
        <w:spacing w:line="500" w:lineRule="exact"/>
        <w:ind w:firstLine="480" w:firstLineChars="200"/>
        <w:rPr>
          <w:rFonts w:hint="eastAsia" w:ascii="宋体" w:hAnsi="宋体" w:eastAsia="宋体" w:cs="宋体"/>
          <w:bCs/>
          <w:sz w:val="24"/>
          <w:szCs w:val="32"/>
          <w:highlight w:val="none"/>
        </w:rPr>
      </w:pPr>
      <w:r>
        <w:rPr>
          <w:rFonts w:hint="eastAsia" w:ascii="宋体" w:hAnsi="宋体" w:eastAsia="宋体" w:cs="宋体"/>
          <w:b w:val="0"/>
          <w:bCs/>
          <w:kern w:val="0"/>
          <w:sz w:val="24"/>
          <w:szCs w:val="24"/>
          <w:lang w:val="en-US" w:eastAsia="zh-CN"/>
        </w:rPr>
        <w:t>1</w:t>
      </w:r>
      <w:r>
        <w:rPr>
          <w:rFonts w:hint="eastAsia" w:ascii="宋体" w:hAnsi="宋体" w:eastAsia="宋体" w:cs="宋体"/>
          <w:sz w:val="24"/>
          <w:szCs w:val="24"/>
        </w:rPr>
        <w:t>、</w:t>
      </w:r>
      <w:r>
        <w:rPr>
          <w:rFonts w:hint="eastAsia" w:ascii="宋体" w:hAnsi="宋体" w:eastAsia="宋体" w:cs="宋体"/>
          <w:bCs/>
          <w:sz w:val="24"/>
          <w:szCs w:val="32"/>
          <w:highlight w:val="none"/>
          <w:lang w:val="en-US" w:eastAsia="zh-CN"/>
        </w:rPr>
        <w:t>投标人</w:t>
      </w:r>
      <w:r>
        <w:rPr>
          <w:rFonts w:hint="eastAsia" w:ascii="宋体" w:hAnsi="宋体" w:eastAsia="宋体" w:cs="宋体"/>
          <w:bCs/>
          <w:sz w:val="24"/>
          <w:szCs w:val="32"/>
          <w:highlight w:val="none"/>
        </w:rPr>
        <w:t>的投标报价</w:t>
      </w:r>
      <w:r>
        <w:rPr>
          <w:rFonts w:hint="eastAsia" w:ascii="宋体" w:hAnsi="宋体" w:eastAsia="宋体" w:cs="宋体"/>
          <w:bCs/>
          <w:sz w:val="24"/>
          <w:szCs w:val="32"/>
          <w:highlight w:val="none"/>
          <w:lang w:val="en-US" w:eastAsia="zh-CN"/>
        </w:rPr>
        <w:t>包含人工、餐饮、住宿、交通、材料工具、管理、服装费、装备费、保险费、培训费、利润及税费等产生的所有费用</w:t>
      </w:r>
      <w:r>
        <w:rPr>
          <w:rFonts w:hint="eastAsia" w:ascii="宋体" w:hAnsi="宋体" w:eastAsia="宋体" w:cs="宋体"/>
          <w:bCs/>
          <w:sz w:val="24"/>
          <w:szCs w:val="32"/>
          <w:highlight w:val="none"/>
        </w:rPr>
        <w:t>。投标人的投标报价高于招标文件规定的政府采购预算价或者最高投标限价的按无效投标处理。</w:t>
      </w:r>
    </w:p>
    <w:p w14:paraId="7F5DDE9B">
      <w:pPr>
        <w:keepNext w:val="0"/>
        <w:keepLines w:val="0"/>
        <w:pageBreakBefore w:val="0"/>
        <w:widowControl w:val="0"/>
        <w:kinsoku/>
        <w:wordWrap w:val="0"/>
        <w:overflowPunct/>
        <w:topLinePunct/>
        <w:autoSpaceDE/>
        <w:autoSpaceDN/>
        <w:bidi w:val="0"/>
        <w:adjustRightInd w:val="0"/>
        <w:snapToGrid/>
        <w:spacing w:line="520" w:lineRule="exact"/>
        <w:ind w:firstLine="480" w:firstLineChars="200"/>
        <w:jc w:val="left"/>
        <w:textAlignment w:val="auto"/>
        <w:rPr>
          <w:rFonts w:hint="eastAsia" w:ascii="宋体" w:hAnsi="宋体" w:eastAsia="宋体" w:cs="宋体"/>
          <w:b w:val="0"/>
          <w:bCs/>
          <w:kern w:val="0"/>
          <w:sz w:val="24"/>
          <w:szCs w:val="24"/>
          <w:highlight w:val="none"/>
          <w:lang w:val="en-US" w:eastAsia="zh-CN"/>
        </w:rPr>
      </w:pPr>
      <w:r>
        <w:rPr>
          <w:rFonts w:hint="eastAsia" w:ascii="宋体" w:hAnsi="宋体" w:eastAsia="宋体" w:cs="宋体"/>
          <w:b w:val="0"/>
          <w:bCs/>
          <w:kern w:val="0"/>
          <w:sz w:val="24"/>
          <w:szCs w:val="24"/>
          <w:lang w:val="en-US" w:eastAsia="zh-CN"/>
        </w:rPr>
        <w:t>2、如中标供应商为外地供应商，在被推荐为中标供应商后签订政府采购合同前，</w:t>
      </w:r>
      <w:r>
        <w:rPr>
          <w:rFonts w:hint="eastAsia" w:ascii="宋体" w:hAnsi="宋体" w:eastAsia="宋体" w:cs="宋体"/>
          <w:b w:val="0"/>
          <w:bCs/>
          <w:kern w:val="0"/>
          <w:sz w:val="24"/>
          <w:szCs w:val="24"/>
          <w:highlight w:val="none"/>
          <w:lang w:val="en-US" w:eastAsia="zh-CN"/>
        </w:rPr>
        <w:t>必须向采购人提供项目所在地公安部门备案材料，否则采购人将取消其成交资格、不再与其签订的政府采购合同。采购人有权按照评审报告推荐的中标候选供应商顺序推荐下一中标候选人为中标供应商，也可以按照政府采购法及其相关规定重新开展采购活动。</w:t>
      </w:r>
    </w:p>
    <w:p w14:paraId="06B85BDE">
      <w:pPr>
        <w:keepNext w:val="0"/>
        <w:keepLines w:val="0"/>
        <w:pageBreakBefore w:val="0"/>
        <w:widowControl w:val="0"/>
        <w:kinsoku/>
        <w:wordWrap w:val="0"/>
        <w:overflowPunct/>
        <w:topLinePunct/>
        <w:autoSpaceDE/>
        <w:autoSpaceDN/>
        <w:bidi w:val="0"/>
        <w:adjustRightInd w:val="0"/>
        <w:snapToGrid/>
        <w:spacing w:line="520" w:lineRule="exact"/>
        <w:ind w:firstLine="480" w:firstLineChars="200"/>
        <w:jc w:val="left"/>
        <w:textAlignment w:val="auto"/>
        <w:rPr>
          <w:rFonts w:hint="eastAsia" w:ascii="宋体" w:hAnsi="宋体" w:eastAsia="宋体" w:cs="宋体"/>
          <w:b w:val="0"/>
          <w:bCs/>
          <w:kern w:val="0"/>
          <w:sz w:val="24"/>
          <w:szCs w:val="24"/>
          <w:highlight w:val="none"/>
          <w:lang w:val="en-US" w:eastAsia="zh-CN"/>
        </w:rPr>
      </w:pPr>
      <w:r>
        <w:rPr>
          <w:rFonts w:hint="eastAsia" w:ascii="宋体" w:hAnsi="宋体" w:eastAsia="宋体" w:cs="宋体"/>
          <w:b w:val="0"/>
          <w:bCs/>
          <w:kern w:val="0"/>
          <w:sz w:val="24"/>
          <w:szCs w:val="24"/>
          <w:highlight w:val="none"/>
          <w:lang w:val="en-US" w:eastAsia="zh-CN"/>
        </w:rPr>
        <w:t>3、投报人员工资不得低于济源产城融合示范区现行最低工资标准。</w:t>
      </w:r>
    </w:p>
    <w:p w14:paraId="40C89AD8">
      <w:pPr>
        <w:keepNext w:val="0"/>
        <w:keepLines w:val="0"/>
        <w:pageBreakBefore w:val="0"/>
        <w:widowControl w:val="0"/>
        <w:kinsoku/>
        <w:wordWrap w:val="0"/>
        <w:overflowPunct/>
        <w:topLinePunct/>
        <w:autoSpaceDE/>
        <w:autoSpaceDN/>
        <w:bidi w:val="0"/>
        <w:adjustRightInd w:val="0"/>
        <w:snapToGrid/>
        <w:spacing w:line="520" w:lineRule="exact"/>
        <w:ind w:firstLine="480" w:firstLineChars="200"/>
        <w:jc w:val="left"/>
        <w:textAlignment w:val="auto"/>
        <w:rPr>
          <w:rFonts w:hint="eastAsia" w:ascii="宋体" w:hAnsi="宋体" w:eastAsia="宋体" w:cs="宋体"/>
          <w:b w:val="0"/>
          <w:bCs/>
          <w:kern w:val="0"/>
          <w:sz w:val="24"/>
          <w:szCs w:val="24"/>
          <w:highlight w:val="none"/>
          <w:lang w:val="en-US" w:eastAsia="zh-CN"/>
        </w:rPr>
      </w:pPr>
      <w:r>
        <w:rPr>
          <w:rFonts w:hint="eastAsia" w:ascii="宋体" w:hAnsi="宋体" w:eastAsia="宋体" w:cs="宋体"/>
          <w:b w:val="0"/>
          <w:bCs/>
          <w:kern w:val="0"/>
          <w:sz w:val="24"/>
          <w:szCs w:val="24"/>
          <w:highlight w:val="none"/>
          <w:lang w:val="en-US" w:eastAsia="zh-CN"/>
        </w:rPr>
        <w:t>4、本项目服务期限为3年，本项目采取一次招标三年沿用、实行一年一考核，合同一年一签的办法，根据供应商服务情况决定是否续签合同。如果中标方未通过考核，院方有权更换中标方。</w:t>
      </w:r>
    </w:p>
    <w:p w14:paraId="7F53FD9F">
      <w:pPr>
        <w:keepNext w:val="0"/>
        <w:keepLines w:val="0"/>
        <w:pageBreakBefore w:val="0"/>
        <w:widowControl w:val="0"/>
        <w:kinsoku/>
        <w:wordWrap w:val="0"/>
        <w:overflowPunct/>
        <w:topLinePunct/>
        <w:autoSpaceDE/>
        <w:autoSpaceDN/>
        <w:bidi w:val="0"/>
        <w:adjustRightInd w:val="0"/>
        <w:snapToGrid/>
        <w:spacing w:line="520" w:lineRule="exact"/>
        <w:ind w:firstLine="480" w:firstLineChars="200"/>
        <w:jc w:val="left"/>
        <w:textAlignment w:val="auto"/>
        <w:rPr>
          <w:rFonts w:hint="eastAsia" w:ascii="宋体" w:hAnsi="宋体" w:eastAsia="宋体" w:cs="宋体"/>
          <w:b w:val="0"/>
          <w:bCs/>
          <w:kern w:val="0"/>
          <w:sz w:val="24"/>
          <w:szCs w:val="24"/>
          <w:highlight w:val="none"/>
          <w:lang w:val="en-US" w:eastAsia="zh-CN"/>
        </w:rPr>
      </w:pPr>
      <w:r>
        <w:rPr>
          <w:rFonts w:hint="eastAsia" w:ascii="宋体" w:hAnsi="宋体" w:eastAsia="宋体" w:cs="宋体"/>
          <w:b w:val="0"/>
          <w:bCs/>
          <w:kern w:val="0"/>
          <w:sz w:val="24"/>
          <w:szCs w:val="24"/>
          <w:highlight w:val="none"/>
          <w:lang w:val="en-US" w:eastAsia="zh-CN"/>
        </w:rPr>
        <w:t>5、服务过程中，若最低工资标准遇到国家政策性调整，则根据国家政策调整幅度，适当调整相应费用。</w:t>
      </w:r>
    </w:p>
    <w:p w14:paraId="3998F0D5">
      <w:pPr>
        <w:keepNext w:val="0"/>
        <w:keepLines w:val="0"/>
        <w:pageBreakBefore w:val="0"/>
        <w:widowControl w:val="0"/>
        <w:kinsoku/>
        <w:wordWrap w:val="0"/>
        <w:overflowPunct/>
        <w:topLinePunct/>
        <w:autoSpaceDE/>
        <w:autoSpaceDN/>
        <w:bidi w:val="0"/>
        <w:adjustRightInd w:val="0"/>
        <w:snapToGrid/>
        <w:spacing w:line="520" w:lineRule="exact"/>
        <w:ind w:firstLine="480" w:firstLineChars="200"/>
        <w:jc w:val="left"/>
        <w:textAlignment w:val="auto"/>
        <w:rPr>
          <w:rFonts w:hint="eastAsia" w:ascii="宋体" w:hAnsi="宋体" w:eastAsia="宋体" w:cs="宋体"/>
          <w:b w:val="0"/>
          <w:bCs/>
          <w:kern w:val="0"/>
          <w:sz w:val="24"/>
          <w:szCs w:val="24"/>
          <w:highlight w:val="none"/>
        </w:rPr>
      </w:pPr>
      <w:r>
        <w:rPr>
          <w:rFonts w:hint="eastAsia" w:ascii="宋体" w:hAnsi="宋体" w:eastAsia="宋体" w:cs="宋体"/>
          <w:b w:val="0"/>
          <w:bCs/>
          <w:kern w:val="0"/>
          <w:sz w:val="24"/>
          <w:szCs w:val="24"/>
          <w:highlight w:val="none"/>
          <w:lang w:val="en-US" w:eastAsia="zh-CN"/>
        </w:rPr>
        <w:t>6、</w:t>
      </w:r>
      <w:r>
        <w:rPr>
          <w:rFonts w:hint="eastAsia" w:ascii="宋体" w:hAnsi="宋体" w:eastAsia="宋体" w:cs="宋体"/>
          <w:b w:val="0"/>
          <w:bCs/>
          <w:kern w:val="0"/>
          <w:sz w:val="24"/>
          <w:szCs w:val="24"/>
          <w:highlight w:val="none"/>
        </w:rPr>
        <w:t>保安</w:t>
      </w:r>
      <w:r>
        <w:rPr>
          <w:rFonts w:hint="eastAsia" w:ascii="宋体" w:hAnsi="宋体" w:eastAsia="宋体" w:cs="宋体"/>
          <w:b w:val="0"/>
          <w:bCs/>
          <w:kern w:val="0"/>
          <w:sz w:val="24"/>
          <w:szCs w:val="24"/>
          <w:highlight w:val="none"/>
          <w:lang w:eastAsia="zh-CN"/>
        </w:rPr>
        <w:t>人</w:t>
      </w:r>
      <w:r>
        <w:rPr>
          <w:rFonts w:hint="eastAsia" w:ascii="宋体" w:hAnsi="宋体" w:eastAsia="宋体" w:cs="宋体"/>
          <w:b w:val="0"/>
          <w:bCs/>
          <w:kern w:val="0"/>
          <w:sz w:val="24"/>
          <w:szCs w:val="24"/>
          <w:highlight w:val="none"/>
        </w:rPr>
        <w:t>员上岗时间：从合同签订</w:t>
      </w:r>
      <w:r>
        <w:rPr>
          <w:rFonts w:hint="eastAsia" w:ascii="宋体" w:hAnsi="宋体" w:eastAsia="宋体" w:cs="宋体"/>
          <w:b w:val="0"/>
          <w:bCs/>
          <w:kern w:val="0"/>
          <w:sz w:val="24"/>
          <w:szCs w:val="24"/>
          <w:highlight w:val="none"/>
          <w:lang w:eastAsia="zh-CN"/>
        </w:rPr>
        <w:t>之日</w:t>
      </w:r>
      <w:r>
        <w:rPr>
          <w:rFonts w:hint="eastAsia" w:ascii="宋体" w:hAnsi="宋体" w:eastAsia="宋体" w:cs="宋体"/>
          <w:b w:val="0"/>
          <w:bCs/>
          <w:kern w:val="0"/>
          <w:sz w:val="24"/>
          <w:szCs w:val="24"/>
          <w:highlight w:val="none"/>
        </w:rPr>
        <w:t>起一周内上岗</w:t>
      </w:r>
      <w:r>
        <w:rPr>
          <w:rFonts w:hint="eastAsia" w:ascii="宋体" w:hAnsi="宋体" w:eastAsia="宋体" w:cs="宋体"/>
          <w:b w:val="0"/>
          <w:bCs/>
          <w:kern w:val="0"/>
          <w:sz w:val="24"/>
          <w:szCs w:val="24"/>
          <w:highlight w:val="none"/>
          <w:lang w:eastAsia="zh-CN"/>
        </w:rPr>
        <w:t>完毕</w:t>
      </w:r>
      <w:r>
        <w:rPr>
          <w:rFonts w:hint="eastAsia" w:ascii="宋体" w:hAnsi="宋体" w:eastAsia="宋体" w:cs="宋体"/>
          <w:b w:val="0"/>
          <w:bCs/>
          <w:kern w:val="0"/>
          <w:sz w:val="24"/>
          <w:szCs w:val="24"/>
          <w:highlight w:val="none"/>
        </w:rPr>
        <w:t>。</w:t>
      </w:r>
    </w:p>
    <w:p w14:paraId="1031B7B7">
      <w:pPr>
        <w:keepNext w:val="0"/>
        <w:keepLines w:val="0"/>
        <w:pageBreakBefore w:val="0"/>
        <w:widowControl w:val="0"/>
        <w:kinsoku/>
        <w:wordWrap w:val="0"/>
        <w:overflowPunct/>
        <w:topLinePunct/>
        <w:autoSpaceDE/>
        <w:autoSpaceDN/>
        <w:bidi w:val="0"/>
        <w:adjustRightInd w:val="0"/>
        <w:snapToGrid/>
        <w:spacing w:line="520" w:lineRule="exact"/>
        <w:ind w:firstLine="480" w:firstLineChars="200"/>
        <w:jc w:val="left"/>
        <w:textAlignment w:val="auto"/>
        <w:rPr>
          <w:rFonts w:hint="eastAsia" w:ascii="宋体" w:hAnsi="宋体" w:eastAsia="宋体" w:cs="宋体"/>
          <w:b w:val="0"/>
          <w:bCs/>
          <w:kern w:val="0"/>
          <w:sz w:val="24"/>
          <w:szCs w:val="24"/>
          <w:highlight w:val="none"/>
          <w:lang w:val="en-US" w:eastAsia="zh-CN"/>
        </w:rPr>
      </w:pPr>
      <w:r>
        <w:rPr>
          <w:rFonts w:hint="eastAsia" w:ascii="宋体" w:hAnsi="宋体" w:eastAsia="宋体" w:cs="宋体"/>
          <w:b w:val="0"/>
          <w:bCs/>
          <w:kern w:val="0"/>
          <w:sz w:val="24"/>
          <w:szCs w:val="24"/>
          <w:highlight w:val="none"/>
          <w:lang w:val="en-US" w:eastAsia="zh-CN"/>
        </w:rPr>
        <w:t>7、支付方式：合同签订后，采购人向中标供应商首付当年合同金额的15%作为预付款，同时中标供应商须向采购人提交同等金额的一年期银行保函。其余金额按月均分并支付，次月支付上月的服务费。</w:t>
      </w:r>
    </w:p>
    <w:p w14:paraId="38D8BA57">
      <w:pPr>
        <w:keepNext w:val="0"/>
        <w:keepLines w:val="0"/>
        <w:pageBreakBefore w:val="0"/>
        <w:widowControl w:val="0"/>
        <w:kinsoku/>
        <w:wordWrap w:val="0"/>
        <w:overflowPunct/>
        <w:topLinePunct/>
        <w:autoSpaceDE/>
        <w:autoSpaceDN/>
        <w:bidi w:val="0"/>
        <w:adjustRightInd w:val="0"/>
        <w:snapToGrid/>
        <w:spacing w:line="520" w:lineRule="exact"/>
        <w:ind w:firstLine="480" w:firstLineChars="200"/>
        <w:jc w:val="left"/>
        <w:textAlignment w:val="auto"/>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8、服务标准：符合国家或行业规定的合格标准，满足采购人提出的技术标准及要求，按时按量保证完成服务内容。</w:t>
      </w:r>
    </w:p>
    <w:p w14:paraId="308D9991">
      <w:pPr>
        <w:keepNext w:val="0"/>
        <w:keepLines w:val="0"/>
        <w:pageBreakBefore w:val="0"/>
        <w:widowControl w:val="0"/>
        <w:kinsoku/>
        <w:wordWrap w:val="0"/>
        <w:overflowPunct/>
        <w:topLinePunct/>
        <w:autoSpaceDE/>
        <w:autoSpaceDN/>
        <w:bidi w:val="0"/>
        <w:adjustRightInd w:val="0"/>
        <w:snapToGrid/>
        <w:spacing w:line="520" w:lineRule="exact"/>
        <w:ind w:firstLine="480" w:firstLineChars="200"/>
        <w:jc w:val="left"/>
        <w:textAlignment w:val="auto"/>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9、在服务初期，中标供应商应派有经验的工作人员与采购人进行接洽，确定服务内容，保障服务质量。</w:t>
      </w:r>
    </w:p>
    <w:p w14:paraId="0004EA65">
      <w:pPr>
        <w:keepNext w:val="0"/>
        <w:keepLines w:val="0"/>
        <w:pageBreakBefore w:val="0"/>
        <w:widowControl w:val="0"/>
        <w:kinsoku/>
        <w:wordWrap w:val="0"/>
        <w:overflowPunct/>
        <w:topLinePunct/>
        <w:autoSpaceDE/>
        <w:autoSpaceDN/>
        <w:bidi w:val="0"/>
        <w:adjustRightInd w:val="0"/>
        <w:snapToGrid/>
        <w:spacing w:line="520" w:lineRule="exact"/>
        <w:ind w:firstLine="480" w:firstLineChars="200"/>
        <w:jc w:val="left"/>
        <w:textAlignment w:val="auto"/>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10、中标供应商应该建立专业台账，由采购人按时检查。中标供应商应按劳动法及有关劳保法规规定，足额发放工人工资。如有违反，采购人有权从中标供应商的服务费用中扣除。中标供应商任何违背《劳动法》及其它法律法规的行为，应自行承担全部责任，采购人不予担责，采购人对发现的中标供应商违反《劳动法》和劳动用工规定的行为给予警告，对警告不予整改的，采购人有权终止合同。</w:t>
      </w:r>
    </w:p>
    <w:p w14:paraId="774559AF">
      <w:pPr>
        <w:keepNext w:val="0"/>
        <w:keepLines w:val="0"/>
        <w:pageBreakBefore w:val="0"/>
        <w:widowControl w:val="0"/>
        <w:kinsoku/>
        <w:wordWrap w:val="0"/>
        <w:overflowPunct/>
        <w:topLinePunct/>
        <w:autoSpaceDE/>
        <w:autoSpaceDN/>
        <w:bidi w:val="0"/>
        <w:adjustRightInd w:val="0"/>
        <w:snapToGrid/>
        <w:spacing w:line="520" w:lineRule="exact"/>
        <w:ind w:firstLine="480" w:firstLineChars="200"/>
        <w:jc w:val="left"/>
        <w:textAlignment w:val="auto"/>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11、中标供应商应配备本公司的应急队伍，并配备应急装备。应急队伍必须无条件、无偿服从采购人的指挥调度，按照采购人的应急要求、时限，完成应急整治事项。</w:t>
      </w:r>
    </w:p>
    <w:p w14:paraId="639C5ED5">
      <w:pPr>
        <w:keepNext w:val="0"/>
        <w:keepLines w:val="0"/>
        <w:pageBreakBefore w:val="0"/>
        <w:widowControl w:val="0"/>
        <w:kinsoku/>
        <w:wordWrap w:val="0"/>
        <w:overflowPunct/>
        <w:topLinePunct/>
        <w:autoSpaceDE/>
        <w:autoSpaceDN/>
        <w:bidi w:val="0"/>
        <w:adjustRightInd w:val="0"/>
        <w:snapToGrid/>
        <w:spacing w:line="520" w:lineRule="exact"/>
        <w:ind w:firstLine="480" w:firstLineChars="200"/>
        <w:jc w:val="left"/>
        <w:textAlignment w:val="auto"/>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12、中标供应商，不得以任何理由和任何方式将项目转包给第三方，否则采购人有权终止双方的合作，并依照法律追究中标供应商的法律责任和经济责任。</w:t>
      </w:r>
    </w:p>
    <w:p w14:paraId="76041C08">
      <w:pPr>
        <w:keepNext w:val="0"/>
        <w:keepLines w:val="0"/>
        <w:pageBreakBefore w:val="0"/>
        <w:widowControl w:val="0"/>
        <w:kinsoku/>
        <w:wordWrap w:val="0"/>
        <w:overflowPunct/>
        <w:topLinePunct/>
        <w:autoSpaceDE/>
        <w:autoSpaceDN/>
        <w:bidi w:val="0"/>
        <w:adjustRightInd w:val="0"/>
        <w:snapToGrid/>
        <w:spacing w:line="520" w:lineRule="exact"/>
        <w:ind w:firstLine="480" w:firstLineChars="200"/>
        <w:jc w:val="left"/>
        <w:textAlignment w:val="auto"/>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13、中标供应商应在采购人所在地设立固定的服务机构场所，能确保服务工作的正常运行，并在采购合同签订前向采购人提交本地服务场所的相关证明材料。</w:t>
      </w:r>
    </w:p>
    <w:p w14:paraId="14E11897">
      <w:pPr>
        <w:keepNext w:val="0"/>
        <w:keepLines w:val="0"/>
        <w:pageBreakBefore w:val="0"/>
        <w:widowControl w:val="0"/>
        <w:kinsoku/>
        <w:wordWrap w:val="0"/>
        <w:overflowPunct/>
        <w:topLinePunct/>
        <w:autoSpaceDE/>
        <w:autoSpaceDN/>
        <w:bidi w:val="0"/>
        <w:adjustRightInd w:val="0"/>
        <w:snapToGrid/>
        <w:spacing w:line="520" w:lineRule="exact"/>
        <w:ind w:firstLine="480" w:firstLineChars="200"/>
        <w:jc w:val="left"/>
        <w:textAlignment w:val="auto"/>
        <w:rPr>
          <w:rFonts w:hint="eastAsia" w:ascii="宋体" w:hAnsi="宋体" w:eastAsia="宋体" w:cs="宋体"/>
          <w:b w:val="0"/>
          <w:bCs/>
          <w:kern w:val="0"/>
          <w:sz w:val="24"/>
          <w:szCs w:val="24"/>
          <w:lang w:val="en-GB"/>
        </w:rPr>
      </w:pPr>
      <w:r>
        <w:rPr>
          <w:rFonts w:hint="eastAsia" w:ascii="宋体" w:hAnsi="宋体" w:eastAsia="宋体" w:cs="宋体"/>
          <w:b w:val="0"/>
          <w:bCs/>
          <w:kern w:val="0"/>
          <w:sz w:val="24"/>
          <w:szCs w:val="24"/>
          <w:lang w:val="en-US" w:eastAsia="zh-CN"/>
        </w:rPr>
        <w:t>14、</w:t>
      </w:r>
      <w:r>
        <w:rPr>
          <w:rFonts w:hint="eastAsia" w:ascii="宋体" w:hAnsi="宋体" w:eastAsia="宋体" w:cs="宋体"/>
          <w:b w:val="0"/>
          <w:bCs/>
          <w:kern w:val="0"/>
          <w:sz w:val="24"/>
          <w:szCs w:val="24"/>
          <w:lang w:eastAsia="zh-CN"/>
        </w:rPr>
        <w:t>中标供应商</w:t>
      </w:r>
      <w:r>
        <w:rPr>
          <w:rFonts w:hint="eastAsia" w:ascii="宋体" w:hAnsi="宋体" w:eastAsia="宋体" w:cs="宋体"/>
          <w:b w:val="0"/>
          <w:bCs/>
          <w:kern w:val="0"/>
          <w:sz w:val="24"/>
          <w:szCs w:val="24"/>
        </w:rPr>
        <w:t>提供服务时，如发现与</w:t>
      </w:r>
      <w:r>
        <w:rPr>
          <w:rFonts w:hint="eastAsia" w:ascii="宋体" w:hAnsi="宋体" w:eastAsia="宋体" w:cs="宋体"/>
          <w:b w:val="0"/>
          <w:bCs/>
          <w:kern w:val="0"/>
          <w:sz w:val="24"/>
          <w:szCs w:val="24"/>
          <w:lang w:val="en-US" w:eastAsia="zh-CN"/>
        </w:rPr>
        <w:t>投标文件</w:t>
      </w:r>
      <w:r>
        <w:rPr>
          <w:rFonts w:hint="eastAsia" w:ascii="宋体" w:hAnsi="宋体" w:eastAsia="宋体" w:cs="宋体"/>
          <w:b w:val="0"/>
          <w:bCs/>
          <w:kern w:val="0"/>
          <w:sz w:val="24"/>
          <w:szCs w:val="24"/>
        </w:rPr>
        <w:t>承诺的不一致时，采购人将拒绝接受其所提供的服务。</w:t>
      </w:r>
    </w:p>
    <w:p w14:paraId="6BEB5224">
      <w:pPr>
        <w:keepNext w:val="0"/>
        <w:keepLines w:val="0"/>
        <w:pageBreakBefore w:val="0"/>
        <w:widowControl w:val="0"/>
        <w:kinsoku/>
        <w:wordWrap w:val="0"/>
        <w:overflowPunct/>
        <w:topLinePunct/>
        <w:autoSpaceDE/>
        <w:autoSpaceDN/>
        <w:bidi w:val="0"/>
        <w:adjustRightInd w:val="0"/>
        <w:snapToGrid/>
        <w:spacing w:line="520" w:lineRule="exact"/>
        <w:ind w:firstLine="480" w:firstLineChars="200"/>
        <w:jc w:val="left"/>
        <w:textAlignment w:val="auto"/>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15、在本项目服务过程中，如采购人发现中标供应商提供的服务不符合本项目招标文件要求及其投标文件承诺的，采购人将取消其成交资格、终止与其签订的政府采购合同，已提供服务的所有费用均不予支付；采购人有权按照评审报告推荐的中标候选供应商顺序推荐下一中标候选人为中标供应商，也可以按照政府采购法及其相关规定重新开展采购活动。</w:t>
      </w:r>
    </w:p>
    <w:p w14:paraId="07ED38E2">
      <w:pPr>
        <w:keepNext w:val="0"/>
        <w:keepLines w:val="0"/>
        <w:pageBreakBefore w:val="0"/>
        <w:widowControl w:val="0"/>
        <w:kinsoku/>
        <w:wordWrap w:val="0"/>
        <w:overflowPunct/>
        <w:topLinePunct/>
        <w:autoSpaceDE/>
        <w:autoSpaceDN/>
        <w:bidi w:val="0"/>
        <w:adjustRightInd w:val="0"/>
        <w:snapToGrid/>
        <w:spacing w:line="520" w:lineRule="exact"/>
        <w:ind w:firstLine="480" w:firstLineChars="200"/>
        <w:jc w:val="left"/>
        <w:textAlignment w:val="auto"/>
        <w:rPr>
          <w:rFonts w:hint="eastAsia" w:ascii="宋体" w:hAnsi="宋体" w:eastAsia="宋体" w:cs="宋体"/>
          <w:b w:val="0"/>
          <w:bCs/>
          <w:kern w:val="0"/>
          <w:sz w:val="24"/>
          <w:szCs w:val="24"/>
        </w:rPr>
      </w:pPr>
      <w:r>
        <w:rPr>
          <w:rFonts w:hint="eastAsia" w:ascii="宋体" w:hAnsi="宋体" w:eastAsia="宋体" w:cs="宋体"/>
          <w:b w:val="0"/>
          <w:bCs/>
          <w:kern w:val="0"/>
          <w:sz w:val="24"/>
          <w:szCs w:val="24"/>
          <w:lang w:val="en-US" w:eastAsia="zh-CN"/>
        </w:rPr>
        <w:t>16、</w:t>
      </w:r>
      <w:r>
        <w:rPr>
          <w:rFonts w:hint="eastAsia" w:ascii="宋体" w:hAnsi="宋体" w:eastAsia="宋体" w:cs="宋体"/>
          <w:b w:val="0"/>
          <w:bCs/>
          <w:kern w:val="0"/>
          <w:sz w:val="24"/>
          <w:szCs w:val="24"/>
        </w:rPr>
        <w:t>本项目实施过程中所发生的一切安全事故</w:t>
      </w:r>
      <w:r>
        <w:rPr>
          <w:rFonts w:hint="eastAsia" w:ascii="宋体" w:hAnsi="宋体" w:eastAsia="宋体" w:cs="宋体"/>
          <w:b w:val="0"/>
          <w:bCs/>
          <w:kern w:val="0"/>
          <w:sz w:val="24"/>
          <w:szCs w:val="24"/>
          <w:lang w:eastAsia="zh-CN"/>
        </w:rPr>
        <w:t>、纠纷等</w:t>
      </w:r>
      <w:r>
        <w:rPr>
          <w:rFonts w:hint="eastAsia" w:ascii="宋体" w:hAnsi="宋体" w:eastAsia="宋体" w:cs="宋体"/>
          <w:b w:val="0"/>
          <w:bCs/>
          <w:kern w:val="0"/>
          <w:sz w:val="24"/>
          <w:szCs w:val="24"/>
        </w:rPr>
        <w:t>的责任及后果均由</w:t>
      </w:r>
      <w:r>
        <w:rPr>
          <w:rFonts w:hint="eastAsia" w:ascii="宋体" w:hAnsi="宋体" w:eastAsia="宋体" w:cs="宋体"/>
          <w:b w:val="0"/>
          <w:bCs/>
          <w:kern w:val="0"/>
          <w:sz w:val="24"/>
          <w:szCs w:val="24"/>
          <w:lang w:eastAsia="zh-CN"/>
        </w:rPr>
        <w:t>中标供应商</w:t>
      </w:r>
      <w:r>
        <w:rPr>
          <w:rFonts w:hint="eastAsia" w:ascii="宋体" w:hAnsi="宋体" w:eastAsia="宋体" w:cs="宋体"/>
          <w:b w:val="0"/>
          <w:bCs/>
          <w:kern w:val="0"/>
          <w:sz w:val="24"/>
          <w:szCs w:val="24"/>
        </w:rPr>
        <w:t>承担。</w:t>
      </w:r>
    </w:p>
    <w:p w14:paraId="0BE0A2E0">
      <w:pPr>
        <w:keepNext w:val="0"/>
        <w:keepLines w:val="0"/>
        <w:pageBreakBefore w:val="0"/>
        <w:widowControl w:val="0"/>
        <w:kinsoku/>
        <w:wordWrap w:val="0"/>
        <w:overflowPunct/>
        <w:topLinePunct/>
        <w:autoSpaceDE/>
        <w:autoSpaceDN/>
        <w:bidi w:val="0"/>
        <w:adjustRightInd w:val="0"/>
        <w:snapToGrid/>
        <w:spacing w:line="52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b w:val="0"/>
          <w:bCs/>
          <w:kern w:val="0"/>
          <w:sz w:val="24"/>
          <w:szCs w:val="24"/>
          <w:lang w:val="en-US" w:eastAsia="zh-CN"/>
        </w:rPr>
        <w:t>17、</w:t>
      </w:r>
      <w:r>
        <w:rPr>
          <w:rFonts w:hint="eastAsia" w:ascii="宋体" w:hAnsi="宋体" w:eastAsia="宋体" w:cs="宋体"/>
          <w:b w:val="0"/>
          <w:bCs/>
          <w:kern w:val="0"/>
          <w:sz w:val="24"/>
          <w:szCs w:val="24"/>
          <w:lang w:eastAsia="zh-CN"/>
        </w:rPr>
        <w:t>在采购人按时结算服务费用的情况下，如发现中标供应商拖欠保安人员工资超过</w:t>
      </w:r>
      <w:r>
        <w:rPr>
          <w:rFonts w:hint="eastAsia" w:ascii="宋体" w:hAnsi="宋体" w:eastAsia="宋体" w:cs="宋体"/>
          <w:b w:val="0"/>
          <w:bCs/>
          <w:kern w:val="0"/>
          <w:sz w:val="24"/>
          <w:szCs w:val="24"/>
          <w:lang w:val="en-US" w:eastAsia="zh-CN"/>
        </w:rPr>
        <w:t>3个月的，采购人将取消其成交资格并终止与其签订的采购合同，已提供服务的费用也不予支付，其拖欠</w:t>
      </w:r>
      <w:r>
        <w:rPr>
          <w:rFonts w:hint="eastAsia" w:ascii="宋体" w:hAnsi="宋体" w:eastAsia="宋体" w:cs="宋体"/>
          <w:b w:val="0"/>
          <w:bCs/>
          <w:kern w:val="0"/>
          <w:sz w:val="24"/>
          <w:szCs w:val="24"/>
          <w:lang w:eastAsia="zh-CN"/>
        </w:rPr>
        <w:t>保安人员工资的责任及后果由中标供应商承担。</w:t>
      </w:r>
    </w:p>
    <w:p w14:paraId="68E1EBB1">
      <w:pPr>
        <w:rPr>
          <w:rFonts w:hint="default" w:ascii="Times New Roman" w:hAnsi="Times New Roman" w:eastAsia="仿宋" w:cs="Times New Roman"/>
          <w:b/>
          <w:kern w:val="0"/>
          <w:sz w:val="32"/>
          <w:szCs w:val="32"/>
        </w:rPr>
      </w:pPr>
      <w:r>
        <w:rPr>
          <w:rFonts w:hint="default" w:ascii="Times New Roman" w:hAnsi="Times New Roman" w:eastAsia="仿宋" w:cs="Times New Roman"/>
          <w:b/>
          <w:kern w:val="0"/>
          <w:sz w:val="32"/>
          <w:szCs w:val="32"/>
        </w:rPr>
        <w:br w:type="page"/>
      </w:r>
    </w:p>
    <w:p w14:paraId="5AAE006E">
      <w:pPr>
        <w:autoSpaceDE w:val="0"/>
        <w:autoSpaceDN w:val="0"/>
        <w:adjustRightInd w:val="0"/>
        <w:spacing w:line="500" w:lineRule="exact"/>
        <w:jc w:val="left"/>
        <w:rPr>
          <w:rFonts w:hint="default" w:ascii="Times New Roman" w:hAnsi="Times New Roman" w:eastAsia="仿宋" w:cs="Times New Roman"/>
          <w:b/>
          <w:kern w:val="0"/>
          <w:sz w:val="28"/>
          <w:szCs w:val="28"/>
          <w:lang w:val="en-US" w:eastAsia="zh-CN"/>
        </w:rPr>
      </w:pPr>
      <w:r>
        <w:rPr>
          <w:rFonts w:hint="eastAsia" w:ascii="Times New Roman" w:hAnsi="Times New Roman" w:eastAsia="仿宋" w:cs="Times New Roman"/>
          <w:b/>
          <w:kern w:val="0"/>
          <w:sz w:val="28"/>
          <w:szCs w:val="28"/>
          <w:lang w:val="en-US" w:eastAsia="zh-CN"/>
        </w:rPr>
        <w:t>附</w:t>
      </w:r>
    </w:p>
    <w:p w14:paraId="6F66D0C1">
      <w:pPr>
        <w:autoSpaceDE w:val="0"/>
        <w:autoSpaceDN w:val="0"/>
        <w:adjustRightInd w:val="0"/>
        <w:spacing w:line="500" w:lineRule="exact"/>
        <w:jc w:val="center"/>
        <w:rPr>
          <w:rFonts w:hint="eastAsia" w:ascii="Times New Roman" w:hAnsi="Times New Roman" w:eastAsia="仿宋" w:cs="Times New Roman"/>
          <w:b/>
          <w:kern w:val="0"/>
          <w:sz w:val="28"/>
          <w:szCs w:val="28"/>
          <w:lang w:val="en-US" w:eastAsia="zh-CN"/>
        </w:rPr>
      </w:pPr>
      <w:r>
        <w:rPr>
          <w:rFonts w:hint="eastAsia" w:ascii="Times New Roman" w:hAnsi="Times New Roman" w:eastAsia="仿宋" w:cs="Times New Roman"/>
          <w:b/>
          <w:kern w:val="0"/>
          <w:sz w:val="28"/>
          <w:szCs w:val="28"/>
          <w:lang w:val="en-US" w:eastAsia="zh-CN"/>
        </w:rPr>
        <w:t>考核细则</w:t>
      </w:r>
    </w:p>
    <w:tbl>
      <w:tblPr>
        <w:tblStyle w:val="26"/>
        <w:tblW w:w="88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4927"/>
        <w:gridCol w:w="3051"/>
      </w:tblGrid>
      <w:tr w14:paraId="6B9C7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6902453C">
            <w:pPr>
              <w:keepNext w:val="0"/>
              <w:keepLines w:val="0"/>
              <w:pageBreakBefore w:val="0"/>
              <w:kinsoku/>
              <w:wordWrap w:val="0"/>
              <w:overflowPunct/>
              <w:topLinePunct/>
              <w:autoSpaceDE/>
              <w:autoSpaceDN/>
              <w:bidi w:val="0"/>
              <w:snapToGrid/>
              <w:spacing w:line="520" w:lineRule="exact"/>
              <w:jc w:val="center"/>
              <w:textAlignment w:val="auto"/>
              <w:rPr>
                <w:rFonts w:hint="eastAsia" w:ascii="宋体" w:hAnsi="宋体" w:eastAsia="宋体" w:cs="宋体"/>
                <w:bCs/>
                <w:sz w:val="21"/>
                <w:szCs w:val="21"/>
              </w:rPr>
            </w:pPr>
            <w:r>
              <w:rPr>
                <w:rFonts w:hint="eastAsia" w:ascii="宋体" w:hAnsi="宋体" w:eastAsia="宋体" w:cs="宋体"/>
                <w:bCs/>
                <w:sz w:val="21"/>
                <w:szCs w:val="21"/>
              </w:rPr>
              <w:t>序号</w:t>
            </w:r>
          </w:p>
        </w:tc>
        <w:tc>
          <w:tcPr>
            <w:tcW w:w="4927" w:type="dxa"/>
            <w:vAlign w:val="center"/>
          </w:tcPr>
          <w:p w14:paraId="258EC7D6">
            <w:pPr>
              <w:keepNext w:val="0"/>
              <w:keepLines w:val="0"/>
              <w:pageBreakBefore w:val="0"/>
              <w:kinsoku/>
              <w:wordWrap w:val="0"/>
              <w:overflowPunct/>
              <w:topLinePunct/>
              <w:autoSpaceDE/>
              <w:autoSpaceDN/>
              <w:bidi w:val="0"/>
              <w:snapToGrid/>
              <w:spacing w:line="520" w:lineRule="exact"/>
              <w:jc w:val="center"/>
              <w:textAlignment w:val="auto"/>
              <w:rPr>
                <w:rFonts w:hint="eastAsia" w:ascii="宋体" w:hAnsi="宋体" w:eastAsia="宋体" w:cs="宋体"/>
                <w:bCs/>
                <w:sz w:val="21"/>
                <w:szCs w:val="21"/>
              </w:rPr>
            </w:pPr>
            <w:r>
              <w:rPr>
                <w:rFonts w:hint="eastAsia" w:ascii="宋体" w:hAnsi="宋体" w:eastAsia="宋体" w:cs="宋体"/>
                <w:bCs/>
                <w:sz w:val="21"/>
                <w:szCs w:val="21"/>
              </w:rPr>
              <w:t>考核项目</w:t>
            </w:r>
          </w:p>
        </w:tc>
        <w:tc>
          <w:tcPr>
            <w:tcW w:w="3051" w:type="dxa"/>
            <w:vAlign w:val="center"/>
          </w:tcPr>
          <w:p w14:paraId="3BA5FE09">
            <w:pPr>
              <w:keepNext w:val="0"/>
              <w:keepLines w:val="0"/>
              <w:pageBreakBefore w:val="0"/>
              <w:kinsoku/>
              <w:wordWrap w:val="0"/>
              <w:overflowPunct/>
              <w:topLinePunct/>
              <w:autoSpaceDE/>
              <w:autoSpaceDN/>
              <w:bidi w:val="0"/>
              <w:snapToGrid/>
              <w:spacing w:line="520" w:lineRule="exact"/>
              <w:jc w:val="center"/>
              <w:textAlignment w:val="auto"/>
              <w:rPr>
                <w:rFonts w:hint="eastAsia" w:ascii="宋体" w:hAnsi="宋体" w:eastAsia="宋体" w:cs="宋体"/>
                <w:bCs/>
                <w:sz w:val="21"/>
                <w:szCs w:val="21"/>
              </w:rPr>
            </w:pPr>
            <w:r>
              <w:rPr>
                <w:rFonts w:hint="eastAsia" w:ascii="宋体" w:hAnsi="宋体" w:eastAsia="宋体" w:cs="宋体"/>
                <w:bCs/>
                <w:sz w:val="21"/>
                <w:szCs w:val="21"/>
              </w:rPr>
              <w:t>考核标准</w:t>
            </w:r>
          </w:p>
        </w:tc>
      </w:tr>
      <w:tr w14:paraId="2CA68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2239C3E7">
            <w:pPr>
              <w:keepNext w:val="0"/>
              <w:keepLines w:val="0"/>
              <w:pageBreakBefore w:val="0"/>
              <w:kinsoku/>
              <w:wordWrap w:val="0"/>
              <w:overflowPunct/>
              <w:topLinePunct/>
              <w:autoSpaceDE/>
              <w:autoSpaceDN/>
              <w:bidi w:val="0"/>
              <w:snapToGrid/>
              <w:spacing w:line="520" w:lineRule="exact"/>
              <w:jc w:val="center"/>
              <w:textAlignment w:val="auto"/>
              <w:rPr>
                <w:rFonts w:hint="eastAsia" w:ascii="宋体" w:hAnsi="宋体" w:eastAsia="宋体" w:cs="宋体"/>
                <w:bCs/>
                <w:sz w:val="21"/>
                <w:szCs w:val="21"/>
              </w:rPr>
            </w:pPr>
            <w:r>
              <w:rPr>
                <w:rFonts w:hint="eastAsia" w:ascii="宋体" w:hAnsi="宋体" w:eastAsia="宋体" w:cs="宋体"/>
                <w:bCs/>
                <w:sz w:val="21"/>
                <w:szCs w:val="21"/>
              </w:rPr>
              <w:t>1</w:t>
            </w:r>
          </w:p>
        </w:tc>
        <w:tc>
          <w:tcPr>
            <w:tcW w:w="4927" w:type="dxa"/>
            <w:vAlign w:val="center"/>
          </w:tcPr>
          <w:p w14:paraId="65DE32DC">
            <w:pPr>
              <w:keepNext w:val="0"/>
              <w:keepLines w:val="0"/>
              <w:pageBreakBefore w:val="0"/>
              <w:kinsoku/>
              <w:wordWrap w:val="0"/>
              <w:overflowPunct/>
              <w:topLinePunct/>
              <w:autoSpaceDE/>
              <w:autoSpaceDN/>
              <w:bidi w:val="0"/>
              <w:snapToGrid/>
              <w:spacing w:line="520" w:lineRule="exact"/>
              <w:jc w:val="left"/>
              <w:textAlignment w:val="auto"/>
              <w:rPr>
                <w:rFonts w:hint="eastAsia" w:ascii="宋体" w:hAnsi="宋体" w:eastAsia="宋体" w:cs="宋体"/>
                <w:bCs/>
                <w:sz w:val="21"/>
                <w:szCs w:val="21"/>
              </w:rPr>
            </w:pPr>
            <w:r>
              <w:rPr>
                <w:rFonts w:hint="eastAsia" w:ascii="宋体" w:hAnsi="宋体" w:eastAsia="宋体" w:cs="宋体"/>
                <w:bCs/>
                <w:sz w:val="21"/>
                <w:szCs w:val="21"/>
              </w:rPr>
              <w:t>值班期间脱岗、空岗、串岗、睡岗</w:t>
            </w:r>
          </w:p>
        </w:tc>
        <w:tc>
          <w:tcPr>
            <w:tcW w:w="3051" w:type="dxa"/>
            <w:vAlign w:val="center"/>
          </w:tcPr>
          <w:p w14:paraId="1566150B">
            <w:pPr>
              <w:keepNext w:val="0"/>
              <w:keepLines w:val="0"/>
              <w:pageBreakBefore w:val="0"/>
              <w:kinsoku/>
              <w:wordWrap w:val="0"/>
              <w:overflowPunct/>
              <w:topLinePunct/>
              <w:autoSpaceDE/>
              <w:autoSpaceDN/>
              <w:bidi w:val="0"/>
              <w:snapToGrid/>
              <w:spacing w:line="520" w:lineRule="exact"/>
              <w:jc w:val="left"/>
              <w:textAlignment w:val="auto"/>
              <w:rPr>
                <w:rFonts w:hint="eastAsia" w:ascii="宋体" w:hAnsi="宋体" w:eastAsia="宋体" w:cs="宋体"/>
                <w:bCs/>
                <w:sz w:val="21"/>
                <w:szCs w:val="21"/>
              </w:rPr>
            </w:pPr>
            <w:r>
              <w:rPr>
                <w:rFonts w:hint="eastAsia" w:ascii="宋体" w:hAnsi="宋体" w:eastAsia="宋体" w:cs="宋体"/>
                <w:bCs/>
                <w:sz w:val="21"/>
                <w:szCs w:val="21"/>
              </w:rPr>
              <w:t>每发现一次考核200元</w:t>
            </w:r>
          </w:p>
        </w:tc>
      </w:tr>
      <w:tr w14:paraId="18620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19B209F6">
            <w:pPr>
              <w:keepNext w:val="0"/>
              <w:keepLines w:val="0"/>
              <w:pageBreakBefore w:val="0"/>
              <w:kinsoku/>
              <w:wordWrap w:val="0"/>
              <w:overflowPunct/>
              <w:topLinePunct/>
              <w:autoSpaceDE/>
              <w:autoSpaceDN/>
              <w:bidi w:val="0"/>
              <w:snapToGrid/>
              <w:spacing w:line="520" w:lineRule="exact"/>
              <w:jc w:val="center"/>
              <w:textAlignment w:val="auto"/>
              <w:rPr>
                <w:rFonts w:hint="eastAsia" w:ascii="宋体" w:hAnsi="宋体" w:eastAsia="宋体" w:cs="宋体"/>
                <w:bCs/>
                <w:sz w:val="21"/>
                <w:szCs w:val="21"/>
              </w:rPr>
            </w:pPr>
            <w:r>
              <w:rPr>
                <w:rFonts w:hint="eastAsia" w:ascii="宋体" w:hAnsi="宋体" w:eastAsia="宋体" w:cs="宋体"/>
                <w:bCs/>
                <w:sz w:val="21"/>
                <w:szCs w:val="21"/>
              </w:rPr>
              <w:t>2</w:t>
            </w:r>
          </w:p>
        </w:tc>
        <w:tc>
          <w:tcPr>
            <w:tcW w:w="4927" w:type="dxa"/>
            <w:vAlign w:val="center"/>
          </w:tcPr>
          <w:p w14:paraId="1AA96AC7">
            <w:pPr>
              <w:keepNext w:val="0"/>
              <w:keepLines w:val="0"/>
              <w:pageBreakBefore w:val="0"/>
              <w:kinsoku/>
              <w:wordWrap w:val="0"/>
              <w:overflowPunct/>
              <w:topLinePunct/>
              <w:autoSpaceDE/>
              <w:autoSpaceDN/>
              <w:bidi w:val="0"/>
              <w:snapToGrid/>
              <w:spacing w:line="520" w:lineRule="exact"/>
              <w:jc w:val="left"/>
              <w:textAlignment w:val="auto"/>
              <w:rPr>
                <w:rFonts w:hint="eastAsia" w:ascii="宋体" w:hAnsi="宋体" w:eastAsia="宋体" w:cs="宋体"/>
                <w:bCs/>
                <w:sz w:val="21"/>
                <w:szCs w:val="21"/>
              </w:rPr>
            </w:pPr>
            <w:r>
              <w:rPr>
                <w:rFonts w:hint="eastAsia" w:ascii="宋体" w:hAnsi="宋体" w:eastAsia="宋体" w:cs="宋体"/>
                <w:bCs/>
                <w:sz w:val="21"/>
                <w:szCs w:val="21"/>
              </w:rPr>
              <w:t>上岗着装不整齐，未按要求着装</w:t>
            </w:r>
          </w:p>
        </w:tc>
        <w:tc>
          <w:tcPr>
            <w:tcW w:w="3051" w:type="dxa"/>
            <w:vAlign w:val="center"/>
          </w:tcPr>
          <w:p w14:paraId="50A1954B">
            <w:pPr>
              <w:keepNext w:val="0"/>
              <w:keepLines w:val="0"/>
              <w:pageBreakBefore w:val="0"/>
              <w:kinsoku/>
              <w:wordWrap w:val="0"/>
              <w:overflowPunct/>
              <w:topLinePunct/>
              <w:autoSpaceDE/>
              <w:autoSpaceDN/>
              <w:bidi w:val="0"/>
              <w:snapToGrid/>
              <w:spacing w:line="520" w:lineRule="exact"/>
              <w:jc w:val="left"/>
              <w:textAlignment w:val="auto"/>
              <w:rPr>
                <w:rFonts w:hint="eastAsia" w:ascii="宋体" w:hAnsi="宋体" w:eastAsia="宋体" w:cs="宋体"/>
                <w:bCs/>
                <w:sz w:val="21"/>
                <w:szCs w:val="21"/>
              </w:rPr>
            </w:pPr>
            <w:r>
              <w:rPr>
                <w:rFonts w:hint="eastAsia" w:ascii="宋体" w:hAnsi="宋体" w:eastAsia="宋体" w:cs="宋体"/>
                <w:bCs/>
                <w:sz w:val="21"/>
                <w:szCs w:val="21"/>
              </w:rPr>
              <w:t>每发现一次考核100元</w:t>
            </w:r>
          </w:p>
        </w:tc>
      </w:tr>
      <w:tr w14:paraId="71C0A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18942C85">
            <w:pPr>
              <w:keepNext w:val="0"/>
              <w:keepLines w:val="0"/>
              <w:pageBreakBefore w:val="0"/>
              <w:kinsoku/>
              <w:wordWrap w:val="0"/>
              <w:overflowPunct/>
              <w:topLinePunct/>
              <w:autoSpaceDE/>
              <w:autoSpaceDN/>
              <w:bidi w:val="0"/>
              <w:snapToGrid/>
              <w:spacing w:line="520" w:lineRule="exact"/>
              <w:jc w:val="center"/>
              <w:textAlignment w:val="auto"/>
              <w:rPr>
                <w:rFonts w:hint="eastAsia" w:ascii="宋体" w:hAnsi="宋体" w:eastAsia="宋体" w:cs="宋体"/>
                <w:bCs/>
                <w:sz w:val="21"/>
                <w:szCs w:val="21"/>
              </w:rPr>
            </w:pPr>
            <w:r>
              <w:rPr>
                <w:rFonts w:hint="eastAsia" w:ascii="宋体" w:hAnsi="宋体" w:eastAsia="宋体" w:cs="宋体"/>
                <w:bCs/>
                <w:sz w:val="21"/>
                <w:szCs w:val="21"/>
              </w:rPr>
              <w:t>3</w:t>
            </w:r>
          </w:p>
        </w:tc>
        <w:tc>
          <w:tcPr>
            <w:tcW w:w="4927" w:type="dxa"/>
            <w:vAlign w:val="center"/>
          </w:tcPr>
          <w:p w14:paraId="00624CE2">
            <w:pPr>
              <w:keepNext w:val="0"/>
              <w:keepLines w:val="0"/>
              <w:pageBreakBefore w:val="0"/>
              <w:kinsoku/>
              <w:wordWrap w:val="0"/>
              <w:overflowPunct/>
              <w:topLinePunct/>
              <w:autoSpaceDE/>
              <w:autoSpaceDN/>
              <w:bidi w:val="0"/>
              <w:snapToGrid/>
              <w:spacing w:line="520" w:lineRule="exact"/>
              <w:jc w:val="left"/>
              <w:textAlignment w:val="auto"/>
              <w:rPr>
                <w:rFonts w:hint="eastAsia" w:ascii="宋体" w:hAnsi="宋体" w:eastAsia="宋体" w:cs="宋体"/>
                <w:bCs/>
                <w:sz w:val="21"/>
                <w:szCs w:val="21"/>
              </w:rPr>
            </w:pPr>
            <w:r>
              <w:rPr>
                <w:rFonts w:hint="eastAsia" w:ascii="宋体" w:hAnsi="宋体" w:eastAsia="宋体" w:cs="宋体"/>
                <w:bCs/>
                <w:sz w:val="21"/>
                <w:szCs w:val="21"/>
              </w:rPr>
              <w:t>各门卫值班室内卫生不整洁或工具、资料摆放不整齐的或有闲杂人员逗留</w:t>
            </w:r>
          </w:p>
        </w:tc>
        <w:tc>
          <w:tcPr>
            <w:tcW w:w="3051" w:type="dxa"/>
            <w:vAlign w:val="center"/>
          </w:tcPr>
          <w:p w14:paraId="6CD8CE86">
            <w:pPr>
              <w:keepNext w:val="0"/>
              <w:keepLines w:val="0"/>
              <w:pageBreakBefore w:val="0"/>
              <w:kinsoku/>
              <w:wordWrap w:val="0"/>
              <w:overflowPunct/>
              <w:topLinePunct/>
              <w:autoSpaceDE/>
              <w:autoSpaceDN/>
              <w:bidi w:val="0"/>
              <w:snapToGrid/>
              <w:spacing w:line="520" w:lineRule="exact"/>
              <w:jc w:val="left"/>
              <w:textAlignment w:val="auto"/>
              <w:rPr>
                <w:rFonts w:hint="eastAsia" w:ascii="宋体" w:hAnsi="宋体" w:eastAsia="宋体" w:cs="宋体"/>
                <w:bCs/>
                <w:sz w:val="21"/>
                <w:szCs w:val="21"/>
              </w:rPr>
            </w:pPr>
            <w:r>
              <w:rPr>
                <w:rFonts w:hint="eastAsia" w:ascii="宋体" w:hAnsi="宋体" w:eastAsia="宋体" w:cs="宋体"/>
                <w:bCs/>
                <w:sz w:val="21"/>
                <w:szCs w:val="21"/>
              </w:rPr>
              <w:t>每发现一次考核100元</w:t>
            </w:r>
          </w:p>
        </w:tc>
      </w:tr>
      <w:tr w14:paraId="143B9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66E63C2F">
            <w:pPr>
              <w:keepNext w:val="0"/>
              <w:keepLines w:val="0"/>
              <w:pageBreakBefore w:val="0"/>
              <w:kinsoku/>
              <w:wordWrap w:val="0"/>
              <w:overflowPunct/>
              <w:topLinePunct/>
              <w:autoSpaceDE/>
              <w:autoSpaceDN/>
              <w:bidi w:val="0"/>
              <w:snapToGrid/>
              <w:spacing w:line="520" w:lineRule="exact"/>
              <w:jc w:val="center"/>
              <w:textAlignment w:val="auto"/>
              <w:rPr>
                <w:rFonts w:hint="eastAsia" w:ascii="宋体" w:hAnsi="宋体" w:eastAsia="宋体" w:cs="宋体"/>
                <w:bCs/>
                <w:sz w:val="21"/>
                <w:szCs w:val="21"/>
              </w:rPr>
            </w:pPr>
            <w:r>
              <w:rPr>
                <w:rFonts w:hint="eastAsia" w:ascii="宋体" w:hAnsi="宋体" w:eastAsia="宋体" w:cs="宋体"/>
                <w:bCs/>
                <w:sz w:val="21"/>
                <w:szCs w:val="21"/>
              </w:rPr>
              <w:t>4</w:t>
            </w:r>
          </w:p>
        </w:tc>
        <w:tc>
          <w:tcPr>
            <w:tcW w:w="4927" w:type="dxa"/>
            <w:vAlign w:val="center"/>
          </w:tcPr>
          <w:p w14:paraId="0543A31E">
            <w:pPr>
              <w:keepNext w:val="0"/>
              <w:keepLines w:val="0"/>
              <w:pageBreakBefore w:val="0"/>
              <w:kinsoku/>
              <w:wordWrap w:val="0"/>
              <w:overflowPunct/>
              <w:topLinePunct/>
              <w:autoSpaceDE/>
              <w:autoSpaceDN/>
              <w:bidi w:val="0"/>
              <w:snapToGrid/>
              <w:spacing w:line="520" w:lineRule="exact"/>
              <w:jc w:val="left"/>
              <w:textAlignment w:val="auto"/>
              <w:rPr>
                <w:rFonts w:hint="eastAsia" w:ascii="宋体" w:hAnsi="宋体" w:eastAsia="宋体" w:cs="宋体"/>
                <w:bCs/>
                <w:sz w:val="21"/>
                <w:szCs w:val="21"/>
              </w:rPr>
            </w:pPr>
            <w:r>
              <w:rPr>
                <w:rFonts w:hint="eastAsia" w:ascii="宋体" w:hAnsi="宋体" w:eastAsia="宋体" w:cs="宋体"/>
                <w:bCs/>
                <w:sz w:val="21"/>
                <w:szCs w:val="21"/>
              </w:rPr>
              <w:t>各门卫值班室管理混乱或做与工作无关事情</w:t>
            </w:r>
          </w:p>
        </w:tc>
        <w:tc>
          <w:tcPr>
            <w:tcW w:w="3051" w:type="dxa"/>
            <w:vAlign w:val="center"/>
          </w:tcPr>
          <w:p w14:paraId="5BFB16C6">
            <w:pPr>
              <w:keepNext w:val="0"/>
              <w:keepLines w:val="0"/>
              <w:pageBreakBefore w:val="0"/>
              <w:kinsoku/>
              <w:wordWrap w:val="0"/>
              <w:overflowPunct/>
              <w:topLinePunct/>
              <w:autoSpaceDE/>
              <w:autoSpaceDN/>
              <w:bidi w:val="0"/>
              <w:snapToGrid/>
              <w:spacing w:line="520" w:lineRule="exact"/>
              <w:jc w:val="left"/>
              <w:textAlignment w:val="auto"/>
              <w:rPr>
                <w:rFonts w:hint="eastAsia" w:ascii="宋体" w:hAnsi="宋体" w:eastAsia="宋体" w:cs="宋体"/>
                <w:bCs/>
                <w:sz w:val="21"/>
                <w:szCs w:val="21"/>
              </w:rPr>
            </w:pPr>
            <w:r>
              <w:rPr>
                <w:rFonts w:hint="eastAsia" w:ascii="宋体" w:hAnsi="宋体" w:eastAsia="宋体" w:cs="宋体"/>
                <w:bCs/>
                <w:sz w:val="21"/>
                <w:szCs w:val="21"/>
              </w:rPr>
              <w:t>每发现一次考核100元</w:t>
            </w:r>
          </w:p>
        </w:tc>
      </w:tr>
      <w:tr w14:paraId="5BD19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178AFDBA">
            <w:pPr>
              <w:keepNext w:val="0"/>
              <w:keepLines w:val="0"/>
              <w:pageBreakBefore w:val="0"/>
              <w:kinsoku/>
              <w:wordWrap w:val="0"/>
              <w:overflowPunct/>
              <w:topLinePunct/>
              <w:autoSpaceDE/>
              <w:autoSpaceDN/>
              <w:bidi w:val="0"/>
              <w:snapToGrid/>
              <w:spacing w:line="520" w:lineRule="exact"/>
              <w:jc w:val="center"/>
              <w:textAlignment w:val="auto"/>
              <w:rPr>
                <w:rFonts w:hint="eastAsia" w:ascii="宋体" w:hAnsi="宋体" w:eastAsia="宋体" w:cs="宋体"/>
                <w:bCs/>
                <w:sz w:val="21"/>
                <w:szCs w:val="21"/>
              </w:rPr>
            </w:pPr>
            <w:r>
              <w:rPr>
                <w:rFonts w:hint="eastAsia" w:ascii="宋体" w:hAnsi="宋体" w:eastAsia="宋体" w:cs="宋体"/>
                <w:bCs/>
                <w:sz w:val="21"/>
                <w:szCs w:val="21"/>
              </w:rPr>
              <w:t>5</w:t>
            </w:r>
          </w:p>
        </w:tc>
        <w:tc>
          <w:tcPr>
            <w:tcW w:w="4927" w:type="dxa"/>
            <w:vAlign w:val="center"/>
          </w:tcPr>
          <w:p w14:paraId="61772D0F">
            <w:pPr>
              <w:keepNext w:val="0"/>
              <w:keepLines w:val="0"/>
              <w:pageBreakBefore w:val="0"/>
              <w:kinsoku/>
              <w:wordWrap w:val="0"/>
              <w:overflowPunct/>
              <w:topLinePunct/>
              <w:autoSpaceDE/>
              <w:autoSpaceDN/>
              <w:bidi w:val="0"/>
              <w:snapToGrid/>
              <w:spacing w:line="520" w:lineRule="exact"/>
              <w:jc w:val="left"/>
              <w:textAlignment w:val="auto"/>
              <w:rPr>
                <w:rFonts w:hint="eastAsia" w:ascii="宋体" w:hAnsi="宋体" w:eastAsia="宋体" w:cs="宋体"/>
                <w:bCs/>
                <w:sz w:val="21"/>
                <w:szCs w:val="21"/>
              </w:rPr>
            </w:pPr>
            <w:r>
              <w:rPr>
                <w:rFonts w:hint="eastAsia" w:ascii="宋体" w:hAnsi="宋体" w:eastAsia="宋体" w:cs="宋体"/>
                <w:bCs/>
                <w:sz w:val="21"/>
                <w:szCs w:val="21"/>
              </w:rPr>
              <w:t>各门卫值班室外卫生不整洁或未及时清理</w:t>
            </w:r>
          </w:p>
        </w:tc>
        <w:tc>
          <w:tcPr>
            <w:tcW w:w="3051" w:type="dxa"/>
            <w:vAlign w:val="center"/>
          </w:tcPr>
          <w:p w14:paraId="2E234774">
            <w:pPr>
              <w:keepNext w:val="0"/>
              <w:keepLines w:val="0"/>
              <w:pageBreakBefore w:val="0"/>
              <w:kinsoku/>
              <w:wordWrap w:val="0"/>
              <w:overflowPunct/>
              <w:topLinePunct/>
              <w:autoSpaceDE/>
              <w:autoSpaceDN/>
              <w:bidi w:val="0"/>
              <w:snapToGrid/>
              <w:spacing w:line="520" w:lineRule="exact"/>
              <w:jc w:val="left"/>
              <w:textAlignment w:val="auto"/>
              <w:rPr>
                <w:rFonts w:hint="eastAsia" w:ascii="宋体" w:hAnsi="宋体" w:eastAsia="宋体" w:cs="宋体"/>
                <w:bCs/>
                <w:sz w:val="21"/>
                <w:szCs w:val="21"/>
              </w:rPr>
            </w:pPr>
            <w:r>
              <w:rPr>
                <w:rFonts w:hint="eastAsia" w:ascii="宋体" w:hAnsi="宋体" w:eastAsia="宋体" w:cs="宋体"/>
                <w:bCs/>
                <w:sz w:val="21"/>
                <w:szCs w:val="21"/>
              </w:rPr>
              <w:t>每发现一次考核100元</w:t>
            </w:r>
          </w:p>
        </w:tc>
      </w:tr>
      <w:tr w14:paraId="0F291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1BA12483">
            <w:pPr>
              <w:keepNext w:val="0"/>
              <w:keepLines w:val="0"/>
              <w:pageBreakBefore w:val="0"/>
              <w:kinsoku/>
              <w:wordWrap w:val="0"/>
              <w:overflowPunct/>
              <w:topLinePunct/>
              <w:autoSpaceDE/>
              <w:autoSpaceDN/>
              <w:bidi w:val="0"/>
              <w:snapToGrid/>
              <w:spacing w:line="520" w:lineRule="exact"/>
              <w:jc w:val="center"/>
              <w:textAlignment w:val="auto"/>
              <w:rPr>
                <w:rFonts w:hint="eastAsia" w:ascii="宋体" w:hAnsi="宋体" w:eastAsia="宋体" w:cs="宋体"/>
                <w:bCs/>
                <w:sz w:val="21"/>
                <w:szCs w:val="21"/>
              </w:rPr>
            </w:pPr>
            <w:r>
              <w:rPr>
                <w:rFonts w:hint="eastAsia" w:ascii="宋体" w:hAnsi="宋体" w:eastAsia="宋体" w:cs="宋体"/>
                <w:bCs/>
                <w:sz w:val="21"/>
                <w:szCs w:val="21"/>
              </w:rPr>
              <w:t>6</w:t>
            </w:r>
          </w:p>
        </w:tc>
        <w:tc>
          <w:tcPr>
            <w:tcW w:w="4927" w:type="dxa"/>
            <w:vAlign w:val="center"/>
          </w:tcPr>
          <w:p w14:paraId="0A6431A9">
            <w:pPr>
              <w:keepNext w:val="0"/>
              <w:keepLines w:val="0"/>
              <w:pageBreakBefore w:val="0"/>
              <w:kinsoku/>
              <w:wordWrap w:val="0"/>
              <w:overflowPunct/>
              <w:topLinePunct/>
              <w:autoSpaceDE/>
              <w:autoSpaceDN/>
              <w:bidi w:val="0"/>
              <w:snapToGrid/>
              <w:spacing w:line="520" w:lineRule="exact"/>
              <w:jc w:val="left"/>
              <w:textAlignment w:val="auto"/>
              <w:rPr>
                <w:rFonts w:hint="eastAsia" w:ascii="宋体" w:hAnsi="宋体" w:eastAsia="宋体" w:cs="宋体"/>
                <w:bCs/>
                <w:sz w:val="21"/>
                <w:szCs w:val="21"/>
              </w:rPr>
            </w:pPr>
            <w:r>
              <w:rPr>
                <w:rFonts w:hint="eastAsia" w:ascii="宋体" w:hAnsi="宋体" w:eastAsia="宋体" w:cs="宋体"/>
                <w:bCs/>
                <w:sz w:val="21"/>
                <w:szCs w:val="21"/>
              </w:rPr>
              <w:t>各门卫值班人员不按规定对车辆、物资和人员进行盘查</w:t>
            </w:r>
          </w:p>
        </w:tc>
        <w:tc>
          <w:tcPr>
            <w:tcW w:w="3051" w:type="dxa"/>
            <w:vAlign w:val="center"/>
          </w:tcPr>
          <w:p w14:paraId="76A45D5F">
            <w:pPr>
              <w:keepNext w:val="0"/>
              <w:keepLines w:val="0"/>
              <w:pageBreakBefore w:val="0"/>
              <w:kinsoku/>
              <w:wordWrap w:val="0"/>
              <w:overflowPunct/>
              <w:topLinePunct/>
              <w:autoSpaceDE/>
              <w:autoSpaceDN/>
              <w:bidi w:val="0"/>
              <w:snapToGrid/>
              <w:spacing w:line="520" w:lineRule="exact"/>
              <w:jc w:val="left"/>
              <w:textAlignment w:val="auto"/>
              <w:rPr>
                <w:rFonts w:hint="eastAsia" w:ascii="宋体" w:hAnsi="宋体" w:eastAsia="宋体" w:cs="宋体"/>
                <w:bCs/>
                <w:sz w:val="21"/>
                <w:szCs w:val="21"/>
              </w:rPr>
            </w:pPr>
            <w:r>
              <w:rPr>
                <w:rFonts w:hint="eastAsia" w:ascii="宋体" w:hAnsi="宋体" w:eastAsia="宋体" w:cs="宋体"/>
                <w:bCs/>
                <w:sz w:val="21"/>
                <w:szCs w:val="21"/>
              </w:rPr>
              <w:t>每发现一次考核200元</w:t>
            </w:r>
          </w:p>
        </w:tc>
      </w:tr>
      <w:tr w14:paraId="22C38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5BCB3B64">
            <w:pPr>
              <w:keepNext w:val="0"/>
              <w:keepLines w:val="0"/>
              <w:pageBreakBefore w:val="0"/>
              <w:kinsoku/>
              <w:wordWrap w:val="0"/>
              <w:overflowPunct/>
              <w:topLinePunct/>
              <w:autoSpaceDE/>
              <w:autoSpaceDN/>
              <w:bidi w:val="0"/>
              <w:snapToGrid/>
              <w:spacing w:line="520" w:lineRule="exact"/>
              <w:jc w:val="center"/>
              <w:textAlignment w:val="auto"/>
              <w:rPr>
                <w:rFonts w:hint="eastAsia" w:ascii="宋体" w:hAnsi="宋体" w:eastAsia="宋体" w:cs="宋体"/>
                <w:bCs/>
                <w:sz w:val="21"/>
                <w:szCs w:val="21"/>
              </w:rPr>
            </w:pPr>
            <w:r>
              <w:rPr>
                <w:rFonts w:hint="eastAsia" w:ascii="宋体" w:hAnsi="宋体" w:eastAsia="宋体" w:cs="宋体"/>
                <w:bCs/>
                <w:sz w:val="21"/>
                <w:szCs w:val="21"/>
              </w:rPr>
              <w:t>7</w:t>
            </w:r>
          </w:p>
        </w:tc>
        <w:tc>
          <w:tcPr>
            <w:tcW w:w="4927" w:type="dxa"/>
            <w:vAlign w:val="center"/>
          </w:tcPr>
          <w:p w14:paraId="536DBED6">
            <w:pPr>
              <w:keepNext w:val="0"/>
              <w:keepLines w:val="0"/>
              <w:pageBreakBefore w:val="0"/>
              <w:kinsoku/>
              <w:wordWrap w:val="0"/>
              <w:overflowPunct/>
              <w:topLinePunct/>
              <w:autoSpaceDE/>
              <w:autoSpaceDN/>
              <w:bidi w:val="0"/>
              <w:snapToGrid/>
              <w:spacing w:line="520" w:lineRule="exact"/>
              <w:jc w:val="left"/>
              <w:textAlignment w:val="auto"/>
              <w:rPr>
                <w:rFonts w:hint="eastAsia" w:ascii="宋体" w:hAnsi="宋体" w:eastAsia="宋体" w:cs="宋体"/>
                <w:bCs/>
                <w:sz w:val="21"/>
                <w:szCs w:val="21"/>
              </w:rPr>
            </w:pPr>
            <w:r>
              <w:rPr>
                <w:rFonts w:hint="eastAsia" w:ascii="宋体" w:hAnsi="宋体" w:eastAsia="宋体" w:cs="宋体"/>
                <w:bCs/>
                <w:sz w:val="21"/>
                <w:szCs w:val="21"/>
              </w:rPr>
              <w:t>值班时看报、看书、会客、玩手机</w:t>
            </w:r>
          </w:p>
        </w:tc>
        <w:tc>
          <w:tcPr>
            <w:tcW w:w="3051" w:type="dxa"/>
            <w:vAlign w:val="center"/>
          </w:tcPr>
          <w:p w14:paraId="5B69EDDD">
            <w:pPr>
              <w:keepNext w:val="0"/>
              <w:keepLines w:val="0"/>
              <w:pageBreakBefore w:val="0"/>
              <w:kinsoku/>
              <w:wordWrap w:val="0"/>
              <w:overflowPunct/>
              <w:topLinePunct/>
              <w:autoSpaceDE/>
              <w:autoSpaceDN/>
              <w:bidi w:val="0"/>
              <w:snapToGrid/>
              <w:spacing w:line="520" w:lineRule="exact"/>
              <w:jc w:val="left"/>
              <w:textAlignment w:val="auto"/>
              <w:rPr>
                <w:rFonts w:hint="eastAsia" w:ascii="宋体" w:hAnsi="宋体" w:eastAsia="宋体" w:cs="宋体"/>
                <w:bCs/>
                <w:sz w:val="21"/>
                <w:szCs w:val="21"/>
              </w:rPr>
            </w:pPr>
            <w:r>
              <w:rPr>
                <w:rFonts w:hint="eastAsia" w:ascii="宋体" w:hAnsi="宋体" w:eastAsia="宋体" w:cs="宋体"/>
                <w:bCs/>
                <w:sz w:val="21"/>
                <w:szCs w:val="21"/>
              </w:rPr>
              <w:t>每发现一次考核100元</w:t>
            </w:r>
          </w:p>
        </w:tc>
      </w:tr>
      <w:tr w14:paraId="2F917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566043B7">
            <w:pPr>
              <w:keepNext w:val="0"/>
              <w:keepLines w:val="0"/>
              <w:pageBreakBefore w:val="0"/>
              <w:kinsoku/>
              <w:wordWrap w:val="0"/>
              <w:overflowPunct/>
              <w:topLinePunct/>
              <w:autoSpaceDE/>
              <w:autoSpaceDN/>
              <w:bidi w:val="0"/>
              <w:snapToGrid/>
              <w:spacing w:line="520" w:lineRule="exact"/>
              <w:jc w:val="center"/>
              <w:textAlignment w:val="auto"/>
              <w:rPr>
                <w:rFonts w:hint="eastAsia" w:ascii="宋体" w:hAnsi="宋体" w:eastAsia="宋体" w:cs="宋体"/>
                <w:bCs/>
                <w:sz w:val="21"/>
                <w:szCs w:val="21"/>
              </w:rPr>
            </w:pPr>
            <w:r>
              <w:rPr>
                <w:rFonts w:hint="eastAsia" w:ascii="宋体" w:hAnsi="宋体" w:eastAsia="宋体" w:cs="宋体"/>
                <w:bCs/>
                <w:sz w:val="21"/>
                <w:szCs w:val="21"/>
              </w:rPr>
              <w:t>8</w:t>
            </w:r>
          </w:p>
        </w:tc>
        <w:tc>
          <w:tcPr>
            <w:tcW w:w="4927" w:type="dxa"/>
            <w:vAlign w:val="center"/>
          </w:tcPr>
          <w:p w14:paraId="4D220057">
            <w:pPr>
              <w:keepNext w:val="0"/>
              <w:keepLines w:val="0"/>
              <w:pageBreakBefore w:val="0"/>
              <w:kinsoku/>
              <w:wordWrap w:val="0"/>
              <w:overflowPunct/>
              <w:topLinePunct/>
              <w:autoSpaceDE/>
              <w:autoSpaceDN/>
              <w:bidi w:val="0"/>
              <w:snapToGrid/>
              <w:spacing w:line="520" w:lineRule="exact"/>
              <w:jc w:val="left"/>
              <w:textAlignment w:val="auto"/>
              <w:rPr>
                <w:rFonts w:hint="eastAsia" w:ascii="宋体" w:hAnsi="宋体" w:eastAsia="宋体" w:cs="宋体"/>
                <w:bCs/>
                <w:sz w:val="21"/>
                <w:szCs w:val="21"/>
              </w:rPr>
            </w:pPr>
            <w:r>
              <w:rPr>
                <w:rFonts w:hint="eastAsia" w:ascii="宋体" w:hAnsi="宋体" w:eastAsia="宋体" w:cs="宋体"/>
                <w:bCs/>
                <w:sz w:val="21"/>
                <w:szCs w:val="21"/>
              </w:rPr>
              <w:t>各门卫值班期间脱岗、饮酒或酒后上岗</w:t>
            </w:r>
          </w:p>
        </w:tc>
        <w:tc>
          <w:tcPr>
            <w:tcW w:w="3051" w:type="dxa"/>
            <w:vAlign w:val="center"/>
          </w:tcPr>
          <w:p w14:paraId="075FF0A9">
            <w:pPr>
              <w:keepNext w:val="0"/>
              <w:keepLines w:val="0"/>
              <w:pageBreakBefore w:val="0"/>
              <w:kinsoku/>
              <w:wordWrap w:val="0"/>
              <w:overflowPunct/>
              <w:topLinePunct/>
              <w:autoSpaceDE/>
              <w:autoSpaceDN/>
              <w:bidi w:val="0"/>
              <w:snapToGrid/>
              <w:spacing w:line="520" w:lineRule="exact"/>
              <w:jc w:val="left"/>
              <w:textAlignment w:val="auto"/>
              <w:rPr>
                <w:rFonts w:hint="eastAsia" w:ascii="宋体" w:hAnsi="宋体" w:eastAsia="宋体" w:cs="宋体"/>
                <w:bCs/>
                <w:sz w:val="21"/>
                <w:szCs w:val="21"/>
              </w:rPr>
            </w:pPr>
            <w:r>
              <w:rPr>
                <w:rFonts w:hint="eastAsia" w:ascii="宋体" w:hAnsi="宋体" w:eastAsia="宋体" w:cs="宋体"/>
                <w:bCs/>
                <w:sz w:val="21"/>
                <w:szCs w:val="21"/>
              </w:rPr>
              <w:t>每发现一次考核</w:t>
            </w:r>
            <w:r>
              <w:rPr>
                <w:rFonts w:hint="eastAsia" w:ascii="宋体" w:hAnsi="宋体" w:eastAsia="宋体" w:cs="宋体"/>
                <w:bCs/>
                <w:sz w:val="21"/>
                <w:szCs w:val="21"/>
                <w:lang w:val="en-US" w:eastAsia="zh-CN"/>
              </w:rPr>
              <w:t>2</w:t>
            </w:r>
            <w:r>
              <w:rPr>
                <w:rFonts w:hint="eastAsia" w:ascii="宋体" w:hAnsi="宋体" w:eastAsia="宋体" w:cs="宋体"/>
                <w:bCs/>
                <w:sz w:val="21"/>
                <w:szCs w:val="21"/>
              </w:rPr>
              <w:t>00元</w:t>
            </w:r>
          </w:p>
        </w:tc>
      </w:tr>
      <w:tr w14:paraId="146C6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20AF7458">
            <w:pPr>
              <w:keepNext w:val="0"/>
              <w:keepLines w:val="0"/>
              <w:pageBreakBefore w:val="0"/>
              <w:kinsoku/>
              <w:wordWrap w:val="0"/>
              <w:overflowPunct/>
              <w:topLinePunct/>
              <w:autoSpaceDE/>
              <w:autoSpaceDN/>
              <w:bidi w:val="0"/>
              <w:snapToGrid/>
              <w:spacing w:line="520" w:lineRule="exact"/>
              <w:jc w:val="center"/>
              <w:textAlignment w:val="auto"/>
              <w:rPr>
                <w:rFonts w:hint="eastAsia" w:ascii="宋体" w:hAnsi="宋体" w:eastAsia="宋体" w:cs="宋体"/>
                <w:bCs/>
                <w:sz w:val="21"/>
                <w:szCs w:val="21"/>
              </w:rPr>
            </w:pPr>
            <w:r>
              <w:rPr>
                <w:rFonts w:hint="eastAsia" w:ascii="宋体" w:hAnsi="宋体" w:eastAsia="宋体" w:cs="宋体"/>
                <w:bCs/>
                <w:sz w:val="21"/>
                <w:szCs w:val="21"/>
              </w:rPr>
              <w:t>9</w:t>
            </w:r>
          </w:p>
        </w:tc>
        <w:tc>
          <w:tcPr>
            <w:tcW w:w="4927" w:type="dxa"/>
            <w:vAlign w:val="center"/>
          </w:tcPr>
          <w:p w14:paraId="7C57212A">
            <w:pPr>
              <w:keepNext w:val="0"/>
              <w:keepLines w:val="0"/>
              <w:pageBreakBefore w:val="0"/>
              <w:kinsoku/>
              <w:wordWrap w:val="0"/>
              <w:overflowPunct/>
              <w:topLinePunct/>
              <w:autoSpaceDE/>
              <w:autoSpaceDN/>
              <w:bidi w:val="0"/>
              <w:snapToGrid/>
              <w:spacing w:line="520" w:lineRule="exact"/>
              <w:jc w:val="left"/>
              <w:textAlignment w:val="auto"/>
              <w:rPr>
                <w:rFonts w:hint="eastAsia" w:ascii="宋体" w:hAnsi="宋体" w:eastAsia="宋体" w:cs="宋体"/>
                <w:bCs/>
                <w:sz w:val="21"/>
                <w:szCs w:val="21"/>
              </w:rPr>
            </w:pPr>
            <w:r>
              <w:rPr>
                <w:rFonts w:hint="eastAsia" w:ascii="宋体" w:hAnsi="宋体" w:eastAsia="宋体" w:cs="宋体"/>
                <w:bCs/>
                <w:sz w:val="21"/>
                <w:szCs w:val="21"/>
              </w:rPr>
              <w:t>由于服务态度差，管理方法不妥而引起争吵，造成影响或被投诉</w:t>
            </w:r>
          </w:p>
        </w:tc>
        <w:tc>
          <w:tcPr>
            <w:tcW w:w="3051" w:type="dxa"/>
            <w:vAlign w:val="center"/>
          </w:tcPr>
          <w:p w14:paraId="6DEFFDE8">
            <w:pPr>
              <w:keepNext w:val="0"/>
              <w:keepLines w:val="0"/>
              <w:pageBreakBefore w:val="0"/>
              <w:kinsoku/>
              <w:wordWrap w:val="0"/>
              <w:overflowPunct/>
              <w:topLinePunct/>
              <w:autoSpaceDE/>
              <w:autoSpaceDN/>
              <w:bidi w:val="0"/>
              <w:snapToGrid/>
              <w:spacing w:line="520" w:lineRule="exact"/>
              <w:jc w:val="left"/>
              <w:textAlignment w:val="auto"/>
              <w:rPr>
                <w:rFonts w:hint="eastAsia" w:ascii="宋体" w:hAnsi="宋体" w:eastAsia="宋体" w:cs="宋体"/>
                <w:bCs/>
                <w:sz w:val="21"/>
                <w:szCs w:val="21"/>
              </w:rPr>
            </w:pPr>
            <w:r>
              <w:rPr>
                <w:rFonts w:hint="eastAsia" w:ascii="宋体" w:hAnsi="宋体" w:eastAsia="宋体" w:cs="宋体"/>
                <w:bCs/>
                <w:sz w:val="21"/>
                <w:szCs w:val="21"/>
              </w:rPr>
              <w:t>每发现一次考核200元</w:t>
            </w:r>
          </w:p>
        </w:tc>
      </w:tr>
      <w:tr w14:paraId="1EB8B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851" w:type="dxa"/>
            <w:vAlign w:val="center"/>
          </w:tcPr>
          <w:p w14:paraId="17D376F7">
            <w:pPr>
              <w:keepNext w:val="0"/>
              <w:keepLines w:val="0"/>
              <w:pageBreakBefore w:val="0"/>
              <w:kinsoku/>
              <w:wordWrap w:val="0"/>
              <w:overflowPunct/>
              <w:topLinePunct/>
              <w:autoSpaceDE/>
              <w:autoSpaceDN/>
              <w:bidi w:val="0"/>
              <w:snapToGrid/>
              <w:spacing w:line="520" w:lineRule="exact"/>
              <w:jc w:val="center"/>
              <w:textAlignment w:val="auto"/>
              <w:rPr>
                <w:rFonts w:hint="eastAsia" w:ascii="宋体" w:hAnsi="宋体" w:eastAsia="宋体" w:cs="宋体"/>
                <w:bCs/>
                <w:sz w:val="21"/>
                <w:szCs w:val="21"/>
              </w:rPr>
            </w:pPr>
            <w:r>
              <w:rPr>
                <w:rFonts w:hint="eastAsia" w:ascii="宋体" w:hAnsi="宋体" w:eastAsia="宋体" w:cs="宋体"/>
                <w:bCs/>
                <w:sz w:val="21"/>
                <w:szCs w:val="21"/>
              </w:rPr>
              <w:t>10</w:t>
            </w:r>
          </w:p>
        </w:tc>
        <w:tc>
          <w:tcPr>
            <w:tcW w:w="4927" w:type="dxa"/>
            <w:vAlign w:val="center"/>
          </w:tcPr>
          <w:p w14:paraId="6F632DD5">
            <w:pPr>
              <w:keepNext w:val="0"/>
              <w:keepLines w:val="0"/>
              <w:pageBreakBefore w:val="0"/>
              <w:kinsoku/>
              <w:wordWrap w:val="0"/>
              <w:overflowPunct/>
              <w:topLinePunct/>
              <w:autoSpaceDE/>
              <w:autoSpaceDN/>
              <w:bidi w:val="0"/>
              <w:snapToGrid/>
              <w:spacing w:line="520" w:lineRule="exact"/>
              <w:jc w:val="left"/>
              <w:textAlignment w:val="auto"/>
              <w:rPr>
                <w:rFonts w:hint="eastAsia" w:ascii="宋体" w:hAnsi="宋体" w:eastAsia="宋体" w:cs="宋体"/>
                <w:bCs/>
                <w:sz w:val="21"/>
                <w:szCs w:val="21"/>
              </w:rPr>
            </w:pPr>
            <w:r>
              <w:rPr>
                <w:rFonts w:hint="eastAsia" w:ascii="宋体" w:hAnsi="宋体" w:eastAsia="宋体" w:cs="宋体"/>
                <w:bCs/>
                <w:sz w:val="21"/>
                <w:szCs w:val="21"/>
              </w:rPr>
              <w:t>在值班室内、禁烟区域吸烟</w:t>
            </w:r>
          </w:p>
        </w:tc>
        <w:tc>
          <w:tcPr>
            <w:tcW w:w="3051" w:type="dxa"/>
            <w:vAlign w:val="center"/>
          </w:tcPr>
          <w:p w14:paraId="52016518">
            <w:pPr>
              <w:keepNext w:val="0"/>
              <w:keepLines w:val="0"/>
              <w:pageBreakBefore w:val="0"/>
              <w:kinsoku/>
              <w:wordWrap w:val="0"/>
              <w:overflowPunct/>
              <w:topLinePunct/>
              <w:autoSpaceDE/>
              <w:autoSpaceDN/>
              <w:bidi w:val="0"/>
              <w:snapToGrid/>
              <w:spacing w:line="520" w:lineRule="exact"/>
              <w:jc w:val="left"/>
              <w:textAlignment w:val="auto"/>
              <w:rPr>
                <w:rFonts w:hint="eastAsia" w:ascii="宋体" w:hAnsi="宋体" w:eastAsia="宋体" w:cs="宋体"/>
                <w:bCs/>
                <w:sz w:val="21"/>
                <w:szCs w:val="21"/>
              </w:rPr>
            </w:pPr>
            <w:r>
              <w:rPr>
                <w:rFonts w:hint="eastAsia" w:ascii="宋体" w:hAnsi="宋体" w:eastAsia="宋体" w:cs="宋体"/>
                <w:bCs/>
                <w:sz w:val="21"/>
                <w:szCs w:val="21"/>
              </w:rPr>
              <w:t>每发现一次考核</w:t>
            </w:r>
            <w:r>
              <w:rPr>
                <w:rFonts w:hint="eastAsia" w:ascii="宋体" w:hAnsi="宋体" w:eastAsia="宋体" w:cs="宋体"/>
                <w:bCs/>
                <w:sz w:val="21"/>
                <w:szCs w:val="21"/>
                <w:lang w:val="en-US" w:eastAsia="zh-CN"/>
              </w:rPr>
              <w:t>2</w:t>
            </w:r>
            <w:r>
              <w:rPr>
                <w:rFonts w:hint="eastAsia" w:ascii="宋体" w:hAnsi="宋体" w:eastAsia="宋体" w:cs="宋体"/>
                <w:bCs/>
                <w:sz w:val="21"/>
                <w:szCs w:val="21"/>
              </w:rPr>
              <w:t>00元</w:t>
            </w:r>
          </w:p>
        </w:tc>
      </w:tr>
      <w:tr w14:paraId="64E41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259D6C61">
            <w:pPr>
              <w:keepNext w:val="0"/>
              <w:keepLines w:val="0"/>
              <w:pageBreakBefore w:val="0"/>
              <w:kinsoku/>
              <w:wordWrap w:val="0"/>
              <w:overflowPunct/>
              <w:topLinePunct/>
              <w:autoSpaceDE/>
              <w:autoSpaceDN/>
              <w:bidi w:val="0"/>
              <w:snapToGrid/>
              <w:spacing w:line="520" w:lineRule="exact"/>
              <w:jc w:val="center"/>
              <w:textAlignment w:val="auto"/>
              <w:rPr>
                <w:rFonts w:hint="eastAsia" w:ascii="宋体" w:hAnsi="宋体" w:eastAsia="宋体" w:cs="宋体"/>
                <w:bCs/>
                <w:sz w:val="21"/>
                <w:szCs w:val="21"/>
              </w:rPr>
            </w:pPr>
            <w:r>
              <w:rPr>
                <w:rFonts w:hint="eastAsia" w:ascii="宋体" w:hAnsi="宋体" w:eastAsia="宋体" w:cs="宋体"/>
                <w:bCs/>
                <w:sz w:val="21"/>
                <w:szCs w:val="21"/>
              </w:rPr>
              <w:t>11</w:t>
            </w:r>
          </w:p>
        </w:tc>
        <w:tc>
          <w:tcPr>
            <w:tcW w:w="4927" w:type="dxa"/>
            <w:vAlign w:val="center"/>
          </w:tcPr>
          <w:p w14:paraId="2078E151">
            <w:pPr>
              <w:keepNext w:val="0"/>
              <w:keepLines w:val="0"/>
              <w:pageBreakBefore w:val="0"/>
              <w:kinsoku/>
              <w:wordWrap w:val="0"/>
              <w:overflowPunct/>
              <w:topLinePunct/>
              <w:autoSpaceDE/>
              <w:autoSpaceDN/>
              <w:bidi w:val="0"/>
              <w:snapToGrid/>
              <w:spacing w:line="520" w:lineRule="exact"/>
              <w:jc w:val="left"/>
              <w:textAlignment w:val="auto"/>
              <w:rPr>
                <w:rFonts w:hint="eastAsia" w:ascii="宋体" w:hAnsi="宋体" w:eastAsia="宋体" w:cs="宋体"/>
                <w:bCs/>
                <w:sz w:val="21"/>
                <w:szCs w:val="21"/>
              </w:rPr>
            </w:pPr>
            <w:r>
              <w:rPr>
                <w:rFonts w:hint="eastAsia" w:ascii="宋体" w:hAnsi="宋体" w:eastAsia="宋体" w:cs="宋体"/>
                <w:bCs/>
                <w:sz w:val="21"/>
                <w:szCs w:val="21"/>
              </w:rPr>
              <w:t>门卫执勤人员在规定时间内应站立而没有站立的或虽站立而姿势不符要求的</w:t>
            </w:r>
          </w:p>
        </w:tc>
        <w:tc>
          <w:tcPr>
            <w:tcW w:w="3051" w:type="dxa"/>
            <w:vAlign w:val="center"/>
          </w:tcPr>
          <w:p w14:paraId="1A14444F">
            <w:pPr>
              <w:keepNext w:val="0"/>
              <w:keepLines w:val="0"/>
              <w:pageBreakBefore w:val="0"/>
              <w:kinsoku/>
              <w:wordWrap w:val="0"/>
              <w:overflowPunct/>
              <w:topLinePunct/>
              <w:autoSpaceDE/>
              <w:autoSpaceDN/>
              <w:bidi w:val="0"/>
              <w:snapToGrid/>
              <w:spacing w:line="520" w:lineRule="exact"/>
              <w:jc w:val="left"/>
              <w:textAlignment w:val="auto"/>
              <w:rPr>
                <w:rFonts w:hint="eastAsia" w:ascii="宋体" w:hAnsi="宋体" w:eastAsia="宋体" w:cs="宋体"/>
                <w:bCs/>
                <w:sz w:val="21"/>
                <w:szCs w:val="21"/>
              </w:rPr>
            </w:pPr>
            <w:r>
              <w:rPr>
                <w:rFonts w:hint="eastAsia" w:ascii="宋体" w:hAnsi="宋体" w:eastAsia="宋体" w:cs="宋体"/>
                <w:bCs/>
                <w:sz w:val="21"/>
                <w:szCs w:val="21"/>
              </w:rPr>
              <w:t>每发现一次考核100元</w:t>
            </w:r>
          </w:p>
        </w:tc>
      </w:tr>
      <w:tr w14:paraId="04184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32B54946">
            <w:pPr>
              <w:keepNext w:val="0"/>
              <w:keepLines w:val="0"/>
              <w:pageBreakBefore w:val="0"/>
              <w:kinsoku/>
              <w:wordWrap w:val="0"/>
              <w:overflowPunct/>
              <w:topLinePunct/>
              <w:autoSpaceDE/>
              <w:autoSpaceDN/>
              <w:bidi w:val="0"/>
              <w:snapToGrid/>
              <w:spacing w:line="520" w:lineRule="exact"/>
              <w:jc w:val="center"/>
              <w:textAlignment w:val="auto"/>
              <w:rPr>
                <w:rFonts w:hint="eastAsia" w:ascii="宋体" w:hAnsi="宋体" w:eastAsia="宋体" w:cs="宋体"/>
                <w:bCs/>
                <w:sz w:val="21"/>
                <w:szCs w:val="21"/>
              </w:rPr>
            </w:pPr>
            <w:r>
              <w:rPr>
                <w:rFonts w:hint="eastAsia" w:ascii="宋体" w:hAnsi="宋体" w:eastAsia="宋体" w:cs="宋体"/>
                <w:bCs/>
                <w:sz w:val="21"/>
                <w:szCs w:val="21"/>
              </w:rPr>
              <w:t>12</w:t>
            </w:r>
          </w:p>
        </w:tc>
        <w:tc>
          <w:tcPr>
            <w:tcW w:w="4927" w:type="dxa"/>
            <w:vAlign w:val="center"/>
          </w:tcPr>
          <w:p w14:paraId="1CB21795">
            <w:pPr>
              <w:keepNext w:val="0"/>
              <w:keepLines w:val="0"/>
              <w:pageBreakBefore w:val="0"/>
              <w:kinsoku/>
              <w:wordWrap w:val="0"/>
              <w:overflowPunct/>
              <w:topLinePunct/>
              <w:autoSpaceDE/>
              <w:autoSpaceDN/>
              <w:bidi w:val="0"/>
              <w:snapToGrid/>
              <w:spacing w:line="520" w:lineRule="exact"/>
              <w:jc w:val="left"/>
              <w:textAlignment w:val="auto"/>
              <w:rPr>
                <w:rFonts w:hint="eastAsia" w:ascii="宋体" w:hAnsi="宋体" w:eastAsia="宋体" w:cs="宋体"/>
                <w:bCs/>
                <w:sz w:val="21"/>
                <w:szCs w:val="21"/>
              </w:rPr>
            </w:pPr>
            <w:r>
              <w:rPr>
                <w:rFonts w:hint="eastAsia" w:ascii="宋体" w:hAnsi="宋体" w:eastAsia="宋体" w:cs="宋体"/>
                <w:bCs/>
                <w:sz w:val="21"/>
                <w:szCs w:val="21"/>
              </w:rPr>
              <w:t>记录不齐全，字迹不工整，记述不清楚的</w:t>
            </w:r>
          </w:p>
        </w:tc>
        <w:tc>
          <w:tcPr>
            <w:tcW w:w="3051" w:type="dxa"/>
            <w:vAlign w:val="center"/>
          </w:tcPr>
          <w:p w14:paraId="71735D73">
            <w:pPr>
              <w:keepNext w:val="0"/>
              <w:keepLines w:val="0"/>
              <w:pageBreakBefore w:val="0"/>
              <w:kinsoku/>
              <w:wordWrap w:val="0"/>
              <w:overflowPunct/>
              <w:topLinePunct/>
              <w:autoSpaceDE/>
              <w:autoSpaceDN/>
              <w:bidi w:val="0"/>
              <w:snapToGrid/>
              <w:spacing w:line="520" w:lineRule="exact"/>
              <w:jc w:val="left"/>
              <w:textAlignment w:val="auto"/>
              <w:rPr>
                <w:rFonts w:hint="eastAsia" w:ascii="宋体" w:hAnsi="宋体" w:eastAsia="宋体" w:cs="宋体"/>
                <w:bCs/>
                <w:sz w:val="21"/>
                <w:szCs w:val="21"/>
              </w:rPr>
            </w:pPr>
            <w:r>
              <w:rPr>
                <w:rFonts w:hint="eastAsia" w:ascii="宋体" w:hAnsi="宋体" w:eastAsia="宋体" w:cs="宋体"/>
                <w:bCs/>
                <w:sz w:val="21"/>
                <w:szCs w:val="21"/>
              </w:rPr>
              <w:t>每发现一次考核100元</w:t>
            </w:r>
          </w:p>
        </w:tc>
      </w:tr>
      <w:tr w14:paraId="6B9DD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3070F638">
            <w:pPr>
              <w:keepNext w:val="0"/>
              <w:keepLines w:val="0"/>
              <w:pageBreakBefore w:val="0"/>
              <w:kinsoku/>
              <w:wordWrap w:val="0"/>
              <w:overflowPunct/>
              <w:topLinePunct/>
              <w:autoSpaceDE/>
              <w:autoSpaceDN/>
              <w:bidi w:val="0"/>
              <w:snapToGrid/>
              <w:spacing w:line="520" w:lineRule="exact"/>
              <w:jc w:val="center"/>
              <w:textAlignment w:val="auto"/>
              <w:rPr>
                <w:rFonts w:hint="eastAsia" w:ascii="宋体" w:hAnsi="宋体" w:eastAsia="宋体" w:cs="宋体"/>
                <w:bCs/>
                <w:sz w:val="21"/>
                <w:szCs w:val="21"/>
              </w:rPr>
            </w:pPr>
            <w:r>
              <w:rPr>
                <w:rFonts w:hint="eastAsia" w:ascii="宋体" w:hAnsi="宋体" w:eastAsia="宋体" w:cs="宋体"/>
                <w:bCs/>
                <w:sz w:val="21"/>
                <w:szCs w:val="21"/>
              </w:rPr>
              <w:t>13</w:t>
            </w:r>
          </w:p>
        </w:tc>
        <w:tc>
          <w:tcPr>
            <w:tcW w:w="4927" w:type="dxa"/>
            <w:vAlign w:val="center"/>
          </w:tcPr>
          <w:p w14:paraId="5093ADF6">
            <w:pPr>
              <w:keepNext w:val="0"/>
              <w:keepLines w:val="0"/>
              <w:pageBreakBefore w:val="0"/>
              <w:kinsoku/>
              <w:wordWrap w:val="0"/>
              <w:overflowPunct/>
              <w:topLinePunct/>
              <w:autoSpaceDE/>
              <w:autoSpaceDN/>
              <w:bidi w:val="0"/>
              <w:snapToGrid/>
              <w:spacing w:line="520" w:lineRule="exact"/>
              <w:jc w:val="left"/>
              <w:textAlignment w:val="auto"/>
              <w:rPr>
                <w:rFonts w:hint="eastAsia" w:ascii="宋体" w:hAnsi="宋体" w:eastAsia="宋体" w:cs="宋体"/>
                <w:bCs/>
                <w:sz w:val="21"/>
                <w:szCs w:val="21"/>
              </w:rPr>
            </w:pPr>
            <w:r>
              <w:rPr>
                <w:rFonts w:hint="eastAsia" w:ascii="宋体" w:hAnsi="宋体" w:eastAsia="宋体" w:cs="宋体"/>
                <w:bCs/>
                <w:sz w:val="21"/>
                <w:szCs w:val="21"/>
              </w:rPr>
              <w:t>保安在值班监控时或操作设备电脑时做与工作无关的事，卸载和安装文件或上网、玩游戏</w:t>
            </w:r>
          </w:p>
        </w:tc>
        <w:tc>
          <w:tcPr>
            <w:tcW w:w="3051" w:type="dxa"/>
            <w:vAlign w:val="center"/>
          </w:tcPr>
          <w:p w14:paraId="0EC4F90E">
            <w:pPr>
              <w:keepNext w:val="0"/>
              <w:keepLines w:val="0"/>
              <w:pageBreakBefore w:val="0"/>
              <w:kinsoku/>
              <w:wordWrap w:val="0"/>
              <w:overflowPunct/>
              <w:topLinePunct/>
              <w:autoSpaceDE/>
              <w:autoSpaceDN/>
              <w:bidi w:val="0"/>
              <w:snapToGrid/>
              <w:spacing w:line="520" w:lineRule="exact"/>
              <w:jc w:val="left"/>
              <w:textAlignment w:val="auto"/>
              <w:rPr>
                <w:rFonts w:hint="eastAsia" w:ascii="宋体" w:hAnsi="宋体" w:eastAsia="宋体" w:cs="宋体"/>
                <w:bCs/>
                <w:sz w:val="21"/>
                <w:szCs w:val="21"/>
              </w:rPr>
            </w:pPr>
            <w:r>
              <w:rPr>
                <w:rFonts w:hint="eastAsia" w:ascii="宋体" w:hAnsi="宋体" w:eastAsia="宋体" w:cs="宋体"/>
                <w:bCs/>
                <w:sz w:val="21"/>
                <w:szCs w:val="21"/>
              </w:rPr>
              <w:t>每发现一次考核</w:t>
            </w:r>
            <w:r>
              <w:rPr>
                <w:rFonts w:hint="eastAsia" w:ascii="宋体" w:hAnsi="宋体" w:eastAsia="宋体" w:cs="宋体"/>
                <w:bCs/>
                <w:sz w:val="21"/>
                <w:szCs w:val="21"/>
                <w:lang w:val="en-US" w:eastAsia="zh-CN"/>
              </w:rPr>
              <w:t>1</w:t>
            </w:r>
            <w:r>
              <w:rPr>
                <w:rFonts w:hint="eastAsia" w:ascii="宋体" w:hAnsi="宋体" w:eastAsia="宋体" w:cs="宋体"/>
                <w:bCs/>
                <w:sz w:val="21"/>
                <w:szCs w:val="21"/>
              </w:rPr>
              <w:t>00元</w:t>
            </w:r>
          </w:p>
        </w:tc>
      </w:tr>
      <w:tr w14:paraId="10925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00337E3E">
            <w:pPr>
              <w:keepNext w:val="0"/>
              <w:keepLines w:val="0"/>
              <w:pageBreakBefore w:val="0"/>
              <w:kinsoku/>
              <w:wordWrap w:val="0"/>
              <w:overflowPunct/>
              <w:topLinePunct/>
              <w:autoSpaceDE/>
              <w:autoSpaceDN/>
              <w:bidi w:val="0"/>
              <w:snapToGrid/>
              <w:spacing w:line="520" w:lineRule="exact"/>
              <w:jc w:val="center"/>
              <w:textAlignment w:val="auto"/>
              <w:rPr>
                <w:rFonts w:hint="eastAsia" w:ascii="宋体" w:hAnsi="宋体" w:eastAsia="宋体" w:cs="宋体"/>
                <w:bCs/>
                <w:sz w:val="21"/>
                <w:szCs w:val="21"/>
              </w:rPr>
            </w:pPr>
            <w:r>
              <w:rPr>
                <w:rFonts w:hint="eastAsia" w:ascii="宋体" w:hAnsi="宋体" w:eastAsia="宋体" w:cs="宋体"/>
                <w:bCs/>
                <w:sz w:val="21"/>
                <w:szCs w:val="21"/>
              </w:rPr>
              <w:t>14</w:t>
            </w:r>
          </w:p>
        </w:tc>
        <w:tc>
          <w:tcPr>
            <w:tcW w:w="4927" w:type="dxa"/>
            <w:vAlign w:val="center"/>
          </w:tcPr>
          <w:p w14:paraId="2BE2E2EC">
            <w:pPr>
              <w:keepNext w:val="0"/>
              <w:keepLines w:val="0"/>
              <w:pageBreakBefore w:val="0"/>
              <w:kinsoku/>
              <w:wordWrap w:val="0"/>
              <w:overflowPunct/>
              <w:topLinePunct/>
              <w:autoSpaceDE/>
              <w:autoSpaceDN/>
              <w:bidi w:val="0"/>
              <w:snapToGrid/>
              <w:spacing w:line="520" w:lineRule="exact"/>
              <w:jc w:val="left"/>
              <w:textAlignment w:val="auto"/>
              <w:rPr>
                <w:rFonts w:hint="eastAsia" w:ascii="宋体" w:hAnsi="宋体" w:eastAsia="宋体" w:cs="宋体"/>
                <w:bCs/>
                <w:sz w:val="21"/>
                <w:szCs w:val="21"/>
              </w:rPr>
            </w:pPr>
            <w:r>
              <w:rPr>
                <w:rFonts w:hint="eastAsia" w:ascii="宋体" w:hAnsi="宋体" w:eastAsia="宋体" w:cs="宋体"/>
                <w:bCs/>
                <w:sz w:val="21"/>
                <w:szCs w:val="21"/>
              </w:rPr>
              <w:t>值班室内部不干净而不及时清洁，或门岗电动门不干净而不及时清洁</w:t>
            </w:r>
          </w:p>
        </w:tc>
        <w:tc>
          <w:tcPr>
            <w:tcW w:w="3051" w:type="dxa"/>
            <w:vAlign w:val="center"/>
          </w:tcPr>
          <w:p w14:paraId="0C9855BF">
            <w:pPr>
              <w:keepNext w:val="0"/>
              <w:keepLines w:val="0"/>
              <w:pageBreakBefore w:val="0"/>
              <w:kinsoku/>
              <w:wordWrap w:val="0"/>
              <w:overflowPunct/>
              <w:topLinePunct/>
              <w:autoSpaceDE/>
              <w:autoSpaceDN/>
              <w:bidi w:val="0"/>
              <w:snapToGrid/>
              <w:spacing w:line="520" w:lineRule="exact"/>
              <w:jc w:val="left"/>
              <w:textAlignment w:val="auto"/>
              <w:rPr>
                <w:rFonts w:hint="eastAsia" w:ascii="宋体" w:hAnsi="宋体" w:eastAsia="宋体" w:cs="宋体"/>
                <w:bCs/>
                <w:sz w:val="21"/>
                <w:szCs w:val="21"/>
              </w:rPr>
            </w:pPr>
            <w:r>
              <w:rPr>
                <w:rFonts w:hint="eastAsia" w:ascii="宋体" w:hAnsi="宋体" w:eastAsia="宋体" w:cs="宋体"/>
                <w:bCs/>
                <w:sz w:val="21"/>
                <w:szCs w:val="21"/>
              </w:rPr>
              <w:t>每发现一次考核</w:t>
            </w:r>
            <w:r>
              <w:rPr>
                <w:rFonts w:hint="eastAsia" w:ascii="宋体" w:hAnsi="宋体" w:eastAsia="宋体" w:cs="宋体"/>
                <w:bCs/>
                <w:sz w:val="21"/>
                <w:szCs w:val="21"/>
                <w:lang w:val="en-US" w:eastAsia="zh-CN"/>
              </w:rPr>
              <w:t>1</w:t>
            </w:r>
            <w:r>
              <w:rPr>
                <w:rFonts w:hint="eastAsia" w:ascii="宋体" w:hAnsi="宋体" w:eastAsia="宋体" w:cs="宋体"/>
                <w:bCs/>
                <w:sz w:val="21"/>
                <w:szCs w:val="21"/>
              </w:rPr>
              <w:t>00元</w:t>
            </w:r>
          </w:p>
        </w:tc>
      </w:tr>
      <w:tr w14:paraId="3F938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33F0144A">
            <w:pPr>
              <w:keepNext w:val="0"/>
              <w:keepLines w:val="0"/>
              <w:pageBreakBefore w:val="0"/>
              <w:kinsoku/>
              <w:wordWrap w:val="0"/>
              <w:overflowPunct/>
              <w:topLinePunct/>
              <w:autoSpaceDE/>
              <w:autoSpaceDN/>
              <w:bidi w:val="0"/>
              <w:snapToGrid/>
              <w:spacing w:line="520" w:lineRule="exact"/>
              <w:jc w:val="center"/>
              <w:textAlignment w:val="auto"/>
              <w:rPr>
                <w:rFonts w:hint="eastAsia" w:ascii="宋体" w:hAnsi="宋体" w:eastAsia="宋体" w:cs="宋体"/>
                <w:bCs/>
                <w:sz w:val="21"/>
                <w:szCs w:val="21"/>
              </w:rPr>
            </w:pPr>
            <w:r>
              <w:rPr>
                <w:rFonts w:hint="eastAsia" w:ascii="宋体" w:hAnsi="宋体" w:eastAsia="宋体" w:cs="宋体"/>
                <w:bCs/>
                <w:sz w:val="21"/>
                <w:szCs w:val="21"/>
              </w:rPr>
              <w:t>15</w:t>
            </w:r>
          </w:p>
        </w:tc>
        <w:tc>
          <w:tcPr>
            <w:tcW w:w="4927" w:type="dxa"/>
            <w:vAlign w:val="center"/>
          </w:tcPr>
          <w:p w14:paraId="6B0D343A">
            <w:pPr>
              <w:keepNext w:val="0"/>
              <w:keepLines w:val="0"/>
              <w:pageBreakBefore w:val="0"/>
              <w:kinsoku/>
              <w:wordWrap w:val="0"/>
              <w:overflowPunct/>
              <w:topLinePunct/>
              <w:autoSpaceDE/>
              <w:autoSpaceDN/>
              <w:bidi w:val="0"/>
              <w:snapToGrid/>
              <w:spacing w:line="520" w:lineRule="exact"/>
              <w:jc w:val="left"/>
              <w:textAlignment w:val="auto"/>
              <w:rPr>
                <w:rFonts w:hint="eastAsia" w:ascii="宋体" w:hAnsi="宋体" w:eastAsia="宋体" w:cs="宋体"/>
                <w:bCs/>
                <w:sz w:val="21"/>
                <w:szCs w:val="21"/>
              </w:rPr>
            </w:pPr>
            <w:r>
              <w:rPr>
                <w:rFonts w:hint="eastAsia" w:ascii="宋体" w:hAnsi="宋体" w:eastAsia="宋体" w:cs="宋体"/>
                <w:bCs/>
                <w:sz w:val="21"/>
                <w:szCs w:val="21"/>
              </w:rPr>
              <w:t>各门岗大门、电动门、升降杆系统故障而未及时报修</w:t>
            </w:r>
          </w:p>
        </w:tc>
        <w:tc>
          <w:tcPr>
            <w:tcW w:w="3051" w:type="dxa"/>
            <w:vAlign w:val="center"/>
          </w:tcPr>
          <w:p w14:paraId="6550E30F">
            <w:pPr>
              <w:keepNext w:val="0"/>
              <w:keepLines w:val="0"/>
              <w:pageBreakBefore w:val="0"/>
              <w:kinsoku/>
              <w:wordWrap w:val="0"/>
              <w:overflowPunct/>
              <w:topLinePunct/>
              <w:autoSpaceDE/>
              <w:autoSpaceDN/>
              <w:bidi w:val="0"/>
              <w:snapToGrid/>
              <w:spacing w:line="520" w:lineRule="exact"/>
              <w:jc w:val="left"/>
              <w:textAlignment w:val="auto"/>
              <w:rPr>
                <w:rFonts w:hint="eastAsia" w:ascii="宋体" w:hAnsi="宋体" w:eastAsia="宋体" w:cs="宋体"/>
                <w:bCs/>
                <w:sz w:val="21"/>
                <w:szCs w:val="21"/>
              </w:rPr>
            </w:pPr>
            <w:r>
              <w:rPr>
                <w:rFonts w:hint="eastAsia" w:ascii="宋体" w:hAnsi="宋体" w:eastAsia="宋体" w:cs="宋体"/>
                <w:bCs/>
                <w:sz w:val="21"/>
                <w:szCs w:val="21"/>
              </w:rPr>
              <w:t>每发现一次考核100元</w:t>
            </w:r>
          </w:p>
        </w:tc>
      </w:tr>
      <w:tr w14:paraId="64502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69EC2633">
            <w:pPr>
              <w:keepNext w:val="0"/>
              <w:keepLines w:val="0"/>
              <w:pageBreakBefore w:val="0"/>
              <w:kinsoku/>
              <w:wordWrap w:val="0"/>
              <w:overflowPunct/>
              <w:topLinePunct/>
              <w:autoSpaceDE/>
              <w:autoSpaceDN/>
              <w:bidi w:val="0"/>
              <w:snapToGrid/>
              <w:spacing w:line="520" w:lineRule="exact"/>
              <w:jc w:val="center"/>
              <w:textAlignment w:val="auto"/>
              <w:rPr>
                <w:rFonts w:hint="eastAsia" w:ascii="宋体" w:hAnsi="宋体" w:eastAsia="宋体" w:cs="宋体"/>
                <w:bCs/>
                <w:sz w:val="21"/>
                <w:szCs w:val="21"/>
              </w:rPr>
            </w:pPr>
            <w:r>
              <w:rPr>
                <w:rFonts w:hint="eastAsia" w:ascii="宋体" w:hAnsi="宋体" w:eastAsia="宋体" w:cs="宋体"/>
                <w:bCs/>
                <w:sz w:val="21"/>
                <w:szCs w:val="21"/>
              </w:rPr>
              <w:t>16</w:t>
            </w:r>
          </w:p>
        </w:tc>
        <w:tc>
          <w:tcPr>
            <w:tcW w:w="4927" w:type="dxa"/>
            <w:vAlign w:val="center"/>
          </w:tcPr>
          <w:p w14:paraId="48C335F3">
            <w:pPr>
              <w:keepNext w:val="0"/>
              <w:keepLines w:val="0"/>
              <w:pageBreakBefore w:val="0"/>
              <w:kinsoku/>
              <w:wordWrap w:val="0"/>
              <w:overflowPunct/>
              <w:topLinePunct/>
              <w:autoSpaceDE/>
              <w:autoSpaceDN/>
              <w:bidi w:val="0"/>
              <w:snapToGrid/>
              <w:spacing w:line="520" w:lineRule="exact"/>
              <w:jc w:val="left"/>
              <w:textAlignment w:val="auto"/>
              <w:rPr>
                <w:rFonts w:hint="eastAsia" w:ascii="宋体" w:hAnsi="宋体" w:eastAsia="宋体" w:cs="宋体"/>
                <w:bCs/>
                <w:sz w:val="21"/>
                <w:szCs w:val="21"/>
              </w:rPr>
            </w:pPr>
            <w:r>
              <w:rPr>
                <w:rFonts w:hint="eastAsia" w:ascii="宋体" w:hAnsi="宋体" w:eastAsia="宋体" w:cs="宋体"/>
                <w:bCs/>
                <w:sz w:val="21"/>
                <w:szCs w:val="21"/>
              </w:rPr>
              <w:t>各门岗电动门、升降杆或大门等其他设施损坏而找不到肇事者</w:t>
            </w:r>
          </w:p>
        </w:tc>
        <w:tc>
          <w:tcPr>
            <w:tcW w:w="3051" w:type="dxa"/>
            <w:vAlign w:val="center"/>
          </w:tcPr>
          <w:p w14:paraId="1E6B16D7">
            <w:pPr>
              <w:keepNext w:val="0"/>
              <w:keepLines w:val="0"/>
              <w:pageBreakBefore w:val="0"/>
              <w:kinsoku/>
              <w:wordWrap w:val="0"/>
              <w:overflowPunct/>
              <w:topLinePunct/>
              <w:autoSpaceDE/>
              <w:autoSpaceDN/>
              <w:bidi w:val="0"/>
              <w:snapToGrid/>
              <w:spacing w:line="520" w:lineRule="exact"/>
              <w:jc w:val="left"/>
              <w:textAlignment w:val="auto"/>
              <w:rPr>
                <w:rFonts w:hint="eastAsia" w:ascii="宋体" w:hAnsi="宋体" w:eastAsia="宋体" w:cs="宋体"/>
                <w:bCs/>
                <w:sz w:val="21"/>
                <w:szCs w:val="21"/>
              </w:rPr>
            </w:pPr>
            <w:r>
              <w:rPr>
                <w:rFonts w:hint="eastAsia" w:ascii="宋体" w:hAnsi="宋体" w:eastAsia="宋体" w:cs="宋体"/>
                <w:bCs/>
                <w:sz w:val="21"/>
                <w:szCs w:val="21"/>
              </w:rPr>
              <w:t>除照价赔偿外，每次考核</w:t>
            </w:r>
            <w:r>
              <w:rPr>
                <w:rFonts w:hint="eastAsia" w:ascii="宋体" w:hAnsi="宋体" w:eastAsia="宋体" w:cs="宋体"/>
                <w:bCs/>
                <w:sz w:val="21"/>
                <w:szCs w:val="21"/>
                <w:lang w:val="en-US" w:eastAsia="zh-CN"/>
              </w:rPr>
              <w:t>1</w:t>
            </w:r>
            <w:r>
              <w:rPr>
                <w:rFonts w:hint="eastAsia" w:ascii="宋体" w:hAnsi="宋体" w:eastAsia="宋体" w:cs="宋体"/>
                <w:bCs/>
                <w:sz w:val="21"/>
                <w:szCs w:val="21"/>
              </w:rPr>
              <w:t>00元</w:t>
            </w:r>
          </w:p>
        </w:tc>
      </w:tr>
      <w:tr w14:paraId="5029E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0E72009D">
            <w:pPr>
              <w:keepNext w:val="0"/>
              <w:keepLines w:val="0"/>
              <w:pageBreakBefore w:val="0"/>
              <w:kinsoku/>
              <w:wordWrap w:val="0"/>
              <w:overflowPunct/>
              <w:topLinePunct/>
              <w:autoSpaceDE/>
              <w:autoSpaceDN/>
              <w:bidi w:val="0"/>
              <w:snapToGrid/>
              <w:spacing w:line="520" w:lineRule="exact"/>
              <w:jc w:val="center"/>
              <w:textAlignment w:val="auto"/>
              <w:rPr>
                <w:rFonts w:hint="eastAsia" w:ascii="宋体" w:hAnsi="宋体" w:eastAsia="宋体" w:cs="宋体"/>
                <w:bCs/>
                <w:sz w:val="21"/>
                <w:szCs w:val="21"/>
              </w:rPr>
            </w:pPr>
            <w:r>
              <w:rPr>
                <w:rFonts w:hint="eastAsia" w:ascii="宋体" w:hAnsi="宋体" w:eastAsia="宋体" w:cs="宋体"/>
                <w:bCs/>
                <w:sz w:val="21"/>
                <w:szCs w:val="21"/>
              </w:rPr>
              <w:t>17</w:t>
            </w:r>
          </w:p>
        </w:tc>
        <w:tc>
          <w:tcPr>
            <w:tcW w:w="4927" w:type="dxa"/>
            <w:vAlign w:val="center"/>
          </w:tcPr>
          <w:p w14:paraId="29C23C97">
            <w:pPr>
              <w:keepNext w:val="0"/>
              <w:keepLines w:val="0"/>
              <w:pageBreakBefore w:val="0"/>
              <w:kinsoku/>
              <w:wordWrap w:val="0"/>
              <w:overflowPunct/>
              <w:topLinePunct/>
              <w:autoSpaceDE/>
              <w:autoSpaceDN/>
              <w:bidi w:val="0"/>
              <w:snapToGrid/>
              <w:spacing w:line="520" w:lineRule="exact"/>
              <w:jc w:val="left"/>
              <w:textAlignment w:val="auto"/>
              <w:rPr>
                <w:rFonts w:hint="eastAsia" w:ascii="宋体" w:hAnsi="宋体" w:eastAsia="宋体" w:cs="宋体"/>
                <w:bCs/>
                <w:sz w:val="21"/>
                <w:szCs w:val="21"/>
              </w:rPr>
            </w:pPr>
            <w:r>
              <w:rPr>
                <w:rFonts w:hint="eastAsia" w:ascii="宋体" w:hAnsi="宋体" w:eastAsia="宋体" w:cs="宋体"/>
                <w:bCs/>
                <w:sz w:val="21"/>
                <w:szCs w:val="21"/>
              </w:rPr>
              <w:t>出现无证人员、车辆进入厂区而未有效制止</w:t>
            </w:r>
          </w:p>
        </w:tc>
        <w:tc>
          <w:tcPr>
            <w:tcW w:w="3051" w:type="dxa"/>
            <w:vAlign w:val="center"/>
          </w:tcPr>
          <w:p w14:paraId="21C1867A">
            <w:pPr>
              <w:keepNext w:val="0"/>
              <w:keepLines w:val="0"/>
              <w:pageBreakBefore w:val="0"/>
              <w:kinsoku/>
              <w:wordWrap w:val="0"/>
              <w:overflowPunct/>
              <w:topLinePunct/>
              <w:autoSpaceDE/>
              <w:autoSpaceDN/>
              <w:bidi w:val="0"/>
              <w:snapToGrid/>
              <w:spacing w:line="520" w:lineRule="exact"/>
              <w:jc w:val="left"/>
              <w:textAlignment w:val="auto"/>
              <w:rPr>
                <w:rFonts w:hint="eastAsia" w:ascii="宋体" w:hAnsi="宋体" w:eastAsia="宋体" w:cs="宋体"/>
                <w:bCs/>
                <w:sz w:val="21"/>
                <w:szCs w:val="21"/>
              </w:rPr>
            </w:pPr>
            <w:r>
              <w:rPr>
                <w:rFonts w:hint="eastAsia" w:ascii="宋体" w:hAnsi="宋体" w:eastAsia="宋体" w:cs="宋体"/>
                <w:bCs/>
                <w:sz w:val="21"/>
                <w:szCs w:val="21"/>
              </w:rPr>
              <w:t>每发现一次考核</w:t>
            </w:r>
            <w:r>
              <w:rPr>
                <w:rFonts w:hint="eastAsia" w:ascii="宋体" w:hAnsi="宋体" w:eastAsia="宋体" w:cs="宋体"/>
                <w:bCs/>
                <w:sz w:val="21"/>
                <w:szCs w:val="21"/>
                <w:lang w:val="en-US" w:eastAsia="zh-CN"/>
              </w:rPr>
              <w:t>2</w:t>
            </w:r>
            <w:r>
              <w:rPr>
                <w:rFonts w:hint="eastAsia" w:ascii="宋体" w:hAnsi="宋体" w:eastAsia="宋体" w:cs="宋体"/>
                <w:bCs/>
                <w:sz w:val="21"/>
                <w:szCs w:val="21"/>
              </w:rPr>
              <w:t>00元</w:t>
            </w:r>
          </w:p>
        </w:tc>
      </w:tr>
      <w:tr w14:paraId="0DA31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4B34BC31">
            <w:pPr>
              <w:keepNext w:val="0"/>
              <w:keepLines w:val="0"/>
              <w:pageBreakBefore w:val="0"/>
              <w:kinsoku/>
              <w:wordWrap w:val="0"/>
              <w:overflowPunct/>
              <w:topLinePunct/>
              <w:autoSpaceDE/>
              <w:autoSpaceDN/>
              <w:bidi w:val="0"/>
              <w:snapToGrid/>
              <w:spacing w:line="520" w:lineRule="exact"/>
              <w:jc w:val="center"/>
              <w:textAlignment w:val="auto"/>
              <w:rPr>
                <w:rFonts w:hint="eastAsia" w:ascii="宋体" w:hAnsi="宋体" w:eastAsia="宋体" w:cs="宋体"/>
                <w:bCs/>
                <w:sz w:val="21"/>
                <w:szCs w:val="21"/>
              </w:rPr>
            </w:pPr>
            <w:r>
              <w:rPr>
                <w:rFonts w:hint="eastAsia" w:ascii="宋体" w:hAnsi="宋体" w:eastAsia="宋体" w:cs="宋体"/>
                <w:bCs/>
                <w:sz w:val="21"/>
                <w:szCs w:val="21"/>
              </w:rPr>
              <w:t>18</w:t>
            </w:r>
          </w:p>
        </w:tc>
        <w:tc>
          <w:tcPr>
            <w:tcW w:w="4927" w:type="dxa"/>
            <w:vAlign w:val="center"/>
          </w:tcPr>
          <w:p w14:paraId="55CDD726">
            <w:pPr>
              <w:keepNext w:val="0"/>
              <w:keepLines w:val="0"/>
              <w:pageBreakBefore w:val="0"/>
              <w:kinsoku/>
              <w:wordWrap w:val="0"/>
              <w:overflowPunct/>
              <w:topLinePunct/>
              <w:autoSpaceDE/>
              <w:autoSpaceDN/>
              <w:bidi w:val="0"/>
              <w:snapToGrid/>
              <w:spacing w:line="520" w:lineRule="exact"/>
              <w:jc w:val="left"/>
              <w:textAlignment w:val="auto"/>
              <w:rPr>
                <w:rFonts w:hint="eastAsia" w:ascii="宋体" w:hAnsi="宋体" w:eastAsia="宋体" w:cs="宋体"/>
                <w:bCs/>
                <w:sz w:val="21"/>
                <w:szCs w:val="21"/>
              </w:rPr>
            </w:pPr>
            <w:r>
              <w:rPr>
                <w:rFonts w:hint="eastAsia" w:ascii="宋体" w:hAnsi="宋体" w:eastAsia="宋体" w:cs="宋体"/>
                <w:bCs/>
                <w:sz w:val="21"/>
                <w:szCs w:val="21"/>
              </w:rPr>
              <w:t>聘用的保安人员达不到上岗条件，不及时更换</w:t>
            </w:r>
          </w:p>
        </w:tc>
        <w:tc>
          <w:tcPr>
            <w:tcW w:w="3051" w:type="dxa"/>
            <w:vAlign w:val="center"/>
          </w:tcPr>
          <w:p w14:paraId="3F675B3D">
            <w:pPr>
              <w:keepNext w:val="0"/>
              <w:keepLines w:val="0"/>
              <w:pageBreakBefore w:val="0"/>
              <w:kinsoku/>
              <w:wordWrap w:val="0"/>
              <w:overflowPunct/>
              <w:topLinePunct/>
              <w:autoSpaceDE/>
              <w:autoSpaceDN/>
              <w:bidi w:val="0"/>
              <w:snapToGrid/>
              <w:spacing w:line="520" w:lineRule="exact"/>
              <w:jc w:val="left"/>
              <w:textAlignment w:val="auto"/>
              <w:rPr>
                <w:rFonts w:hint="eastAsia" w:ascii="宋体" w:hAnsi="宋体" w:eastAsia="宋体" w:cs="宋体"/>
                <w:bCs/>
                <w:sz w:val="21"/>
                <w:szCs w:val="21"/>
              </w:rPr>
            </w:pPr>
            <w:r>
              <w:rPr>
                <w:rFonts w:hint="eastAsia" w:ascii="宋体" w:hAnsi="宋体" w:eastAsia="宋体" w:cs="宋体"/>
                <w:bCs/>
                <w:sz w:val="21"/>
                <w:szCs w:val="21"/>
              </w:rPr>
              <w:t>每发现一次考核</w:t>
            </w:r>
            <w:r>
              <w:rPr>
                <w:rFonts w:hint="eastAsia" w:ascii="宋体" w:hAnsi="宋体" w:eastAsia="宋体" w:cs="宋体"/>
                <w:bCs/>
                <w:sz w:val="21"/>
                <w:szCs w:val="21"/>
                <w:lang w:val="en-US" w:eastAsia="zh-CN"/>
              </w:rPr>
              <w:t>2</w:t>
            </w:r>
            <w:r>
              <w:rPr>
                <w:rFonts w:hint="eastAsia" w:ascii="宋体" w:hAnsi="宋体" w:eastAsia="宋体" w:cs="宋体"/>
                <w:bCs/>
                <w:sz w:val="21"/>
                <w:szCs w:val="21"/>
              </w:rPr>
              <w:t>00元</w:t>
            </w:r>
          </w:p>
        </w:tc>
      </w:tr>
      <w:tr w14:paraId="58FF1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60B22F30">
            <w:pPr>
              <w:keepNext w:val="0"/>
              <w:keepLines w:val="0"/>
              <w:pageBreakBefore w:val="0"/>
              <w:kinsoku/>
              <w:wordWrap w:val="0"/>
              <w:overflowPunct/>
              <w:topLinePunct/>
              <w:autoSpaceDE/>
              <w:autoSpaceDN/>
              <w:bidi w:val="0"/>
              <w:snapToGrid/>
              <w:spacing w:line="520" w:lineRule="exact"/>
              <w:jc w:val="center"/>
              <w:textAlignment w:val="auto"/>
              <w:rPr>
                <w:rFonts w:hint="eastAsia" w:ascii="宋体" w:hAnsi="宋体" w:eastAsia="宋体" w:cs="宋体"/>
                <w:bCs/>
                <w:sz w:val="21"/>
                <w:szCs w:val="21"/>
              </w:rPr>
            </w:pPr>
            <w:r>
              <w:rPr>
                <w:rFonts w:hint="eastAsia" w:ascii="宋体" w:hAnsi="宋体" w:eastAsia="宋体" w:cs="宋体"/>
                <w:bCs/>
                <w:sz w:val="21"/>
                <w:szCs w:val="21"/>
              </w:rPr>
              <w:t>19</w:t>
            </w:r>
          </w:p>
        </w:tc>
        <w:tc>
          <w:tcPr>
            <w:tcW w:w="4927" w:type="dxa"/>
            <w:vAlign w:val="center"/>
          </w:tcPr>
          <w:p w14:paraId="31603F7D">
            <w:pPr>
              <w:keepNext w:val="0"/>
              <w:keepLines w:val="0"/>
              <w:pageBreakBefore w:val="0"/>
              <w:kinsoku/>
              <w:wordWrap w:val="0"/>
              <w:overflowPunct/>
              <w:topLinePunct/>
              <w:autoSpaceDE/>
              <w:autoSpaceDN/>
              <w:bidi w:val="0"/>
              <w:snapToGrid/>
              <w:spacing w:line="520" w:lineRule="exact"/>
              <w:jc w:val="left"/>
              <w:textAlignment w:val="auto"/>
              <w:rPr>
                <w:rFonts w:hint="eastAsia" w:ascii="宋体" w:hAnsi="宋体" w:eastAsia="宋体" w:cs="宋体"/>
                <w:bCs/>
                <w:sz w:val="21"/>
                <w:szCs w:val="21"/>
              </w:rPr>
            </w:pPr>
            <w:r>
              <w:rPr>
                <w:rFonts w:hint="eastAsia" w:ascii="宋体" w:hAnsi="宋体" w:eastAsia="宋体" w:cs="宋体"/>
                <w:bCs/>
                <w:sz w:val="21"/>
                <w:szCs w:val="21"/>
              </w:rPr>
              <w:t>消防定期检查（巡查）不到位</w:t>
            </w:r>
          </w:p>
        </w:tc>
        <w:tc>
          <w:tcPr>
            <w:tcW w:w="3051" w:type="dxa"/>
            <w:vAlign w:val="center"/>
          </w:tcPr>
          <w:p w14:paraId="493BEE6F">
            <w:pPr>
              <w:keepNext w:val="0"/>
              <w:keepLines w:val="0"/>
              <w:pageBreakBefore w:val="0"/>
              <w:kinsoku/>
              <w:wordWrap w:val="0"/>
              <w:overflowPunct/>
              <w:topLinePunct/>
              <w:autoSpaceDE/>
              <w:autoSpaceDN/>
              <w:bidi w:val="0"/>
              <w:snapToGrid/>
              <w:spacing w:line="520" w:lineRule="exact"/>
              <w:jc w:val="left"/>
              <w:textAlignment w:val="auto"/>
              <w:rPr>
                <w:rFonts w:hint="eastAsia" w:ascii="宋体" w:hAnsi="宋体" w:eastAsia="宋体" w:cs="宋体"/>
                <w:bCs/>
                <w:sz w:val="21"/>
                <w:szCs w:val="21"/>
              </w:rPr>
            </w:pPr>
            <w:r>
              <w:rPr>
                <w:rFonts w:hint="eastAsia" w:ascii="宋体" w:hAnsi="宋体" w:eastAsia="宋体" w:cs="宋体"/>
                <w:bCs/>
                <w:sz w:val="21"/>
                <w:szCs w:val="21"/>
              </w:rPr>
              <w:t>每发现一次考核200元</w:t>
            </w:r>
          </w:p>
        </w:tc>
      </w:tr>
      <w:tr w14:paraId="4FB1C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trPr>
        <w:tc>
          <w:tcPr>
            <w:tcW w:w="851" w:type="dxa"/>
            <w:vAlign w:val="center"/>
          </w:tcPr>
          <w:p w14:paraId="3F760556">
            <w:pPr>
              <w:keepNext w:val="0"/>
              <w:keepLines w:val="0"/>
              <w:pageBreakBefore w:val="0"/>
              <w:kinsoku/>
              <w:wordWrap w:val="0"/>
              <w:overflowPunct/>
              <w:topLinePunct/>
              <w:autoSpaceDE/>
              <w:autoSpaceDN/>
              <w:bidi w:val="0"/>
              <w:snapToGrid/>
              <w:spacing w:line="520" w:lineRule="exact"/>
              <w:jc w:val="center"/>
              <w:textAlignment w:val="auto"/>
              <w:rPr>
                <w:rFonts w:hint="eastAsia" w:ascii="宋体" w:hAnsi="宋体" w:eastAsia="宋体" w:cs="宋体"/>
                <w:bCs/>
                <w:sz w:val="21"/>
                <w:szCs w:val="21"/>
              </w:rPr>
            </w:pPr>
            <w:r>
              <w:rPr>
                <w:rFonts w:hint="eastAsia" w:ascii="宋体" w:hAnsi="宋体" w:eastAsia="宋体" w:cs="宋体"/>
                <w:bCs/>
                <w:sz w:val="21"/>
                <w:szCs w:val="21"/>
              </w:rPr>
              <w:t>22</w:t>
            </w:r>
          </w:p>
        </w:tc>
        <w:tc>
          <w:tcPr>
            <w:tcW w:w="4927" w:type="dxa"/>
            <w:vAlign w:val="center"/>
          </w:tcPr>
          <w:p w14:paraId="03A5F3A8">
            <w:pPr>
              <w:keepNext w:val="0"/>
              <w:keepLines w:val="0"/>
              <w:pageBreakBefore w:val="0"/>
              <w:kinsoku/>
              <w:wordWrap w:val="0"/>
              <w:overflowPunct/>
              <w:topLinePunct/>
              <w:autoSpaceDE/>
              <w:autoSpaceDN/>
              <w:bidi w:val="0"/>
              <w:snapToGrid/>
              <w:spacing w:line="520" w:lineRule="exact"/>
              <w:jc w:val="left"/>
              <w:textAlignment w:val="auto"/>
              <w:rPr>
                <w:rFonts w:hint="eastAsia" w:ascii="宋体" w:hAnsi="宋体" w:eastAsia="宋体" w:cs="宋体"/>
                <w:bCs/>
                <w:sz w:val="21"/>
                <w:szCs w:val="21"/>
              </w:rPr>
            </w:pPr>
            <w:r>
              <w:rPr>
                <w:rFonts w:hint="eastAsia" w:ascii="宋体" w:hAnsi="宋体" w:eastAsia="宋体" w:cs="宋体"/>
                <w:bCs/>
                <w:sz w:val="21"/>
                <w:szCs w:val="21"/>
              </w:rPr>
              <w:t>安排工作未按时完成或不服从工作安排</w:t>
            </w:r>
          </w:p>
        </w:tc>
        <w:tc>
          <w:tcPr>
            <w:tcW w:w="3051" w:type="dxa"/>
            <w:vAlign w:val="center"/>
          </w:tcPr>
          <w:p w14:paraId="32777AE1">
            <w:pPr>
              <w:keepNext w:val="0"/>
              <w:keepLines w:val="0"/>
              <w:pageBreakBefore w:val="0"/>
              <w:kinsoku/>
              <w:wordWrap w:val="0"/>
              <w:overflowPunct/>
              <w:topLinePunct/>
              <w:autoSpaceDE/>
              <w:autoSpaceDN/>
              <w:bidi w:val="0"/>
              <w:snapToGrid/>
              <w:spacing w:line="520" w:lineRule="exact"/>
              <w:jc w:val="left"/>
              <w:textAlignment w:val="auto"/>
              <w:rPr>
                <w:rFonts w:hint="eastAsia" w:ascii="宋体" w:hAnsi="宋体" w:eastAsia="宋体" w:cs="宋体"/>
                <w:bCs/>
                <w:sz w:val="21"/>
                <w:szCs w:val="21"/>
              </w:rPr>
            </w:pPr>
            <w:r>
              <w:rPr>
                <w:rFonts w:hint="eastAsia" w:ascii="宋体" w:hAnsi="宋体" w:eastAsia="宋体" w:cs="宋体"/>
                <w:bCs/>
                <w:sz w:val="21"/>
                <w:szCs w:val="21"/>
              </w:rPr>
              <w:t>每发现一次考核</w:t>
            </w:r>
            <w:r>
              <w:rPr>
                <w:rFonts w:hint="eastAsia" w:ascii="宋体" w:hAnsi="宋体" w:eastAsia="宋体" w:cs="宋体"/>
                <w:bCs/>
                <w:sz w:val="21"/>
                <w:szCs w:val="21"/>
                <w:lang w:val="en-US" w:eastAsia="zh-CN"/>
              </w:rPr>
              <w:t>1</w:t>
            </w:r>
            <w:r>
              <w:rPr>
                <w:rFonts w:hint="eastAsia" w:ascii="宋体" w:hAnsi="宋体" w:eastAsia="宋体" w:cs="宋体"/>
                <w:bCs/>
                <w:sz w:val="21"/>
                <w:szCs w:val="21"/>
              </w:rPr>
              <w:t>00元</w:t>
            </w:r>
          </w:p>
        </w:tc>
      </w:tr>
      <w:tr w14:paraId="2C7F2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trPr>
        <w:tc>
          <w:tcPr>
            <w:tcW w:w="851" w:type="dxa"/>
            <w:vAlign w:val="center"/>
          </w:tcPr>
          <w:p w14:paraId="3349A64C">
            <w:pPr>
              <w:keepNext w:val="0"/>
              <w:keepLines w:val="0"/>
              <w:pageBreakBefore w:val="0"/>
              <w:kinsoku/>
              <w:wordWrap w:val="0"/>
              <w:overflowPunct/>
              <w:topLinePunct/>
              <w:autoSpaceDE/>
              <w:autoSpaceDN/>
              <w:bidi w:val="0"/>
              <w:snapToGrid/>
              <w:spacing w:line="520" w:lineRule="exact"/>
              <w:jc w:val="center"/>
              <w:textAlignment w:val="auto"/>
              <w:rPr>
                <w:rFonts w:hint="eastAsia" w:ascii="宋体" w:hAnsi="宋体" w:eastAsia="宋体" w:cs="宋体"/>
                <w:bCs/>
                <w:sz w:val="21"/>
                <w:szCs w:val="21"/>
              </w:rPr>
            </w:pPr>
            <w:r>
              <w:rPr>
                <w:rFonts w:hint="eastAsia" w:ascii="宋体" w:hAnsi="宋体" w:eastAsia="宋体" w:cs="宋体"/>
                <w:bCs/>
                <w:sz w:val="21"/>
                <w:szCs w:val="21"/>
              </w:rPr>
              <w:t>21</w:t>
            </w:r>
          </w:p>
        </w:tc>
        <w:tc>
          <w:tcPr>
            <w:tcW w:w="4927" w:type="dxa"/>
            <w:vAlign w:val="center"/>
          </w:tcPr>
          <w:p w14:paraId="591018DD">
            <w:pPr>
              <w:keepNext w:val="0"/>
              <w:keepLines w:val="0"/>
              <w:pageBreakBefore w:val="0"/>
              <w:kinsoku/>
              <w:wordWrap w:val="0"/>
              <w:overflowPunct/>
              <w:topLinePunct/>
              <w:autoSpaceDE/>
              <w:autoSpaceDN/>
              <w:bidi w:val="0"/>
              <w:snapToGrid/>
              <w:spacing w:line="520" w:lineRule="exact"/>
              <w:jc w:val="left"/>
              <w:textAlignment w:val="auto"/>
              <w:rPr>
                <w:rFonts w:hint="eastAsia" w:ascii="宋体" w:hAnsi="宋体" w:eastAsia="宋体" w:cs="宋体"/>
                <w:bCs/>
                <w:sz w:val="21"/>
                <w:szCs w:val="21"/>
              </w:rPr>
            </w:pPr>
            <w:r>
              <w:rPr>
                <w:rFonts w:hint="eastAsia" w:ascii="宋体" w:hAnsi="宋体" w:eastAsia="宋体" w:cs="宋体"/>
                <w:bCs/>
                <w:sz w:val="21"/>
                <w:szCs w:val="21"/>
              </w:rPr>
              <w:t>发生突发事件或工作中出现问题未及时汇报</w:t>
            </w:r>
          </w:p>
        </w:tc>
        <w:tc>
          <w:tcPr>
            <w:tcW w:w="3051" w:type="dxa"/>
            <w:vAlign w:val="center"/>
          </w:tcPr>
          <w:p w14:paraId="76FC8D91">
            <w:pPr>
              <w:keepNext w:val="0"/>
              <w:keepLines w:val="0"/>
              <w:pageBreakBefore w:val="0"/>
              <w:kinsoku/>
              <w:wordWrap w:val="0"/>
              <w:overflowPunct/>
              <w:topLinePunct/>
              <w:autoSpaceDE/>
              <w:autoSpaceDN/>
              <w:bidi w:val="0"/>
              <w:snapToGrid/>
              <w:spacing w:line="520" w:lineRule="exact"/>
              <w:jc w:val="left"/>
              <w:textAlignment w:val="auto"/>
              <w:rPr>
                <w:rFonts w:hint="eastAsia" w:ascii="宋体" w:hAnsi="宋体" w:eastAsia="宋体" w:cs="宋体"/>
                <w:bCs/>
                <w:sz w:val="21"/>
                <w:szCs w:val="21"/>
              </w:rPr>
            </w:pPr>
            <w:r>
              <w:rPr>
                <w:rFonts w:hint="eastAsia" w:ascii="宋体" w:hAnsi="宋体" w:eastAsia="宋体" w:cs="宋体"/>
                <w:bCs/>
                <w:sz w:val="21"/>
                <w:szCs w:val="21"/>
              </w:rPr>
              <w:t>每发现一次考核</w:t>
            </w:r>
            <w:r>
              <w:rPr>
                <w:rFonts w:hint="eastAsia" w:ascii="宋体" w:hAnsi="宋体" w:eastAsia="宋体" w:cs="宋体"/>
                <w:bCs/>
                <w:sz w:val="21"/>
                <w:szCs w:val="21"/>
                <w:lang w:val="en-US" w:eastAsia="zh-CN"/>
              </w:rPr>
              <w:t>1</w:t>
            </w:r>
            <w:r>
              <w:rPr>
                <w:rFonts w:hint="eastAsia" w:ascii="宋体" w:hAnsi="宋体" w:eastAsia="宋体" w:cs="宋体"/>
                <w:bCs/>
                <w:sz w:val="21"/>
                <w:szCs w:val="21"/>
              </w:rPr>
              <w:t>00元</w:t>
            </w:r>
          </w:p>
        </w:tc>
      </w:tr>
      <w:tr w14:paraId="1BCD0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trPr>
        <w:tc>
          <w:tcPr>
            <w:tcW w:w="851" w:type="dxa"/>
            <w:vAlign w:val="center"/>
          </w:tcPr>
          <w:p w14:paraId="6A86E261">
            <w:pPr>
              <w:keepNext w:val="0"/>
              <w:keepLines w:val="0"/>
              <w:pageBreakBefore w:val="0"/>
              <w:kinsoku/>
              <w:wordWrap w:val="0"/>
              <w:overflowPunct/>
              <w:topLinePunct/>
              <w:autoSpaceDE/>
              <w:autoSpaceDN/>
              <w:bidi w:val="0"/>
              <w:snapToGrid/>
              <w:spacing w:line="520" w:lineRule="exact"/>
              <w:jc w:val="center"/>
              <w:textAlignment w:val="auto"/>
              <w:rPr>
                <w:rFonts w:hint="eastAsia" w:ascii="宋体" w:hAnsi="宋体" w:eastAsia="宋体" w:cs="宋体"/>
                <w:bCs/>
                <w:sz w:val="21"/>
                <w:szCs w:val="21"/>
              </w:rPr>
            </w:pPr>
            <w:r>
              <w:rPr>
                <w:rFonts w:hint="eastAsia" w:ascii="宋体" w:hAnsi="宋体" w:eastAsia="宋体" w:cs="宋体"/>
                <w:bCs/>
                <w:sz w:val="21"/>
                <w:szCs w:val="21"/>
              </w:rPr>
              <w:t>22</w:t>
            </w:r>
          </w:p>
        </w:tc>
        <w:tc>
          <w:tcPr>
            <w:tcW w:w="4927" w:type="dxa"/>
            <w:vAlign w:val="center"/>
          </w:tcPr>
          <w:p w14:paraId="78649655">
            <w:pPr>
              <w:keepNext w:val="0"/>
              <w:keepLines w:val="0"/>
              <w:pageBreakBefore w:val="0"/>
              <w:kinsoku/>
              <w:wordWrap w:val="0"/>
              <w:overflowPunct/>
              <w:topLinePunct/>
              <w:autoSpaceDE/>
              <w:autoSpaceDN/>
              <w:bidi w:val="0"/>
              <w:snapToGrid/>
              <w:spacing w:line="520" w:lineRule="exact"/>
              <w:jc w:val="left"/>
              <w:textAlignment w:val="auto"/>
              <w:rPr>
                <w:rFonts w:hint="eastAsia" w:ascii="宋体" w:hAnsi="宋体" w:eastAsia="宋体" w:cs="宋体"/>
                <w:bCs/>
                <w:sz w:val="21"/>
                <w:szCs w:val="21"/>
              </w:rPr>
            </w:pPr>
            <w:r>
              <w:rPr>
                <w:rFonts w:hint="eastAsia" w:ascii="宋体" w:hAnsi="宋体" w:eastAsia="宋体" w:cs="宋体"/>
                <w:bCs/>
                <w:color w:val="000000"/>
                <w:kern w:val="0"/>
                <w:sz w:val="21"/>
                <w:szCs w:val="21"/>
              </w:rPr>
              <w:t>不按规定路线巡逻签到</w:t>
            </w:r>
          </w:p>
        </w:tc>
        <w:tc>
          <w:tcPr>
            <w:tcW w:w="3051" w:type="dxa"/>
            <w:vAlign w:val="center"/>
          </w:tcPr>
          <w:p w14:paraId="0FF2D81D">
            <w:pPr>
              <w:keepNext w:val="0"/>
              <w:keepLines w:val="0"/>
              <w:pageBreakBefore w:val="0"/>
              <w:kinsoku/>
              <w:wordWrap w:val="0"/>
              <w:overflowPunct/>
              <w:topLinePunct/>
              <w:autoSpaceDE/>
              <w:autoSpaceDN/>
              <w:bidi w:val="0"/>
              <w:snapToGrid/>
              <w:spacing w:line="520" w:lineRule="exact"/>
              <w:jc w:val="left"/>
              <w:textAlignment w:val="auto"/>
              <w:rPr>
                <w:rFonts w:hint="eastAsia" w:ascii="宋体" w:hAnsi="宋体" w:eastAsia="宋体" w:cs="宋体"/>
                <w:bCs/>
                <w:sz w:val="21"/>
                <w:szCs w:val="21"/>
              </w:rPr>
            </w:pPr>
            <w:r>
              <w:rPr>
                <w:rFonts w:hint="eastAsia" w:ascii="宋体" w:hAnsi="宋体" w:eastAsia="宋体" w:cs="宋体"/>
                <w:bCs/>
                <w:sz w:val="21"/>
                <w:szCs w:val="21"/>
              </w:rPr>
              <w:t>每发现一次考核200元</w:t>
            </w:r>
          </w:p>
        </w:tc>
      </w:tr>
    </w:tbl>
    <w:p w14:paraId="56FFE105">
      <w:pPr>
        <w:rPr>
          <w:rFonts w:hint="default" w:ascii="Times New Roman" w:hAnsi="Times New Roman" w:eastAsia="仿宋" w:cs="Times New Roman"/>
          <w:sz w:val="32"/>
          <w:szCs w:val="32"/>
        </w:rPr>
      </w:pPr>
    </w:p>
    <w:p w14:paraId="6FDDF21B">
      <w:pPr>
        <w:widowControl/>
        <w:adjustRightInd w:val="0"/>
        <w:snapToGrid w:val="0"/>
        <w:spacing w:line="500" w:lineRule="exact"/>
        <w:ind w:firstLine="480" w:firstLineChars="200"/>
        <w:rPr>
          <w:rFonts w:ascii="宋体" w:hAnsi="宋体" w:eastAsia="宋体" w:cs="宋体"/>
          <w:bCs/>
          <w:sz w:val="24"/>
          <w:szCs w:val="32"/>
          <w:highlight w:val="none"/>
        </w:rPr>
      </w:pPr>
    </w:p>
    <w:p w14:paraId="156FE76C">
      <w:pPr>
        <w:rPr>
          <w:rFonts w:ascii="宋体" w:hAnsi="宋体" w:eastAsia="宋体" w:cs="宋体"/>
          <w:bCs/>
          <w:sz w:val="24"/>
          <w:szCs w:val="32"/>
          <w:highlight w:val="none"/>
        </w:rPr>
      </w:pPr>
      <w:r>
        <w:rPr>
          <w:rFonts w:ascii="宋体" w:hAnsi="宋体" w:eastAsia="宋体" w:cs="宋体"/>
          <w:bCs/>
          <w:sz w:val="24"/>
          <w:szCs w:val="32"/>
          <w:highlight w:val="none"/>
        </w:rPr>
        <w:br w:type="page"/>
      </w:r>
    </w:p>
    <w:p w14:paraId="1ECA0F94">
      <w:pPr>
        <w:pStyle w:val="24"/>
      </w:pPr>
    </w:p>
    <w:p w14:paraId="6C78CDA1">
      <w:pPr>
        <w:widowControl/>
        <w:adjustRightInd w:val="0"/>
        <w:snapToGrid w:val="0"/>
        <w:spacing w:line="500" w:lineRule="exact"/>
        <w:ind w:firstLine="480" w:firstLineChars="200"/>
        <w:rPr>
          <w:rFonts w:ascii="宋体" w:hAnsi="宋体" w:eastAsia="宋体" w:cs="宋体"/>
          <w:bCs/>
          <w:sz w:val="24"/>
          <w:szCs w:val="32"/>
          <w:highlight w:val="none"/>
        </w:rPr>
      </w:pPr>
    </w:p>
    <w:p w14:paraId="218F05DA">
      <w:pPr>
        <w:widowControl/>
        <w:adjustRightInd w:val="0"/>
        <w:snapToGrid w:val="0"/>
        <w:spacing w:line="500" w:lineRule="exact"/>
        <w:ind w:firstLine="480" w:firstLineChars="200"/>
        <w:rPr>
          <w:rFonts w:ascii="宋体" w:hAnsi="宋体" w:eastAsia="宋体" w:cs="宋体"/>
          <w:bCs/>
          <w:sz w:val="24"/>
          <w:szCs w:val="32"/>
          <w:highlight w:val="none"/>
        </w:rPr>
      </w:pPr>
    </w:p>
    <w:p w14:paraId="30D8C506">
      <w:pPr>
        <w:widowControl/>
        <w:adjustRightInd w:val="0"/>
        <w:snapToGrid w:val="0"/>
        <w:spacing w:line="500" w:lineRule="exact"/>
        <w:ind w:firstLine="480" w:firstLineChars="200"/>
        <w:rPr>
          <w:rFonts w:ascii="宋体" w:hAnsi="宋体" w:eastAsia="宋体" w:cs="宋体"/>
          <w:bCs/>
          <w:sz w:val="24"/>
          <w:szCs w:val="32"/>
          <w:highlight w:val="none"/>
        </w:rPr>
      </w:pPr>
    </w:p>
    <w:p w14:paraId="4A451BA0">
      <w:pPr>
        <w:widowControl/>
        <w:adjustRightInd w:val="0"/>
        <w:snapToGrid w:val="0"/>
        <w:spacing w:line="500" w:lineRule="exact"/>
        <w:ind w:firstLine="480" w:firstLineChars="200"/>
        <w:rPr>
          <w:rFonts w:ascii="宋体" w:hAnsi="宋体" w:eastAsia="宋体" w:cs="宋体"/>
          <w:bCs/>
          <w:sz w:val="24"/>
          <w:szCs w:val="32"/>
          <w:highlight w:val="none"/>
        </w:rPr>
      </w:pPr>
    </w:p>
    <w:p w14:paraId="198F30A0">
      <w:pPr>
        <w:widowControl/>
        <w:adjustRightInd w:val="0"/>
        <w:snapToGrid w:val="0"/>
        <w:spacing w:line="500" w:lineRule="exact"/>
        <w:ind w:firstLine="480" w:firstLineChars="200"/>
        <w:rPr>
          <w:rFonts w:ascii="宋体" w:hAnsi="宋体" w:eastAsia="宋体" w:cs="宋体"/>
          <w:bCs/>
          <w:sz w:val="24"/>
          <w:szCs w:val="32"/>
          <w:highlight w:val="none"/>
        </w:rPr>
      </w:pPr>
    </w:p>
    <w:p w14:paraId="1F02E472">
      <w:pPr>
        <w:widowControl/>
        <w:adjustRightInd w:val="0"/>
        <w:snapToGrid w:val="0"/>
        <w:spacing w:line="500" w:lineRule="exact"/>
        <w:ind w:firstLine="480" w:firstLineChars="200"/>
        <w:rPr>
          <w:rFonts w:ascii="宋体" w:hAnsi="宋体" w:eastAsia="宋体" w:cs="宋体"/>
          <w:bCs/>
          <w:sz w:val="24"/>
          <w:szCs w:val="32"/>
          <w:highlight w:val="none"/>
        </w:rPr>
      </w:pPr>
    </w:p>
    <w:p w14:paraId="55E37384">
      <w:pPr>
        <w:widowControl/>
        <w:adjustRightInd w:val="0"/>
        <w:snapToGrid w:val="0"/>
        <w:spacing w:line="500" w:lineRule="exact"/>
        <w:ind w:firstLine="480" w:firstLineChars="200"/>
        <w:rPr>
          <w:rFonts w:ascii="宋体" w:hAnsi="宋体" w:eastAsia="宋体" w:cs="宋体"/>
          <w:bCs/>
          <w:sz w:val="24"/>
          <w:szCs w:val="32"/>
          <w:highlight w:val="none"/>
        </w:rPr>
      </w:pPr>
    </w:p>
    <w:p w14:paraId="35673104">
      <w:pPr>
        <w:widowControl/>
        <w:adjustRightInd w:val="0"/>
        <w:snapToGrid w:val="0"/>
        <w:spacing w:line="500" w:lineRule="exact"/>
        <w:ind w:firstLine="480" w:firstLineChars="200"/>
        <w:rPr>
          <w:rFonts w:ascii="宋体" w:hAnsi="宋体" w:eastAsia="宋体" w:cs="宋体"/>
          <w:bCs/>
          <w:sz w:val="24"/>
          <w:szCs w:val="32"/>
          <w:highlight w:val="none"/>
        </w:rPr>
      </w:pPr>
    </w:p>
    <w:p w14:paraId="43053F6B">
      <w:pPr>
        <w:pStyle w:val="3"/>
        <w:jc w:val="center"/>
        <w:rPr>
          <w:sz w:val="48"/>
          <w:szCs w:val="48"/>
        </w:rPr>
      </w:pPr>
      <w:bookmarkStart w:id="38" w:name="_Toc22133"/>
      <w:r>
        <w:rPr>
          <w:sz w:val="48"/>
          <w:szCs w:val="48"/>
        </w:rPr>
        <w:t>第</w:t>
      </w:r>
      <w:r>
        <w:rPr>
          <w:rFonts w:hint="eastAsia"/>
          <w:sz w:val="48"/>
          <w:szCs w:val="48"/>
        </w:rPr>
        <w:t>五</w:t>
      </w:r>
      <w:r>
        <w:rPr>
          <w:sz w:val="48"/>
          <w:szCs w:val="48"/>
        </w:rPr>
        <w:t>章</w:t>
      </w:r>
      <w:r>
        <w:rPr>
          <w:rFonts w:hint="eastAsia"/>
          <w:sz w:val="48"/>
          <w:szCs w:val="48"/>
          <w:lang w:val="en-US" w:eastAsia="zh-CN"/>
        </w:rPr>
        <w:t xml:space="preserve">  </w:t>
      </w:r>
      <w:r>
        <w:rPr>
          <w:rFonts w:hint="eastAsia"/>
          <w:sz w:val="48"/>
          <w:szCs w:val="48"/>
        </w:rPr>
        <w:t>采购</w:t>
      </w:r>
      <w:r>
        <w:rPr>
          <w:sz w:val="48"/>
          <w:szCs w:val="48"/>
        </w:rPr>
        <w:t>合同</w:t>
      </w:r>
      <w:bookmarkEnd w:id="38"/>
    </w:p>
    <w:p w14:paraId="5403D3EF">
      <w:pPr>
        <w:widowControl/>
        <w:adjustRightInd w:val="0"/>
        <w:snapToGrid w:val="0"/>
        <w:spacing w:line="500" w:lineRule="exact"/>
        <w:jc w:val="center"/>
        <w:rPr>
          <w:rFonts w:ascii="宋体" w:hAnsi="宋体" w:eastAsia="宋体" w:cs="宋体"/>
          <w:spacing w:val="9"/>
          <w:sz w:val="44"/>
          <w:szCs w:val="44"/>
          <w:highlight w:val="none"/>
          <w14:textOutline w14:w="6540" w14:cap="sq" w14:cmpd="sng" w14:algn="ctr">
            <w14:solidFill>
              <w14:srgbClr w14:val="000000"/>
            </w14:solidFill>
            <w14:prstDash w14:val="solid"/>
            <w14:bevel/>
          </w14:textOutline>
        </w:rPr>
      </w:pPr>
    </w:p>
    <w:p w14:paraId="7D10E26A">
      <w:pPr>
        <w:widowControl/>
        <w:adjustRightInd w:val="0"/>
        <w:snapToGrid w:val="0"/>
        <w:spacing w:line="500" w:lineRule="exact"/>
        <w:jc w:val="center"/>
        <w:rPr>
          <w:rFonts w:ascii="宋体" w:hAnsi="宋体" w:eastAsia="宋体" w:cs="宋体"/>
          <w:spacing w:val="9"/>
          <w:sz w:val="44"/>
          <w:szCs w:val="44"/>
          <w:highlight w:val="none"/>
          <w14:textOutline w14:w="6540" w14:cap="sq" w14:cmpd="sng" w14:algn="ctr">
            <w14:solidFill>
              <w14:srgbClr w14:val="000000"/>
            </w14:solidFill>
            <w14:prstDash w14:val="solid"/>
            <w14:bevel/>
          </w14:textOutline>
        </w:rPr>
      </w:pPr>
    </w:p>
    <w:p w14:paraId="3A2F994C">
      <w:pPr>
        <w:widowControl/>
        <w:adjustRightInd w:val="0"/>
        <w:snapToGrid w:val="0"/>
        <w:spacing w:line="500" w:lineRule="exact"/>
        <w:jc w:val="center"/>
        <w:rPr>
          <w:rFonts w:ascii="宋体" w:hAnsi="宋体" w:eastAsia="宋体" w:cs="宋体"/>
          <w:spacing w:val="9"/>
          <w:sz w:val="44"/>
          <w:szCs w:val="44"/>
          <w:highlight w:val="none"/>
          <w14:textOutline w14:w="6540" w14:cap="sq" w14:cmpd="sng" w14:algn="ctr">
            <w14:solidFill>
              <w14:srgbClr w14:val="000000"/>
            </w14:solidFill>
            <w14:prstDash w14:val="solid"/>
            <w14:bevel/>
          </w14:textOutline>
        </w:rPr>
      </w:pPr>
    </w:p>
    <w:p w14:paraId="6C656260">
      <w:pPr>
        <w:widowControl/>
        <w:jc w:val="left"/>
        <w:rPr>
          <w:rFonts w:hint="eastAsia" w:ascii="宋体" w:hAnsi="宋体" w:eastAsia="宋体" w:cs="宋体"/>
          <w:color w:val="auto"/>
          <w:sz w:val="24"/>
          <w:szCs w:val="24"/>
        </w:rPr>
      </w:pPr>
      <w:r>
        <w:rPr>
          <w:rFonts w:ascii="宋体" w:hAnsi="宋体" w:eastAsia="宋体" w:cs="宋体"/>
          <w:spacing w:val="9"/>
          <w:sz w:val="44"/>
          <w:szCs w:val="44"/>
          <w:highlight w:val="none"/>
          <w14:textOutline w14:w="6540" w14:cap="sq" w14:cmpd="sng" w14:algn="ctr">
            <w14:solidFill>
              <w14:srgbClr w14:val="000000"/>
            </w14:solidFill>
            <w14:prstDash w14:val="solid"/>
            <w14:bevel/>
          </w14:textOutline>
        </w:rPr>
        <w:br w:type="page"/>
      </w:r>
    </w:p>
    <w:p w14:paraId="7692C7B5">
      <w:pPr>
        <w:ind w:firstLine="4480" w:firstLineChars="1400"/>
        <w:jc w:val="righ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合同编号保</w:t>
      </w:r>
    </w:p>
    <w:p w14:paraId="6373FF07">
      <w:pPr>
        <w:ind w:firstLine="1440" w:firstLineChars="200"/>
        <w:jc w:val="both"/>
        <w:rPr>
          <w:rFonts w:hint="default" w:eastAsia="宋体"/>
          <w:sz w:val="72"/>
          <w:szCs w:val="72"/>
          <w:lang w:val="en-US" w:eastAsia="zh-CN"/>
        </w:rPr>
      </w:pPr>
    </w:p>
    <w:p w14:paraId="541D8C07">
      <w:pPr>
        <w:ind w:firstLine="1440" w:firstLineChars="200"/>
        <w:jc w:val="both"/>
        <w:rPr>
          <w:rFonts w:hint="eastAsia"/>
          <w:sz w:val="72"/>
          <w:szCs w:val="72"/>
        </w:rPr>
      </w:pPr>
    </w:p>
    <w:p w14:paraId="3094F192">
      <w:pPr>
        <w:ind w:firstLine="1440" w:firstLineChars="200"/>
        <w:jc w:val="both"/>
        <w:rPr>
          <w:rFonts w:hint="eastAsia" w:ascii="黑体" w:hAnsi="黑体" w:eastAsia="黑体" w:cs="黑体"/>
          <w:sz w:val="72"/>
          <w:szCs w:val="72"/>
        </w:rPr>
      </w:pPr>
      <w:r>
        <w:rPr>
          <w:rFonts w:hint="eastAsia" w:ascii="黑体" w:hAnsi="黑体" w:eastAsia="黑体" w:cs="黑体"/>
          <w:sz w:val="72"/>
          <w:szCs w:val="72"/>
        </w:rPr>
        <w:t>保安服务合同书</w:t>
      </w:r>
    </w:p>
    <w:p w14:paraId="0C80A288">
      <w:pPr>
        <w:ind w:firstLine="2240" w:firstLineChars="700"/>
        <w:jc w:val="left"/>
        <w:rPr>
          <w:rFonts w:hint="eastAsia" w:ascii="黑体" w:hAnsi="黑体" w:eastAsia="黑体" w:cs="黑体"/>
          <w:sz w:val="32"/>
          <w:szCs w:val="32"/>
          <w:lang w:val="en-US" w:eastAsia="zh-CN"/>
        </w:rPr>
      </w:pPr>
    </w:p>
    <w:p w14:paraId="5ED16F8C">
      <w:pPr>
        <w:rPr>
          <w:rFonts w:hint="eastAsia" w:ascii="黑体" w:hAnsi="黑体" w:eastAsia="黑体" w:cs="黑体"/>
          <w:sz w:val="72"/>
          <w:szCs w:val="72"/>
        </w:rPr>
      </w:pPr>
    </w:p>
    <w:p w14:paraId="591F9698">
      <w:pPr>
        <w:rPr>
          <w:rFonts w:hint="eastAsia" w:ascii="黑体" w:hAnsi="黑体" w:eastAsia="黑体" w:cs="黑体"/>
        </w:rPr>
      </w:pPr>
    </w:p>
    <w:p w14:paraId="707E6F50">
      <w:pPr>
        <w:rPr>
          <w:rFonts w:hint="eastAsia" w:ascii="黑体" w:hAnsi="黑体" w:eastAsia="黑体" w:cs="黑体"/>
        </w:rPr>
      </w:pPr>
    </w:p>
    <w:p w14:paraId="502337A0">
      <w:pPr>
        <w:rPr>
          <w:rFonts w:hint="eastAsia" w:ascii="黑体" w:hAnsi="黑体" w:eastAsia="黑体" w:cs="黑体"/>
        </w:rPr>
      </w:pPr>
    </w:p>
    <w:p w14:paraId="721E53BF">
      <w:pPr>
        <w:tabs>
          <w:tab w:val="left" w:pos="1888"/>
        </w:tabs>
        <w:rPr>
          <w:rFonts w:hint="eastAsia" w:ascii="黑体" w:hAnsi="黑体" w:eastAsia="黑体" w:cs="黑体"/>
          <w:lang w:eastAsia="zh-CN"/>
        </w:rPr>
      </w:pPr>
      <w:r>
        <w:rPr>
          <w:rFonts w:hint="eastAsia" w:ascii="黑体" w:hAnsi="黑体" w:eastAsia="黑体" w:cs="黑体"/>
          <w:lang w:eastAsia="zh-CN"/>
        </w:rPr>
        <w:tab/>
      </w:r>
    </w:p>
    <w:p w14:paraId="3E804F69">
      <w:pPr>
        <w:rPr>
          <w:rFonts w:hint="eastAsia" w:ascii="黑体" w:hAnsi="黑体" w:eastAsia="黑体" w:cs="黑体"/>
        </w:rPr>
      </w:pPr>
    </w:p>
    <w:p w14:paraId="44A10DDE">
      <w:pPr>
        <w:ind w:firstLine="1600" w:firstLineChars="500"/>
        <w:jc w:val="both"/>
        <w:rPr>
          <w:rFonts w:hint="eastAsia" w:ascii="黑体" w:hAnsi="黑体" w:eastAsia="黑体" w:cs="黑体"/>
          <w:sz w:val="96"/>
          <w:u w:val="none"/>
          <w:lang w:val="en-US" w:eastAsia="zh-CN"/>
        </w:rPr>
      </w:pPr>
      <w:r>
        <w:rPr>
          <w:rFonts w:hint="eastAsia" w:ascii="黑体" w:hAnsi="黑体" w:eastAsia="黑体" w:cs="黑体"/>
          <w:b w:val="0"/>
          <w:bCs w:val="0"/>
          <w:sz w:val="32"/>
          <w:szCs w:val="32"/>
          <w:lang w:val="en-US" w:eastAsia="zh-CN"/>
        </w:rPr>
        <w:t>甲方：</w:t>
      </w:r>
      <w:r>
        <w:rPr>
          <w:rFonts w:hint="eastAsia" w:ascii="黑体" w:hAnsi="黑体" w:eastAsia="黑体" w:cs="黑体"/>
          <w:b w:val="0"/>
          <w:bCs w:val="0"/>
          <w:sz w:val="32"/>
          <w:szCs w:val="32"/>
          <w:u w:val="single"/>
          <w:lang w:val="en-US" w:eastAsia="zh-CN"/>
        </w:rPr>
        <w:t>济源市人民医院</w:t>
      </w:r>
    </w:p>
    <w:p w14:paraId="2B27E196">
      <w:pPr>
        <w:jc w:val="both"/>
        <w:rPr>
          <w:rFonts w:hint="eastAsia" w:ascii="黑体" w:hAnsi="黑体" w:eastAsia="黑体" w:cs="黑体"/>
          <w:sz w:val="36"/>
          <w:szCs w:val="36"/>
          <w:lang w:val="en-US" w:eastAsia="zh-CN"/>
        </w:rPr>
      </w:pPr>
    </w:p>
    <w:p w14:paraId="4AC66ADB">
      <w:pPr>
        <w:ind w:firstLine="1600" w:firstLineChars="500"/>
        <w:rPr>
          <w:rFonts w:hint="eastAsia" w:ascii="黑体" w:hAnsi="黑体" w:eastAsia="黑体" w:cs="黑体"/>
          <w:b w:val="0"/>
          <w:bCs w:val="0"/>
          <w:sz w:val="32"/>
          <w:szCs w:val="32"/>
          <w:u w:val="single"/>
          <w:lang w:val="en-US" w:eastAsia="zh-CN"/>
        </w:rPr>
      </w:pPr>
      <w:r>
        <w:rPr>
          <w:rFonts w:hint="eastAsia" w:ascii="黑体" w:hAnsi="黑体" w:eastAsia="黑体" w:cs="黑体"/>
          <w:b w:val="0"/>
          <w:bCs w:val="0"/>
          <w:sz w:val="32"/>
          <w:szCs w:val="32"/>
        </w:rPr>
        <w:t>乙方</w:t>
      </w:r>
      <w:r>
        <w:rPr>
          <w:rFonts w:hint="eastAsia" w:ascii="黑体" w:hAnsi="黑体" w:eastAsia="黑体" w:cs="黑体"/>
          <w:b/>
          <w:bCs/>
          <w:sz w:val="32"/>
          <w:szCs w:val="32"/>
          <w:lang w:val="en-US" w:eastAsia="zh-CN"/>
        </w:rPr>
        <w:t>:</w:t>
      </w:r>
    </w:p>
    <w:p w14:paraId="39BDCDD8">
      <w:pPr>
        <w:jc w:val="both"/>
        <w:rPr>
          <w:rFonts w:hint="eastAsia" w:ascii="黑体" w:hAnsi="黑体" w:eastAsia="黑体" w:cs="黑体"/>
          <w:sz w:val="36"/>
          <w:szCs w:val="36"/>
          <w:lang w:val="en-US" w:eastAsia="zh-CN"/>
        </w:rPr>
      </w:pPr>
    </w:p>
    <w:p w14:paraId="3DB6DCFE">
      <w:pPr>
        <w:rPr>
          <w:rFonts w:hint="eastAsia" w:ascii="黑体" w:hAnsi="黑体" w:eastAsia="黑体" w:cs="黑体"/>
          <w:sz w:val="32"/>
          <w:szCs w:val="32"/>
          <w:lang w:eastAsia="zh-CN"/>
        </w:rPr>
      </w:pPr>
    </w:p>
    <w:p w14:paraId="7F75C666">
      <w:pPr>
        <w:ind w:firstLine="1600" w:firstLineChars="500"/>
        <w:rPr>
          <w:rFonts w:hint="eastAsia" w:ascii="黑体" w:hAnsi="黑体" w:eastAsia="黑体" w:cs="黑体"/>
          <w:sz w:val="32"/>
          <w:szCs w:val="32"/>
        </w:rPr>
      </w:pPr>
      <w:r>
        <w:rPr>
          <w:rFonts w:hint="eastAsia" w:ascii="黑体" w:hAnsi="黑体" w:eastAsia="黑体" w:cs="黑体"/>
          <w:sz w:val="32"/>
          <w:szCs w:val="32"/>
        </w:rPr>
        <w:t>日期</w:t>
      </w:r>
      <w:r>
        <w:rPr>
          <w:rFonts w:hint="eastAsia" w:ascii="黑体" w:hAnsi="黑体" w:eastAsia="黑体" w:cs="黑体"/>
          <w:sz w:val="32"/>
          <w:szCs w:val="32"/>
          <w:lang w:eastAsia="zh-CN"/>
        </w:rPr>
        <w:t>：</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年</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月</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日</w:t>
      </w:r>
    </w:p>
    <w:p w14:paraId="0EBDC6CD">
      <w:pPr>
        <w:tabs>
          <w:tab w:val="left" w:pos="2398"/>
        </w:tabs>
        <w:rPr>
          <w:rFonts w:hint="eastAsia" w:ascii="黑体" w:hAnsi="黑体" w:eastAsia="黑体" w:cs="黑体"/>
          <w:sz w:val="32"/>
          <w:szCs w:val="32"/>
        </w:rPr>
      </w:pPr>
    </w:p>
    <w:p w14:paraId="10865C55">
      <w:pPr>
        <w:ind w:firstLine="241" w:firstLineChars="50"/>
        <w:jc w:val="center"/>
        <w:rPr>
          <w:rFonts w:hint="eastAsia"/>
          <w:b/>
          <w:sz w:val="48"/>
          <w:szCs w:val="48"/>
        </w:rPr>
      </w:pPr>
    </w:p>
    <w:p w14:paraId="3B111852">
      <w:pPr>
        <w:ind w:firstLine="241" w:firstLineChars="50"/>
        <w:jc w:val="center"/>
        <w:rPr>
          <w:rFonts w:hint="eastAsia"/>
          <w:b/>
          <w:sz w:val="48"/>
          <w:szCs w:val="48"/>
        </w:rPr>
      </w:pPr>
    </w:p>
    <w:p w14:paraId="34E7F695">
      <w:pPr>
        <w:ind w:firstLine="241" w:firstLineChars="50"/>
        <w:jc w:val="center"/>
        <w:rPr>
          <w:rFonts w:hint="eastAsia"/>
          <w:b/>
          <w:sz w:val="48"/>
          <w:szCs w:val="48"/>
        </w:rPr>
        <w:sectPr>
          <w:footerReference r:id="rId6" w:type="default"/>
          <w:pgSz w:w="11906" w:h="16838"/>
          <w:pgMar w:top="1429" w:right="1497" w:bottom="1417" w:left="1480" w:header="0" w:footer="975" w:gutter="0"/>
          <w:pgNumType w:fmt="decimal" w:start="1"/>
          <w:cols w:space="0" w:num="1"/>
          <w:rtlGutter w:val="0"/>
          <w:docGrid w:linePitch="312" w:charSpace="0"/>
        </w:sectPr>
      </w:pPr>
    </w:p>
    <w:p w14:paraId="09D60F27">
      <w:pPr>
        <w:ind w:firstLine="181" w:firstLineChars="50"/>
        <w:jc w:val="center"/>
        <w:rPr>
          <w:rFonts w:hint="eastAsia"/>
          <w:b/>
          <w:bCs w:val="0"/>
          <w:sz w:val="36"/>
          <w:szCs w:val="36"/>
        </w:rPr>
      </w:pPr>
      <w:r>
        <w:rPr>
          <w:rFonts w:hint="eastAsia"/>
          <w:b/>
          <w:bCs w:val="0"/>
          <w:sz w:val="36"/>
          <w:szCs w:val="36"/>
        </w:rPr>
        <w:t>保安服务合同书</w:t>
      </w:r>
    </w:p>
    <w:p w14:paraId="7701FD59">
      <w:pPr>
        <w:ind w:firstLine="2560" w:firstLineChars="800"/>
        <w:jc w:val="left"/>
        <w:rPr>
          <w:rFonts w:hint="eastAsia" w:ascii="微软雅黑" w:hAnsi="微软雅黑" w:eastAsia="微软雅黑" w:cs="微软雅黑"/>
          <w:b w:val="0"/>
          <w:bCs/>
          <w:sz w:val="32"/>
          <w:szCs w:val="32"/>
          <w:lang w:val="en-US" w:eastAsia="zh-CN"/>
        </w:rPr>
      </w:pPr>
    </w:p>
    <w:p w14:paraId="31F61DCA">
      <w:pPr>
        <w:keepNext w:val="0"/>
        <w:keepLines w:val="0"/>
        <w:pageBreakBefore w:val="0"/>
        <w:kinsoku/>
        <w:wordWrap w:val="0"/>
        <w:overflowPunct/>
        <w:topLinePunct/>
        <w:autoSpaceDE/>
        <w:autoSpaceDN/>
        <w:bidi w:val="0"/>
        <w:spacing w:line="500" w:lineRule="exact"/>
        <w:ind w:left="0" w:firstLine="480" w:firstLineChars="200"/>
        <w:jc w:val="left"/>
        <w:textAlignment w:val="auto"/>
        <w:rPr>
          <w:rFonts w:hint="eastAsia" w:ascii="宋体" w:hAnsi="宋体" w:eastAsia="宋体" w:cs="宋体"/>
          <w:b w:val="0"/>
          <w:bCs/>
          <w:sz w:val="24"/>
          <w:szCs w:val="24"/>
          <w:lang w:eastAsia="zh-CN"/>
        </w:rPr>
      </w:pPr>
      <w:r>
        <w:rPr>
          <w:rFonts w:hint="eastAsia" w:ascii="宋体" w:hAnsi="宋体" w:eastAsia="宋体" w:cs="宋体"/>
          <w:b w:val="0"/>
          <w:bCs/>
          <w:sz w:val="24"/>
          <w:szCs w:val="24"/>
        </w:rPr>
        <w:t>甲方：</w:t>
      </w:r>
      <w:r>
        <w:rPr>
          <w:rFonts w:hint="eastAsia" w:ascii="宋体" w:hAnsi="宋体" w:eastAsia="宋体" w:cs="宋体"/>
          <w:b w:val="0"/>
          <w:bCs/>
          <w:sz w:val="24"/>
          <w:szCs w:val="24"/>
          <w:u w:val="single"/>
          <w:lang w:eastAsia="zh-CN"/>
        </w:rPr>
        <w:t>济源市人民医院</w:t>
      </w:r>
    </w:p>
    <w:p w14:paraId="4553C2F8">
      <w:pPr>
        <w:keepNext w:val="0"/>
        <w:keepLines w:val="0"/>
        <w:pageBreakBefore w:val="0"/>
        <w:kinsoku/>
        <w:wordWrap w:val="0"/>
        <w:overflowPunct/>
        <w:topLinePunct/>
        <w:autoSpaceDE/>
        <w:autoSpaceDN/>
        <w:bidi w:val="0"/>
        <w:spacing w:line="500" w:lineRule="exact"/>
        <w:ind w:left="0" w:firstLine="480" w:firstLineChars="200"/>
        <w:jc w:val="left"/>
        <w:textAlignment w:val="auto"/>
        <w:rPr>
          <w:rFonts w:hint="default" w:ascii="宋体" w:hAnsi="宋体" w:eastAsia="宋体" w:cs="宋体"/>
          <w:b w:val="0"/>
          <w:bCs/>
          <w:sz w:val="24"/>
          <w:szCs w:val="24"/>
          <w:u w:val="single"/>
          <w:lang w:val="en-US" w:eastAsia="zh-CN"/>
        </w:rPr>
      </w:pPr>
      <w:r>
        <w:rPr>
          <w:rFonts w:hint="eastAsia" w:ascii="宋体" w:hAnsi="宋体" w:eastAsia="宋体" w:cs="宋体"/>
          <w:b w:val="0"/>
          <w:bCs/>
          <w:sz w:val="24"/>
          <w:szCs w:val="24"/>
        </w:rPr>
        <w:t>乙方：</w:t>
      </w:r>
    </w:p>
    <w:p w14:paraId="1EE6624F">
      <w:pPr>
        <w:keepNext w:val="0"/>
        <w:keepLines w:val="0"/>
        <w:pageBreakBefore w:val="0"/>
        <w:tabs>
          <w:tab w:val="left" w:pos="672"/>
        </w:tabs>
        <w:kinsoku/>
        <w:wordWrap w:val="0"/>
        <w:overflowPunct/>
        <w:topLinePunct/>
        <w:autoSpaceDE/>
        <w:autoSpaceDN/>
        <w:bidi w:val="0"/>
        <w:spacing w:line="500" w:lineRule="exact"/>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甲方委托乙方提供治安防范服务，并在互惠互利、平等自愿的基础上达成如下协议：</w:t>
      </w:r>
    </w:p>
    <w:p w14:paraId="0DFBB350">
      <w:pPr>
        <w:pStyle w:val="43"/>
        <w:keepNext w:val="0"/>
        <w:keepLines w:val="0"/>
        <w:pageBreakBefore w:val="0"/>
        <w:numPr>
          <w:ilvl w:val="0"/>
          <w:numId w:val="3"/>
        </w:numPr>
        <w:tabs>
          <w:tab w:val="left" w:pos="672"/>
        </w:tabs>
        <w:kinsoku/>
        <w:wordWrap w:val="0"/>
        <w:overflowPunct/>
        <w:topLinePunct/>
        <w:autoSpaceDE/>
        <w:autoSpaceDN/>
        <w:bidi w:val="0"/>
        <w:spacing w:line="500" w:lineRule="exact"/>
        <w:ind w:left="0" w:firstLine="482" w:firstLineChars="200"/>
        <w:jc w:val="left"/>
        <w:textAlignment w:val="auto"/>
        <w:rPr>
          <w:rFonts w:hint="eastAsia" w:ascii="宋体" w:hAnsi="宋体" w:eastAsia="宋体" w:cs="宋体"/>
          <w:b w:val="0"/>
          <w:bCs/>
          <w:sz w:val="24"/>
          <w:szCs w:val="24"/>
        </w:rPr>
      </w:pPr>
      <w:r>
        <w:rPr>
          <w:rFonts w:hint="eastAsia" w:ascii="宋体" w:hAnsi="宋体" w:eastAsia="宋体" w:cs="宋体"/>
          <w:b/>
          <w:bCs w:val="0"/>
          <w:sz w:val="24"/>
          <w:szCs w:val="24"/>
        </w:rPr>
        <w:t>合同人数：</w:t>
      </w:r>
      <w:r>
        <w:rPr>
          <w:rFonts w:hint="eastAsia" w:ascii="宋体" w:hAnsi="宋体" w:eastAsia="宋体" w:cs="宋体"/>
          <w:b w:val="0"/>
          <w:bCs/>
          <w:sz w:val="24"/>
          <w:szCs w:val="24"/>
        </w:rPr>
        <w:t>甲方同意乙方派驻</w:t>
      </w:r>
      <w:r>
        <w:rPr>
          <w:rFonts w:hint="eastAsia" w:ascii="宋体" w:hAnsi="宋体" w:eastAsia="宋体" w:cs="宋体"/>
          <w:b w:val="0"/>
          <w:bCs/>
          <w:sz w:val="24"/>
          <w:szCs w:val="24"/>
          <w:highlight w:val="none"/>
        </w:rPr>
        <w:t>保安</w:t>
      </w:r>
      <w:r>
        <w:rPr>
          <w:rFonts w:hint="eastAsia" w:ascii="宋体" w:hAnsi="宋体" w:eastAsia="宋体" w:cs="宋体"/>
          <w:b w:val="0"/>
          <w:bCs/>
          <w:sz w:val="24"/>
          <w:szCs w:val="24"/>
          <w:highlight w:val="none"/>
          <w:u w:val="single"/>
          <w:lang w:val="en-US" w:eastAsia="zh-CN"/>
        </w:rPr>
        <w:t xml:space="preserve"> 60 </w:t>
      </w:r>
      <w:r>
        <w:rPr>
          <w:rFonts w:hint="eastAsia" w:ascii="宋体" w:hAnsi="宋体" w:eastAsia="宋体" w:cs="宋体"/>
          <w:b w:val="0"/>
          <w:bCs/>
          <w:sz w:val="24"/>
          <w:szCs w:val="24"/>
          <w:highlight w:val="none"/>
        </w:rPr>
        <w:t>名</w:t>
      </w:r>
    </w:p>
    <w:p w14:paraId="158B26AB">
      <w:pPr>
        <w:pStyle w:val="43"/>
        <w:keepNext w:val="0"/>
        <w:keepLines w:val="0"/>
        <w:pageBreakBefore w:val="0"/>
        <w:numPr>
          <w:ilvl w:val="0"/>
          <w:numId w:val="0"/>
        </w:numPr>
        <w:tabs>
          <w:tab w:val="left" w:pos="672"/>
        </w:tabs>
        <w:kinsoku/>
        <w:wordWrap w:val="0"/>
        <w:overflowPunct/>
        <w:topLinePunct/>
        <w:autoSpaceDE/>
        <w:autoSpaceDN/>
        <w:bidi w:val="0"/>
        <w:spacing w:line="500" w:lineRule="exact"/>
        <w:ind w:left="0" w:leftChars="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保安条件：要求保安身强力壮，素质较高，责任心强，能胜任医院安保工作者。</w:t>
      </w:r>
    </w:p>
    <w:p w14:paraId="5AC35B71">
      <w:pPr>
        <w:pStyle w:val="43"/>
        <w:keepNext w:val="0"/>
        <w:keepLines w:val="0"/>
        <w:pageBreakBefore w:val="0"/>
        <w:widowControl w:val="0"/>
        <w:numPr>
          <w:ilvl w:val="0"/>
          <w:numId w:val="3"/>
        </w:numPr>
        <w:tabs>
          <w:tab w:val="left" w:pos="672"/>
        </w:tabs>
        <w:kinsoku/>
        <w:wordWrap w:val="0"/>
        <w:overflowPunct/>
        <w:topLinePunct/>
        <w:autoSpaceDE/>
        <w:autoSpaceDN/>
        <w:bidi w:val="0"/>
        <w:adjustRightInd/>
        <w:snapToGrid/>
        <w:spacing w:line="500" w:lineRule="exact"/>
        <w:ind w:left="0" w:firstLine="482" w:firstLineChars="200"/>
        <w:jc w:val="left"/>
        <w:textAlignment w:val="auto"/>
        <w:rPr>
          <w:rFonts w:hint="eastAsia" w:ascii="宋体" w:hAnsi="宋体" w:eastAsia="宋体" w:cs="宋体"/>
          <w:b w:val="0"/>
          <w:bCs/>
          <w:sz w:val="24"/>
          <w:szCs w:val="24"/>
        </w:rPr>
      </w:pPr>
      <w:r>
        <w:rPr>
          <w:rFonts w:hint="eastAsia" w:ascii="宋体" w:hAnsi="宋体" w:eastAsia="宋体" w:cs="宋体"/>
          <w:b/>
          <w:bCs w:val="0"/>
          <w:sz w:val="24"/>
          <w:szCs w:val="24"/>
        </w:rPr>
        <w:t>防范区域及职责：</w:t>
      </w:r>
      <w:r>
        <w:rPr>
          <w:rFonts w:hint="eastAsia" w:ascii="宋体" w:hAnsi="宋体" w:eastAsia="宋体" w:cs="宋体"/>
          <w:b w:val="0"/>
          <w:bCs/>
          <w:sz w:val="24"/>
          <w:szCs w:val="24"/>
          <w:lang w:eastAsia="zh-CN"/>
        </w:rPr>
        <w:t>甲方所有区域秩序维护治安安全及消防安全包括家属院秩序维护及安全。</w:t>
      </w:r>
    </w:p>
    <w:p w14:paraId="6F5569E9">
      <w:pPr>
        <w:pStyle w:val="43"/>
        <w:keepNext w:val="0"/>
        <w:keepLines w:val="0"/>
        <w:pageBreakBefore w:val="0"/>
        <w:widowControl w:val="0"/>
        <w:numPr>
          <w:ilvl w:val="0"/>
          <w:numId w:val="3"/>
        </w:numPr>
        <w:tabs>
          <w:tab w:val="left" w:pos="672"/>
        </w:tabs>
        <w:kinsoku/>
        <w:wordWrap w:val="0"/>
        <w:overflowPunct/>
        <w:topLinePunct/>
        <w:autoSpaceDE/>
        <w:autoSpaceDN/>
        <w:bidi w:val="0"/>
        <w:adjustRightInd/>
        <w:snapToGrid/>
        <w:spacing w:line="500" w:lineRule="exact"/>
        <w:ind w:left="0" w:leftChars="0" w:firstLine="482" w:firstLineChars="200"/>
        <w:jc w:val="left"/>
        <w:textAlignment w:val="auto"/>
        <w:rPr>
          <w:rFonts w:hint="eastAsia" w:ascii="宋体" w:hAnsi="宋体" w:eastAsia="宋体" w:cs="宋体"/>
          <w:b w:val="0"/>
          <w:bCs/>
          <w:sz w:val="24"/>
          <w:szCs w:val="24"/>
        </w:rPr>
      </w:pPr>
      <w:r>
        <w:rPr>
          <w:rFonts w:hint="eastAsia" w:ascii="宋体" w:hAnsi="宋体" w:eastAsia="宋体" w:cs="宋体"/>
          <w:b/>
          <w:bCs w:val="0"/>
          <w:sz w:val="24"/>
          <w:szCs w:val="24"/>
          <w:lang w:val="en-US" w:eastAsia="zh-CN"/>
        </w:rPr>
        <w:t>服务期限</w:t>
      </w:r>
      <w:r>
        <w:rPr>
          <w:rFonts w:hint="eastAsia" w:ascii="宋体" w:hAnsi="宋体" w:eastAsia="宋体" w:cs="宋体"/>
          <w:b/>
          <w:bCs w:val="0"/>
          <w:sz w:val="24"/>
          <w:szCs w:val="24"/>
          <w:lang w:eastAsia="zh-CN"/>
        </w:rPr>
        <w:t>：</w:t>
      </w:r>
      <w:r>
        <w:rPr>
          <w:rFonts w:hint="eastAsia" w:ascii="宋体" w:hAnsi="宋体" w:eastAsia="宋体" w:cs="宋体"/>
          <w:b w:val="0"/>
          <w:bCs/>
          <w:sz w:val="24"/>
          <w:szCs w:val="24"/>
          <w:lang w:val="en-US" w:eastAsia="zh-CN"/>
        </w:rPr>
        <w:t>3</w:t>
      </w:r>
      <w:r>
        <w:rPr>
          <w:rFonts w:hint="eastAsia" w:ascii="宋体" w:hAnsi="宋体" w:eastAsia="宋体" w:cs="宋体"/>
          <w:b w:val="0"/>
          <w:bCs/>
          <w:sz w:val="24"/>
          <w:szCs w:val="24"/>
        </w:rPr>
        <w:t>年</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lang w:val="en-US" w:eastAsia="zh-CN"/>
        </w:rPr>
        <w:t>采用1+1+1合同签订模式。自合同签订服务期限起至每年服务期结束前，甲方将依据本服务年度乙方的服务质量及对其管理考核结果进行综合评定，甲方可依据考核结果，决定是否续签下一年合同。</w:t>
      </w:r>
      <w:r>
        <w:rPr>
          <w:rFonts w:hint="eastAsia" w:ascii="宋体" w:hAnsi="宋体" w:eastAsia="宋体" w:cs="宋体"/>
          <w:b w:val="0"/>
          <w:bCs/>
          <w:sz w:val="24"/>
          <w:szCs w:val="24"/>
          <w:lang w:eastAsia="zh-CN"/>
        </w:rPr>
        <w:t>本合同服务期限：自</w:t>
      </w:r>
      <w:r>
        <w:rPr>
          <w:rFonts w:hint="eastAsia" w:ascii="宋体" w:hAnsi="宋体" w:eastAsia="宋体" w:cs="宋体"/>
          <w:b w:val="0"/>
          <w:bCs/>
          <w:sz w:val="24"/>
          <w:szCs w:val="24"/>
          <w:lang w:val="en-US" w:eastAsia="zh-CN"/>
        </w:rPr>
        <w:t>2026</w:t>
      </w:r>
      <w:r>
        <w:rPr>
          <w:rFonts w:hint="eastAsia" w:ascii="宋体" w:hAnsi="宋体" w:eastAsia="宋体" w:cs="宋体"/>
          <w:b w:val="0"/>
          <w:bCs/>
          <w:sz w:val="24"/>
          <w:szCs w:val="24"/>
        </w:rPr>
        <w:t>年月至年</w:t>
      </w:r>
      <w:r>
        <w:rPr>
          <w:rFonts w:hint="eastAsia" w:ascii="宋体" w:hAnsi="宋体" w:eastAsia="宋体" w:cs="宋体"/>
          <w:b w:val="0"/>
          <w:bCs/>
          <w:sz w:val="24"/>
          <w:szCs w:val="24"/>
          <w:lang w:val="en-US" w:eastAsia="zh-CN"/>
        </w:rPr>
        <w:t>5</w:t>
      </w:r>
      <w:r>
        <w:rPr>
          <w:rFonts w:hint="eastAsia" w:ascii="宋体" w:hAnsi="宋体" w:eastAsia="宋体" w:cs="宋体"/>
          <w:b w:val="0"/>
          <w:bCs/>
          <w:sz w:val="24"/>
          <w:szCs w:val="24"/>
        </w:rPr>
        <w:t>月止。</w:t>
      </w:r>
    </w:p>
    <w:p w14:paraId="5E3A26BA">
      <w:pPr>
        <w:keepNext w:val="0"/>
        <w:keepLines w:val="0"/>
        <w:pageBreakBefore w:val="0"/>
        <w:widowControl/>
        <w:numPr>
          <w:ilvl w:val="0"/>
          <w:numId w:val="3"/>
        </w:numPr>
        <w:suppressLineNumbers w:val="0"/>
        <w:kinsoku/>
        <w:wordWrap w:val="0"/>
        <w:overflowPunct/>
        <w:topLinePunct/>
        <w:autoSpaceDE/>
        <w:autoSpaceDN/>
        <w:bidi w:val="0"/>
        <w:spacing w:line="500" w:lineRule="exact"/>
        <w:ind w:left="0" w:leftChars="0" w:firstLine="482" w:firstLineChars="200"/>
        <w:jc w:val="left"/>
        <w:textAlignment w:val="auto"/>
        <w:rPr>
          <w:rFonts w:hint="eastAsia" w:ascii="宋体" w:hAnsi="宋体" w:eastAsia="宋体" w:cs="宋体"/>
          <w:b/>
          <w:bCs w:val="0"/>
          <w:color w:val="000000"/>
          <w:kern w:val="0"/>
          <w:sz w:val="24"/>
          <w:szCs w:val="24"/>
          <w:lang w:val="en-US" w:eastAsia="zh-CN" w:bidi="ar"/>
        </w:rPr>
      </w:pPr>
      <w:r>
        <w:rPr>
          <w:rFonts w:hint="eastAsia" w:ascii="宋体" w:hAnsi="宋体" w:eastAsia="宋体" w:cs="宋体"/>
          <w:b/>
          <w:bCs w:val="0"/>
          <w:color w:val="000000"/>
          <w:kern w:val="0"/>
          <w:sz w:val="24"/>
          <w:szCs w:val="24"/>
          <w:lang w:val="en-US" w:eastAsia="zh-CN" w:bidi="ar"/>
        </w:rPr>
        <w:t>服务要求</w:t>
      </w:r>
    </w:p>
    <w:p w14:paraId="28B5BFB0">
      <w:pPr>
        <w:keepNext w:val="0"/>
        <w:keepLines w:val="0"/>
        <w:pageBreakBefore w:val="0"/>
        <w:widowControl/>
        <w:numPr>
          <w:ilvl w:val="0"/>
          <w:numId w:val="0"/>
        </w:numPr>
        <w:suppressLineNumbers w:val="0"/>
        <w:kinsoku/>
        <w:wordWrap w:val="0"/>
        <w:overflowPunct/>
        <w:topLinePunct/>
        <w:autoSpaceDE/>
        <w:autoSpaceDN/>
        <w:bidi w:val="0"/>
        <w:spacing w:line="500" w:lineRule="exact"/>
        <w:ind w:left="0" w:leftChars="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1、乙方需严格按照招投标文件中所承诺的服务条款和服务质量为甲方提供相关服务。</w:t>
      </w:r>
    </w:p>
    <w:p w14:paraId="145DAB83">
      <w:pPr>
        <w:keepNext w:val="0"/>
        <w:keepLines w:val="0"/>
        <w:pageBreakBefore w:val="0"/>
        <w:widowControl/>
        <w:suppressLineNumbers w:val="0"/>
        <w:kinsoku/>
        <w:wordWrap w:val="0"/>
        <w:overflowPunct/>
        <w:topLinePunct/>
        <w:autoSpaceDE/>
        <w:autoSpaceDN/>
        <w:bidi w:val="0"/>
        <w:spacing w:line="500" w:lineRule="exact"/>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2、项目服务质量按照国家相关标准执行，达到国家相关标准的管理水平，有效投诉率低于0.2%，有效投诉处理率达100%。</w:t>
      </w:r>
    </w:p>
    <w:p w14:paraId="2C334388">
      <w:pPr>
        <w:keepNext w:val="0"/>
        <w:keepLines w:val="0"/>
        <w:pageBreakBefore w:val="0"/>
        <w:widowControl/>
        <w:suppressLineNumbers w:val="0"/>
        <w:kinsoku/>
        <w:wordWrap w:val="0"/>
        <w:overflowPunct/>
        <w:topLinePunct/>
        <w:autoSpaceDE/>
        <w:autoSpaceDN/>
        <w:bidi w:val="0"/>
        <w:spacing w:line="500" w:lineRule="exact"/>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3、乙方保证录用人员没有违法犯罪记录、有上岗资格证，保证录用人员着装统一、用语规范；应对济源市人民医院保安服务项目自然灾害、公共安全、群访闹访围堵大门，消防安全检查应急等突发事件建立应急预案，并组织实施培训及演习。</w:t>
      </w:r>
    </w:p>
    <w:p w14:paraId="5BBE6640">
      <w:pPr>
        <w:keepNext w:val="0"/>
        <w:keepLines w:val="0"/>
        <w:pageBreakBefore w:val="0"/>
        <w:widowControl/>
        <w:suppressLineNumbers w:val="0"/>
        <w:kinsoku/>
        <w:wordWrap w:val="0"/>
        <w:overflowPunct/>
        <w:topLinePunct/>
        <w:autoSpaceDE/>
        <w:autoSpaceDN/>
        <w:bidi w:val="0"/>
        <w:spacing w:line="500" w:lineRule="exact"/>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color w:val="000000"/>
          <w:kern w:val="0"/>
          <w:sz w:val="24"/>
          <w:szCs w:val="24"/>
          <w:highlight w:val="none"/>
          <w:lang w:val="en-US" w:eastAsia="zh-CN" w:bidi="ar"/>
        </w:rPr>
        <w:t>4、</w:t>
      </w:r>
      <w:r>
        <w:rPr>
          <w:rFonts w:ascii="宋体" w:hAnsi="宋体" w:eastAsia="宋体" w:cs="宋体"/>
          <w:b/>
          <w:bCs/>
          <w:spacing w:val="-2"/>
          <w:sz w:val="24"/>
          <w:szCs w:val="24"/>
          <w:highlight w:val="none"/>
        </w:rPr>
        <w:t>提供的保安人员年龄20-5</w:t>
      </w:r>
      <w:r>
        <w:rPr>
          <w:rFonts w:hint="eastAsia" w:ascii="宋体" w:hAnsi="宋体" w:eastAsia="宋体" w:cs="宋体"/>
          <w:b/>
          <w:bCs/>
          <w:spacing w:val="-2"/>
          <w:sz w:val="24"/>
          <w:szCs w:val="24"/>
          <w:highlight w:val="none"/>
          <w:lang w:val="en-US" w:eastAsia="zh-CN"/>
        </w:rPr>
        <w:t>8</w:t>
      </w:r>
      <w:r>
        <w:rPr>
          <w:rFonts w:ascii="宋体" w:hAnsi="宋体" w:eastAsia="宋体" w:cs="宋体"/>
          <w:b/>
          <w:bCs/>
          <w:spacing w:val="-2"/>
          <w:sz w:val="24"/>
          <w:szCs w:val="24"/>
          <w:highlight w:val="none"/>
        </w:rPr>
        <w:t>周岁</w:t>
      </w:r>
      <w:r>
        <w:rPr>
          <w:rFonts w:hint="eastAsia" w:ascii="宋体" w:hAnsi="宋体" w:eastAsia="宋体" w:cs="宋体"/>
          <w:b w:val="0"/>
          <w:bCs/>
          <w:kern w:val="0"/>
          <w:sz w:val="24"/>
          <w:szCs w:val="24"/>
          <w:highlight w:val="none"/>
          <w:lang w:val="en-US" w:eastAsia="zh-CN"/>
        </w:rPr>
        <w:t>。</w:t>
      </w:r>
      <w:r>
        <w:rPr>
          <w:rFonts w:hint="eastAsia" w:ascii="宋体" w:hAnsi="宋体" w:eastAsia="宋体" w:cs="宋体"/>
          <w:b w:val="0"/>
          <w:bCs/>
          <w:sz w:val="24"/>
          <w:szCs w:val="24"/>
          <w:highlight w:val="none"/>
          <w:lang w:val="en-US" w:eastAsia="zh-CN"/>
        </w:rPr>
        <w:t>要求保安身强力壮</w:t>
      </w:r>
      <w:r>
        <w:rPr>
          <w:rFonts w:hint="eastAsia" w:ascii="宋体" w:hAnsi="宋体" w:eastAsia="宋体" w:cs="宋体"/>
          <w:b w:val="0"/>
          <w:bCs/>
          <w:sz w:val="24"/>
          <w:szCs w:val="24"/>
          <w:lang w:val="en-US" w:eastAsia="zh-CN"/>
        </w:rPr>
        <w:t>，素质较高，责任心强，能胜任医院安保工作者。</w:t>
      </w:r>
    </w:p>
    <w:p w14:paraId="7F666C6D">
      <w:pPr>
        <w:keepNext w:val="0"/>
        <w:keepLines w:val="0"/>
        <w:pageBreakBefore w:val="0"/>
        <w:widowControl/>
        <w:suppressLineNumbers w:val="0"/>
        <w:kinsoku/>
        <w:wordWrap w:val="0"/>
        <w:overflowPunct/>
        <w:topLinePunct/>
        <w:autoSpaceDE/>
        <w:autoSpaceDN/>
        <w:bidi w:val="0"/>
        <w:spacing w:line="500" w:lineRule="exact"/>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5、保安人员须经过一定的安保技能训练，具有基本的消防知识和操作技能，上岗前取得相关部门颁发的保安资格证书。</w:t>
      </w:r>
    </w:p>
    <w:p w14:paraId="466F0669">
      <w:pPr>
        <w:pStyle w:val="43"/>
        <w:keepNext w:val="0"/>
        <w:keepLines w:val="0"/>
        <w:pageBreakBefore w:val="0"/>
        <w:tabs>
          <w:tab w:val="left" w:pos="672"/>
        </w:tabs>
        <w:kinsoku/>
        <w:wordWrap w:val="0"/>
        <w:overflowPunct/>
        <w:topLinePunct/>
        <w:autoSpaceDE/>
        <w:autoSpaceDN/>
        <w:bidi w:val="0"/>
        <w:spacing w:line="500" w:lineRule="exact"/>
        <w:ind w:left="0" w:firstLine="482" w:firstLineChars="200"/>
        <w:jc w:val="left"/>
        <w:textAlignment w:val="auto"/>
        <w:rPr>
          <w:rFonts w:hint="eastAsia" w:ascii="宋体" w:hAnsi="宋体" w:eastAsia="宋体" w:cs="宋体"/>
          <w:b w:val="0"/>
          <w:bCs/>
          <w:sz w:val="24"/>
          <w:szCs w:val="24"/>
        </w:rPr>
      </w:pPr>
      <w:r>
        <w:rPr>
          <w:rFonts w:hint="eastAsia" w:ascii="宋体" w:hAnsi="宋体" w:eastAsia="宋体" w:cs="宋体"/>
          <w:b/>
          <w:bCs w:val="0"/>
          <w:sz w:val="24"/>
          <w:szCs w:val="24"/>
        </w:rPr>
        <w:t>第</w:t>
      </w:r>
      <w:r>
        <w:rPr>
          <w:rFonts w:hint="eastAsia" w:ascii="宋体" w:hAnsi="宋体" w:eastAsia="宋体" w:cs="宋体"/>
          <w:b/>
          <w:bCs w:val="0"/>
          <w:sz w:val="24"/>
          <w:szCs w:val="24"/>
          <w:lang w:val="en-US" w:eastAsia="zh-CN"/>
        </w:rPr>
        <w:t>五</w:t>
      </w:r>
      <w:r>
        <w:rPr>
          <w:rFonts w:hint="eastAsia" w:ascii="宋体" w:hAnsi="宋体" w:eastAsia="宋体" w:cs="宋体"/>
          <w:b/>
          <w:bCs w:val="0"/>
          <w:sz w:val="24"/>
          <w:szCs w:val="24"/>
        </w:rPr>
        <w:t>条合同价款与支付约定</w:t>
      </w:r>
      <w:r>
        <w:rPr>
          <w:rFonts w:hint="eastAsia" w:ascii="宋体" w:hAnsi="宋体" w:eastAsia="宋体" w:cs="宋体"/>
          <w:b w:val="0"/>
          <w:bCs/>
          <w:sz w:val="24"/>
          <w:szCs w:val="24"/>
        </w:rPr>
        <w:t>：</w:t>
      </w:r>
    </w:p>
    <w:p w14:paraId="6D1241C7">
      <w:pPr>
        <w:keepNext w:val="0"/>
        <w:keepLines w:val="0"/>
        <w:pageBreakBefore w:val="0"/>
        <w:tabs>
          <w:tab w:val="left" w:pos="672"/>
        </w:tabs>
        <w:kinsoku/>
        <w:wordWrap w:val="0"/>
        <w:overflowPunct/>
        <w:topLinePunct/>
        <w:autoSpaceDE/>
        <w:autoSpaceDN/>
        <w:bidi w:val="0"/>
        <w:spacing w:line="500" w:lineRule="exact"/>
        <w:ind w:lef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rPr>
        <w:t>1、甲方支付乙方每人每月服务费</w:t>
      </w:r>
      <w:r>
        <w:rPr>
          <w:rFonts w:hint="eastAsia" w:ascii="宋体" w:hAnsi="宋体" w:eastAsia="宋体" w:cs="宋体"/>
          <w:b w:val="0"/>
          <w:bCs/>
          <w:sz w:val="24"/>
          <w:szCs w:val="24"/>
          <w:lang w:val="en-US" w:eastAsia="zh-CN"/>
        </w:rPr>
        <w:t xml:space="preserve">  </w:t>
      </w:r>
      <w:r>
        <w:rPr>
          <w:rFonts w:hint="eastAsia" w:ascii="宋体" w:hAnsi="宋体" w:eastAsia="宋体" w:cs="宋体"/>
          <w:b w:val="0"/>
          <w:bCs/>
          <w:sz w:val="24"/>
          <w:szCs w:val="24"/>
        </w:rPr>
        <w:t>元，月计</w:t>
      </w:r>
      <w:r>
        <w:rPr>
          <w:rFonts w:hint="eastAsia" w:ascii="宋体" w:hAnsi="宋体" w:eastAsia="宋体" w:cs="宋体"/>
          <w:b w:val="0"/>
          <w:bCs/>
          <w:sz w:val="24"/>
          <w:szCs w:val="24"/>
          <w:lang w:val="en-US" w:eastAsia="zh-CN"/>
        </w:rPr>
        <w:t xml:space="preserve">  </w:t>
      </w:r>
      <w:r>
        <w:rPr>
          <w:rFonts w:hint="eastAsia" w:ascii="宋体" w:hAnsi="宋体" w:eastAsia="宋体" w:cs="宋体"/>
          <w:b w:val="0"/>
          <w:bCs/>
          <w:sz w:val="24"/>
          <w:szCs w:val="24"/>
        </w:rPr>
        <w:t>元</w:t>
      </w:r>
      <w:r>
        <w:rPr>
          <w:rFonts w:hint="eastAsia" w:ascii="宋体" w:hAnsi="宋体" w:eastAsia="宋体" w:cs="宋体"/>
          <w:b w:val="0"/>
          <w:bCs/>
          <w:sz w:val="24"/>
          <w:szCs w:val="24"/>
          <w:lang w:eastAsia="zh-CN"/>
        </w:rPr>
        <w:t>，年计</w:t>
      </w:r>
      <w:r>
        <w:rPr>
          <w:rFonts w:hint="eastAsia" w:ascii="宋体" w:hAnsi="宋体" w:eastAsia="宋体" w:cs="宋体"/>
          <w:b w:val="0"/>
          <w:bCs/>
          <w:sz w:val="24"/>
          <w:szCs w:val="24"/>
          <w:lang w:val="en-US" w:eastAsia="zh-CN"/>
        </w:rPr>
        <w:t xml:space="preserve">  元（</w:t>
      </w:r>
      <w:r>
        <w:rPr>
          <w:rFonts w:hint="eastAsia" w:ascii="宋体" w:hAnsi="宋体" w:eastAsia="宋体" w:cs="宋体"/>
          <w:b w:val="0"/>
          <w:bCs/>
          <w:sz w:val="24"/>
          <w:szCs w:val="24"/>
        </w:rPr>
        <w:t>大写</w:t>
      </w:r>
      <w:r>
        <w:rPr>
          <w:rFonts w:hint="eastAsia" w:ascii="宋体" w:hAnsi="宋体" w:eastAsia="宋体" w:cs="宋体"/>
          <w:b w:val="0"/>
          <w:bCs/>
          <w:sz w:val="24"/>
          <w:szCs w:val="24"/>
          <w:lang w:val="en-US" w:eastAsia="zh-CN"/>
        </w:rPr>
        <w:t>：  ）。</w:t>
      </w:r>
    </w:p>
    <w:p w14:paraId="654AC0E2">
      <w:pPr>
        <w:pStyle w:val="58"/>
        <w:keepNext w:val="0"/>
        <w:keepLines w:val="0"/>
        <w:pageBreakBefore w:val="0"/>
        <w:kinsoku/>
        <w:wordWrap w:val="0"/>
        <w:overflowPunct/>
        <w:topLinePunct/>
        <w:autoSpaceDE/>
        <w:autoSpaceDN/>
        <w:bidi w:val="0"/>
        <w:spacing w:line="500" w:lineRule="exact"/>
        <w:ind w:left="0" w:firstLine="480" w:firstLineChars="200"/>
        <w:jc w:val="left"/>
        <w:textAlignment w:val="auto"/>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2、合同签订后，甲方向乙方首付当年合同金额的15%作为预付款，同时乙方提交同等金额的一年期银行保函。其余金额按月均分并支付，次月支付上月服务费。</w:t>
      </w:r>
    </w:p>
    <w:p w14:paraId="2A63ACCC">
      <w:pPr>
        <w:keepNext w:val="0"/>
        <w:keepLines w:val="0"/>
        <w:pageBreakBefore w:val="0"/>
        <w:tabs>
          <w:tab w:val="left" w:pos="672"/>
        </w:tabs>
        <w:kinsoku/>
        <w:wordWrap w:val="0"/>
        <w:overflowPunct/>
        <w:topLinePunct/>
        <w:autoSpaceDE/>
        <w:autoSpaceDN/>
        <w:bidi w:val="0"/>
        <w:spacing w:line="500" w:lineRule="exact"/>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3</w:t>
      </w:r>
      <w:r>
        <w:rPr>
          <w:rFonts w:hint="eastAsia" w:ascii="宋体" w:hAnsi="宋体" w:eastAsia="宋体" w:cs="宋体"/>
          <w:b w:val="0"/>
          <w:bCs/>
          <w:sz w:val="24"/>
          <w:szCs w:val="24"/>
        </w:rPr>
        <w:t>、本合同生效后，甲方应于每月20日前支付乙方</w:t>
      </w:r>
      <w:r>
        <w:rPr>
          <w:rFonts w:hint="eastAsia" w:ascii="宋体" w:hAnsi="宋体" w:eastAsia="宋体" w:cs="宋体"/>
          <w:b w:val="0"/>
          <w:bCs/>
          <w:sz w:val="24"/>
          <w:szCs w:val="24"/>
          <w:lang w:eastAsia="zh-CN"/>
        </w:rPr>
        <w:t>上个</w:t>
      </w:r>
      <w:r>
        <w:rPr>
          <w:rFonts w:hint="eastAsia" w:ascii="宋体" w:hAnsi="宋体" w:eastAsia="宋体" w:cs="宋体"/>
          <w:b w:val="0"/>
          <w:bCs/>
          <w:sz w:val="24"/>
          <w:szCs w:val="24"/>
        </w:rPr>
        <w:t>月全额服务费。</w:t>
      </w:r>
    </w:p>
    <w:p w14:paraId="01F2784B">
      <w:pPr>
        <w:keepNext w:val="0"/>
        <w:keepLines w:val="0"/>
        <w:pageBreakBefore w:val="0"/>
        <w:tabs>
          <w:tab w:val="left" w:pos="672"/>
        </w:tabs>
        <w:kinsoku/>
        <w:wordWrap w:val="0"/>
        <w:overflowPunct/>
        <w:topLinePunct/>
        <w:autoSpaceDE/>
        <w:autoSpaceDN/>
        <w:bidi w:val="0"/>
        <w:spacing w:line="500" w:lineRule="exact"/>
        <w:ind w:left="0" w:firstLine="482" w:firstLineChars="200"/>
        <w:jc w:val="left"/>
        <w:textAlignment w:val="auto"/>
        <w:rPr>
          <w:rFonts w:hint="eastAsia" w:ascii="宋体" w:hAnsi="宋体" w:eastAsia="宋体" w:cs="宋体"/>
          <w:b/>
          <w:bCs w:val="0"/>
          <w:sz w:val="24"/>
          <w:szCs w:val="24"/>
        </w:rPr>
      </w:pPr>
      <w:r>
        <w:rPr>
          <w:rFonts w:hint="eastAsia" w:ascii="宋体" w:hAnsi="宋体" w:eastAsia="宋体" w:cs="宋体"/>
          <w:b/>
          <w:bCs w:val="0"/>
          <w:sz w:val="24"/>
          <w:szCs w:val="24"/>
        </w:rPr>
        <w:t>第</w:t>
      </w:r>
      <w:r>
        <w:rPr>
          <w:rFonts w:hint="eastAsia" w:ascii="宋体" w:hAnsi="宋体" w:eastAsia="宋体" w:cs="宋体"/>
          <w:b/>
          <w:bCs w:val="0"/>
          <w:sz w:val="24"/>
          <w:szCs w:val="24"/>
          <w:lang w:val="en-US" w:eastAsia="zh-CN"/>
        </w:rPr>
        <w:t>六</w:t>
      </w:r>
      <w:r>
        <w:rPr>
          <w:rFonts w:hint="eastAsia" w:ascii="宋体" w:hAnsi="宋体" w:eastAsia="宋体" w:cs="宋体"/>
          <w:b/>
          <w:bCs w:val="0"/>
          <w:sz w:val="24"/>
          <w:szCs w:val="24"/>
        </w:rPr>
        <w:t>条甲方的责任和义务：</w:t>
      </w:r>
    </w:p>
    <w:p w14:paraId="07C2869A">
      <w:pPr>
        <w:keepNext w:val="0"/>
        <w:keepLines w:val="0"/>
        <w:pageBreakBefore w:val="0"/>
        <w:widowControl/>
        <w:suppressLineNumbers w:val="0"/>
        <w:kinsoku/>
        <w:wordWrap w:val="0"/>
        <w:overflowPunct/>
        <w:topLinePunct/>
        <w:autoSpaceDE/>
        <w:autoSpaceDN/>
        <w:bidi w:val="0"/>
        <w:spacing w:line="500" w:lineRule="exact"/>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1、有权对乙方进行相应的管理、监督和考核，对乙方违背本合同职责的行为及时批评教育，必要时有权利要求乙方更换保安人员，但采购方不得指使乙方从事违纪违法犯罪的活动。</w:t>
      </w:r>
    </w:p>
    <w:p w14:paraId="6F30C3AD">
      <w:pPr>
        <w:keepNext w:val="0"/>
        <w:keepLines w:val="0"/>
        <w:pageBreakBefore w:val="0"/>
        <w:widowControl/>
        <w:suppressLineNumbers w:val="0"/>
        <w:kinsoku/>
        <w:wordWrap w:val="0"/>
        <w:overflowPunct/>
        <w:topLinePunct/>
        <w:autoSpaceDE/>
        <w:autoSpaceDN/>
        <w:bidi w:val="0"/>
        <w:spacing w:line="500" w:lineRule="exact"/>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2、为乙方提供必要的工作条件，如值班室、照明用电等。</w:t>
      </w:r>
    </w:p>
    <w:p w14:paraId="050079F9">
      <w:pPr>
        <w:keepNext w:val="0"/>
        <w:keepLines w:val="0"/>
        <w:pageBreakBefore w:val="0"/>
        <w:widowControl/>
        <w:suppressLineNumbers w:val="0"/>
        <w:kinsoku/>
        <w:wordWrap w:val="0"/>
        <w:overflowPunct/>
        <w:topLinePunct/>
        <w:autoSpaceDE/>
        <w:autoSpaceDN/>
        <w:bidi w:val="0"/>
        <w:spacing w:line="500" w:lineRule="exact"/>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3、制订并执行内部安全防范规章制度，教育本单位员工配合和支持乙方履行保安职责的义务。</w:t>
      </w:r>
    </w:p>
    <w:p w14:paraId="26F2EBE0">
      <w:pPr>
        <w:pStyle w:val="43"/>
        <w:keepNext w:val="0"/>
        <w:keepLines w:val="0"/>
        <w:pageBreakBefore w:val="0"/>
        <w:tabs>
          <w:tab w:val="left" w:pos="672"/>
        </w:tabs>
        <w:kinsoku/>
        <w:wordWrap w:val="0"/>
        <w:overflowPunct/>
        <w:topLinePunct/>
        <w:autoSpaceDE/>
        <w:autoSpaceDN/>
        <w:bidi w:val="0"/>
        <w:spacing w:line="500" w:lineRule="exact"/>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4、</w:t>
      </w:r>
      <w:r>
        <w:rPr>
          <w:rFonts w:hint="eastAsia" w:ascii="宋体" w:hAnsi="宋体" w:eastAsia="宋体" w:cs="宋体"/>
          <w:b w:val="0"/>
          <w:bCs/>
          <w:sz w:val="24"/>
          <w:szCs w:val="24"/>
        </w:rPr>
        <w:t>有权对乙方及其指派的工作人员提出明确的工作要求和标准，指导乙方人员依据甲方相关业务规定开展工作。</w:t>
      </w:r>
    </w:p>
    <w:p w14:paraId="64F68386">
      <w:pPr>
        <w:pStyle w:val="43"/>
        <w:keepNext w:val="0"/>
        <w:keepLines w:val="0"/>
        <w:pageBreakBefore w:val="0"/>
        <w:tabs>
          <w:tab w:val="left" w:pos="672"/>
        </w:tabs>
        <w:kinsoku/>
        <w:wordWrap w:val="0"/>
        <w:overflowPunct/>
        <w:topLinePunct/>
        <w:autoSpaceDE/>
        <w:autoSpaceDN/>
        <w:bidi w:val="0"/>
        <w:spacing w:line="500" w:lineRule="exact"/>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5、</w:t>
      </w:r>
      <w:r>
        <w:rPr>
          <w:rFonts w:hint="eastAsia" w:ascii="宋体" w:hAnsi="宋体" w:eastAsia="宋体" w:cs="宋体"/>
          <w:b w:val="0"/>
          <w:bCs/>
          <w:sz w:val="24"/>
          <w:szCs w:val="24"/>
        </w:rPr>
        <w:t>甲方有权组织乙方服务人员学习有关安全保卫文件规定，并传达案例通报等。</w:t>
      </w:r>
    </w:p>
    <w:p w14:paraId="67935FE4">
      <w:pPr>
        <w:keepNext w:val="0"/>
        <w:keepLines w:val="0"/>
        <w:pageBreakBefore w:val="0"/>
        <w:numPr>
          <w:ilvl w:val="0"/>
          <w:numId w:val="0"/>
        </w:numPr>
        <w:tabs>
          <w:tab w:val="left" w:pos="672"/>
        </w:tabs>
        <w:kinsoku/>
        <w:wordWrap w:val="0"/>
        <w:overflowPunct/>
        <w:topLinePunct/>
        <w:autoSpaceDE/>
        <w:autoSpaceDN/>
        <w:bidi w:val="0"/>
        <w:spacing w:line="500" w:lineRule="exact"/>
        <w:ind w:left="0" w:firstLine="482" w:firstLineChars="200"/>
        <w:jc w:val="left"/>
        <w:textAlignment w:val="auto"/>
        <w:rPr>
          <w:rFonts w:hint="eastAsia" w:ascii="宋体" w:hAnsi="宋体" w:eastAsia="宋体" w:cs="宋体"/>
          <w:b/>
          <w:bCs w:val="0"/>
          <w:sz w:val="24"/>
          <w:szCs w:val="24"/>
          <w:lang w:eastAsia="zh-CN"/>
        </w:rPr>
      </w:pPr>
      <w:r>
        <w:rPr>
          <w:rFonts w:hint="eastAsia" w:ascii="宋体" w:hAnsi="宋体" w:eastAsia="宋体" w:cs="宋体"/>
          <w:b/>
          <w:bCs w:val="0"/>
          <w:sz w:val="24"/>
          <w:szCs w:val="24"/>
          <w:lang w:val="en-US" w:eastAsia="zh-CN"/>
        </w:rPr>
        <w:t>第七条</w:t>
      </w:r>
      <w:r>
        <w:rPr>
          <w:rFonts w:hint="eastAsia" w:ascii="宋体" w:hAnsi="宋体" w:eastAsia="宋体" w:cs="宋体"/>
          <w:b/>
          <w:bCs w:val="0"/>
          <w:sz w:val="24"/>
          <w:szCs w:val="24"/>
        </w:rPr>
        <w:t>乙方的责任与义务</w:t>
      </w:r>
      <w:r>
        <w:rPr>
          <w:rFonts w:hint="eastAsia" w:ascii="宋体" w:hAnsi="宋体" w:eastAsia="宋体" w:cs="宋体"/>
          <w:b/>
          <w:bCs w:val="0"/>
          <w:sz w:val="24"/>
          <w:szCs w:val="24"/>
          <w:lang w:eastAsia="zh-CN"/>
        </w:rPr>
        <w:t>：</w:t>
      </w:r>
    </w:p>
    <w:p w14:paraId="042ED19D">
      <w:pPr>
        <w:keepNext w:val="0"/>
        <w:keepLines w:val="0"/>
        <w:pageBreakBefore w:val="0"/>
        <w:widowControl/>
        <w:suppressLineNumbers w:val="0"/>
        <w:kinsoku/>
        <w:wordWrap w:val="0"/>
        <w:overflowPunct/>
        <w:topLinePunct/>
        <w:autoSpaceDE/>
        <w:autoSpaceDN/>
        <w:bidi w:val="0"/>
        <w:spacing w:line="500" w:lineRule="exact"/>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1、乙方须向甲方提供保安人员的身份证、上岗证等相关证件。</w:t>
      </w:r>
    </w:p>
    <w:p w14:paraId="4530C52A">
      <w:pPr>
        <w:keepNext w:val="0"/>
        <w:keepLines w:val="0"/>
        <w:pageBreakBefore w:val="0"/>
        <w:widowControl/>
        <w:suppressLineNumbers w:val="0"/>
        <w:kinsoku/>
        <w:wordWrap w:val="0"/>
        <w:overflowPunct/>
        <w:topLinePunct/>
        <w:autoSpaceDE/>
        <w:autoSpaceDN/>
        <w:bidi w:val="0"/>
        <w:spacing w:line="500" w:lineRule="exact"/>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2、乙方应提供保安人员工作中必要的考勤、巡更和通讯设备，在工作时，必需着统一的保安服装，佩戴相应的执勤标识。</w:t>
      </w:r>
    </w:p>
    <w:p w14:paraId="36D474CE">
      <w:pPr>
        <w:keepNext w:val="0"/>
        <w:keepLines w:val="0"/>
        <w:pageBreakBefore w:val="0"/>
        <w:widowControl/>
        <w:suppressLineNumbers w:val="0"/>
        <w:kinsoku/>
        <w:wordWrap w:val="0"/>
        <w:overflowPunct/>
        <w:topLinePunct/>
        <w:autoSpaceDE/>
        <w:autoSpaceDN/>
        <w:bidi w:val="0"/>
        <w:spacing w:line="500" w:lineRule="exact"/>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3、乙方须服从甲方领导，认真学习政治、业务和法律知识，尽职尽责，为甲方提供高质量的保安服务。</w:t>
      </w:r>
    </w:p>
    <w:p w14:paraId="1A8230E9">
      <w:pPr>
        <w:keepNext w:val="0"/>
        <w:keepLines w:val="0"/>
        <w:pageBreakBefore w:val="0"/>
        <w:widowControl/>
        <w:suppressLineNumbers w:val="0"/>
        <w:kinsoku/>
        <w:wordWrap w:val="0"/>
        <w:overflowPunct/>
        <w:topLinePunct/>
        <w:autoSpaceDE/>
        <w:autoSpaceDN/>
        <w:bidi w:val="0"/>
        <w:spacing w:line="500" w:lineRule="exact"/>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4、乙方必须遵纪守法，文明执勤，不得有法律法规禁止的违法行为。工作期间不得迟到、早退、脱岗、串岗等行为。</w:t>
      </w:r>
    </w:p>
    <w:p w14:paraId="6470C2D5">
      <w:pPr>
        <w:keepNext w:val="0"/>
        <w:keepLines w:val="0"/>
        <w:pageBreakBefore w:val="0"/>
        <w:widowControl/>
        <w:suppressLineNumbers w:val="0"/>
        <w:kinsoku/>
        <w:wordWrap w:val="0"/>
        <w:overflowPunct/>
        <w:topLinePunct/>
        <w:autoSpaceDE/>
        <w:autoSpaceDN/>
        <w:bidi w:val="0"/>
        <w:spacing w:line="500" w:lineRule="exact"/>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5、乙方在执勤中，如发现各种安全隐患，除采取应急措施外，应立即报告甲方领导，并保护甲方人身安全、财产安全。</w:t>
      </w:r>
      <w:r>
        <w:rPr>
          <w:rFonts w:hint="eastAsia" w:ascii="宋体" w:hAnsi="宋体" w:eastAsia="宋体" w:cs="宋体"/>
          <w:b w:val="0"/>
          <w:bCs/>
          <w:sz w:val="24"/>
          <w:szCs w:val="24"/>
        </w:rPr>
        <w:t>及时制止发生在</w:t>
      </w:r>
      <w:r>
        <w:rPr>
          <w:rFonts w:hint="eastAsia" w:ascii="宋体" w:hAnsi="宋体" w:eastAsia="宋体" w:cs="宋体"/>
          <w:b w:val="0"/>
          <w:bCs/>
          <w:sz w:val="24"/>
          <w:szCs w:val="24"/>
          <w:lang w:eastAsia="zh-CN"/>
        </w:rPr>
        <w:t>甲方所有区域</w:t>
      </w:r>
      <w:r>
        <w:rPr>
          <w:rFonts w:hint="eastAsia" w:ascii="宋体" w:hAnsi="宋体" w:eastAsia="宋体" w:cs="宋体"/>
          <w:b w:val="0"/>
          <w:bCs/>
          <w:sz w:val="24"/>
          <w:szCs w:val="24"/>
        </w:rPr>
        <w:t>内的违法犯罪行为，重大案</w:t>
      </w:r>
      <w:r>
        <w:rPr>
          <w:rFonts w:hint="eastAsia" w:ascii="宋体" w:hAnsi="宋体" w:eastAsia="宋体" w:cs="宋体"/>
          <w:b w:val="0"/>
          <w:bCs/>
          <w:sz w:val="24"/>
          <w:szCs w:val="24"/>
          <w:lang w:eastAsia="zh-CN"/>
        </w:rPr>
        <w:t>件</w:t>
      </w:r>
      <w:r>
        <w:rPr>
          <w:rFonts w:hint="eastAsia" w:ascii="宋体" w:hAnsi="宋体" w:eastAsia="宋体" w:cs="宋体"/>
          <w:b w:val="0"/>
          <w:bCs/>
          <w:sz w:val="24"/>
          <w:szCs w:val="24"/>
        </w:rPr>
        <w:t>要及时妥善保护现场，并迅速报告甲乙双方领导和公安机关。</w:t>
      </w:r>
    </w:p>
    <w:p w14:paraId="647BE679">
      <w:pPr>
        <w:pStyle w:val="43"/>
        <w:keepNext w:val="0"/>
        <w:keepLines w:val="0"/>
        <w:pageBreakBefore w:val="0"/>
        <w:numPr>
          <w:ilvl w:val="0"/>
          <w:numId w:val="0"/>
        </w:numPr>
        <w:tabs>
          <w:tab w:val="left" w:pos="672"/>
        </w:tabs>
        <w:kinsoku/>
        <w:wordWrap w:val="0"/>
        <w:overflowPunct/>
        <w:topLinePunct/>
        <w:autoSpaceDE/>
        <w:autoSpaceDN/>
        <w:bidi w:val="0"/>
        <w:spacing w:line="500" w:lineRule="exact"/>
        <w:ind w:left="0" w:leftChars="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6、</w:t>
      </w:r>
      <w:r>
        <w:rPr>
          <w:rFonts w:hint="eastAsia" w:ascii="宋体" w:hAnsi="宋体" w:eastAsia="宋体" w:cs="宋体"/>
          <w:b w:val="0"/>
          <w:bCs/>
          <w:sz w:val="24"/>
          <w:szCs w:val="24"/>
        </w:rPr>
        <w:t>乙方队员除做好本职工作外，应全力配合甲方做好</w:t>
      </w:r>
      <w:r>
        <w:rPr>
          <w:rFonts w:hint="eastAsia" w:ascii="宋体" w:hAnsi="宋体" w:eastAsia="宋体" w:cs="宋体"/>
          <w:b w:val="0"/>
          <w:bCs/>
          <w:sz w:val="24"/>
          <w:szCs w:val="24"/>
          <w:lang w:eastAsia="zh-CN"/>
        </w:rPr>
        <w:t>消防安全及</w:t>
      </w:r>
      <w:r>
        <w:rPr>
          <w:rFonts w:hint="eastAsia" w:ascii="宋体" w:hAnsi="宋体" w:eastAsia="宋体" w:cs="宋体"/>
          <w:b w:val="0"/>
          <w:bCs/>
          <w:sz w:val="24"/>
          <w:szCs w:val="24"/>
        </w:rPr>
        <w:t>其他临时性工作。</w:t>
      </w:r>
    </w:p>
    <w:p w14:paraId="1F839276">
      <w:pPr>
        <w:pStyle w:val="43"/>
        <w:keepNext w:val="0"/>
        <w:keepLines w:val="0"/>
        <w:pageBreakBefore w:val="0"/>
        <w:numPr>
          <w:ilvl w:val="0"/>
          <w:numId w:val="0"/>
        </w:numPr>
        <w:tabs>
          <w:tab w:val="left" w:pos="672"/>
        </w:tabs>
        <w:kinsoku/>
        <w:wordWrap w:val="0"/>
        <w:overflowPunct/>
        <w:topLinePunct/>
        <w:autoSpaceDE/>
        <w:autoSpaceDN/>
        <w:bidi w:val="0"/>
        <w:spacing w:line="500" w:lineRule="exact"/>
        <w:ind w:left="0" w:leftChars="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7、</w:t>
      </w:r>
      <w:r>
        <w:rPr>
          <w:rFonts w:hint="eastAsia" w:ascii="宋体" w:hAnsi="宋体" w:eastAsia="宋体" w:cs="宋体"/>
          <w:b w:val="0"/>
          <w:bCs/>
          <w:sz w:val="24"/>
          <w:szCs w:val="24"/>
        </w:rPr>
        <w:t>乙方负责承担派驻人员的各项社会保险和意外伤害保险，如果发生劳动争议或意外伤害事故，相关费用由乙方承担。</w:t>
      </w:r>
    </w:p>
    <w:p w14:paraId="3536F3CB">
      <w:pPr>
        <w:pStyle w:val="43"/>
        <w:keepNext w:val="0"/>
        <w:keepLines w:val="0"/>
        <w:pageBreakBefore w:val="0"/>
        <w:numPr>
          <w:ilvl w:val="0"/>
          <w:numId w:val="0"/>
        </w:numPr>
        <w:tabs>
          <w:tab w:val="left" w:pos="672"/>
        </w:tabs>
        <w:kinsoku/>
        <w:wordWrap w:val="0"/>
        <w:overflowPunct/>
        <w:topLinePunct/>
        <w:autoSpaceDE/>
        <w:autoSpaceDN/>
        <w:bidi w:val="0"/>
        <w:spacing w:line="500" w:lineRule="exact"/>
        <w:ind w:left="0" w:leftChars="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8、</w:t>
      </w:r>
      <w:r>
        <w:rPr>
          <w:rFonts w:hint="eastAsia" w:ascii="宋体" w:hAnsi="宋体" w:eastAsia="宋体" w:cs="宋体"/>
          <w:b w:val="0"/>
          <w:bCs/>
          <w:sz w:val="24"/>
          <w:szCs w:val="24"/>
        </w:rPr>
        <w:t>乙方不参与甲方与第三人的经济、行政纠纷。</w:t>
      </w:r>
    </w:p>
    <w:p w14:paraId="246B3A85">
      <w:pPr>
        <w:pStyle w:val="43"/>
        <w:keepNext w:val="0"/>
        <w:keepLines w:val="0"/>
        <w:pageBreakBefore w:val="0"/>
        <w:numPr>
          <w:ilvl w:val="0"/>
          <w:numId w:val="0"/>
        </w:numPr>
        <w:tabs>
          <w:tab w:val="left" w:pos="672"/>
        </w:tabs>
        <w:kinsoku/>
        <w:wordWrap w:val="0"/>
        <w:overflowPunct/>
        <w:topLinePunct/>
        <w:autoSpaceDE/>
        <w:autoSpaceDN/>
        <w:bidi w:val="0"/>
        <w:spacing w:line="500" w:lineRule="exact"/>
        <w:ind w:left="0" w:leftChars="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9、</w:t>
      </w:r>
      <w:r>
        <w:rPr>
          <w:rFonts w:hint="eastAsia" w:ascii="宋体" w:hAnsi="宋体" w:eastAsia="宋体" w:cs="宋体"/>
          <w:b w:val="0"/>
          <w:bCs/>
          <w:sz w:val="24"/>
          <w:szCs w:val="24"/>
        </w:rPr>
        <w:t>乙方负责提供保安人员的服装和执勤装备。</w:t>
      </w:r>
    </w:p>
    <w:p w14:paraId="41DAA885">
      <w:pPr>
        <w:pStyle w:val="43"/>
        <w:keepNext w:val="0"/>
        <w:keepLines w:val="0"/>
        <w:pageBreakBefore w:val="0"/>
        <w:numPr>
          <w:ilvl w:val="0"/>
          <w:numId w:val="0"/>
        </w:numPr>
        <w:tabs>
          <w:tab w:val="left" w:pos="672"/>
        </w:tabs>
        <w:kinsoku/>
        <w:wordWrap w:val="0"/>
        <w:overflowPunct/>
        <w:topLinePunct/>
        <w:autoSpaceDE/>
        <w:autoSpaceDN/>
        <w:bidi w:val="0"/>
        <w:spacing w:line="500" w:lineRule="exact"/>
        <w:ind w:left="0" w:firstLine="482" w:firstLineChars="200"/>
        <w:jc w:val="left"/>
        <w:textAlignment w:val="auto"/>
        <w:rPr>
          <w:rFonts w:hint="eastAsia" w:ascii="宋体" w:hAnsi="宋体" w:eastAsia="宋体" w:cs="宋体"/>
          <w:b/>
          <w:bCs w:val="0"/>
          <w:sz w:val="24"/>
          <w:szCs w:val="24"/>
          <w:lang w:eastAsia="zh-CN"/>
        </w:rPr>
      </w:pPr>
      <w:r>
        <w:rPr>
          <w:rFonts w:hint="eastAsia" w:ascii="宋体" w:hAnsi="宋体" w:eastAsia="宋体" w:cs="宋体"/>
          <w:b/>
          <w:bCs w:val="0"/>
          <w:sz w:val="24"/>
          <w:szCs w:val="24"/>
          <w:lang w:eastAsia="zh-CN"/>
        </w:rPr>
        <w:t>第</w:t>
      </w:r>
      <w:r>
        <w:rPr>
          <w:rFonts w:hint="eastAsia" w:ascii="宋体" w:hAnsi="宋体" w:eastAsia="宋体" w:cs="宋体"/>
          <w:b/>
          <w:bCs w:val="0"/>
          <w:sz w:val="24"/>
          <w:szCs w:val="24"/>
          <w:lang w:val="en-US" w:eastAsia="zh-CN"/>
        </w:rPr>
        <w:t>八</w:t>
      </w:r>
      <w:r>
        <w:rPr>
          <w:rFonts w:hint="eastAsia" w:ascii="宋体" w:hAnsi="宋体" w:eastAsia="宋体" w:cs="宋体"/>
          <w:b/>
          <w:bCs w:val="0"/>
          <w:sz w:val="24"/>
          <w:szCs w:val="24"/>
          <w:lang w:eastAsia="zh-CN"/>
        </w:rPr>
        <w:t>条保安考核细则：</w:t>
      </w:r>
    </w:p>
    <w:p w14:paraId="30A4D70F">
      <w:pPr>
        <w:keepNext w:val="0"/>
        <w:keepLines w:val="0"/>
        <w:pageBreakBefore w:val="0"/>
        <w:kinsoku/>
        <w:wordWrap w:val="0"/>
        <w:overflowPunct/>
        <w:topLinePunct/>
        <w:autoSpaceDE/>
        <w:autoSpaceDN/>
        <w:bidi w:val="0"/>
        <w:spacing w:line="500" w:lineRule="exact"/>
        <w:ind w:left="0" w:firstLine="480" w:firstLineChars="200"/>
        <w:jc w:val="left"/>
        <w:textAlignment w:val="auto"/>
        <w:rPr>
          <w:rFonts w:hint="eastAsia" w:ascii="宋体" w:hAnsi="宋体" w:eastAsia="宋体" w:cs="宋体"/>
          <w:b w:val="0"/>
          <w:bCs/>
          <w:sz w:val="24"/>
          <w:szCs w:val="24"/>
          <w:lang w:eastAsia="zh-CN"/>
        </w:rPr>
      </w:pPr>
      <w:r>
        <w:rPr>
          <w:rFonts w:hint="eastAsia" w:ascii="宋体" w:hAnsi="宋体" w:eastAsia="宋体" w:cs="宋体"/>
          <w:b w:val="0"/>
          <w:bCs/>
          <w:sz w:val="24"/>
          <w:szCs w:val="24"/>
          <w:lang w:val="en-US" w:eastAsia="zh-CN"/>
        </w:rPr>
        <w:t>1、</w:t>
      </w:r>
      <w:r>
        <w:rPr>
          <w:rFonts w:hint="eastAsia" w:ascii="宋体" w:hAnsi="宋体" w:eastAsia="宋体" w:cs="宋体"/>
          <w:b w:val="0"/>
          <w:bCs/>
          <w:sz w:val="24"/>
          <w:szCs w:val="24"/>
        </w:rPr>
        <w:t>乙方应根据甲方的培训需求制定年度培训计划，岗前培训应不少于5天，培训内容包括企业文化、专业知识、服务礼仪、管理制度等，确保受训人员能够达到上岗要求；日常履职培训应每年不少于</w:t>
      </w:r>
      <w:r>
        <w:rPr>
          <w:rFonts w:hint="eastAsia" w:ascii="宋体" w:hAnsi="宋体" w:eastAsia="宋体" w:cs="宋体"/>
          <w:b w:val="0"/>
          <w:bCs/>
          <w:sz w:val="24"/>
          <w:szCs w:val="24"/>
          <w:lang w:val="en-US" w:eastAsia="zh-CN"/>
        </w:rPr>
        <w:t>2</w:t>
      </w:r>
      <w:r>
        <w:rPr>
          <w:rFonts w:hint="eastAsia" w:ascii="宋体" w:hAnsi="宋体" w:eastAsia="宋体" w:cs="宋体"/>
          <w:b w:val="0"/>
          <w:bCs/>
          <w:sz w:val="24"/>
          <w:szCs w:val="24"/>
        </w:rPr>
        <w:t>次</w:t>
      </w:r>
      <w:r>
        <w:rPr>
          <w:rFonts w:hint="eastAsia" w:ascii="宋体" w:hAnsi="宋体" w:eastAsia="宋体" w:cs="宋体"/>
          <w:b w:val="0"/>
          <w:bCs/>
          <w:sz w:val="24"/>
          <w:szCs w:val="24"/>
          <w:lang w:eastAsia="zh-CN"/>
        </w:rPr>
        <w:t>。</w:t>
      </w:r>
    </w:p>
    <w:p w14:paraId="430EE335">
      <w:pPr>
        <w:keepNext w:val="0"/>
        <w:keepLines w:val="0"/>
        <w:pageBreakBefore w:val="0"/>
        <w:kinsoku/>
        <w:wordWrap w:val="0"/>
        <w:overflowPunct/>
        <w:topLinePunct/>
        <w:autoSpaceDE/>
        <w:autoSpaceDN/>
        <w:bidi w:val="0"/>
        <w:spacing w:line="500" w:lineRule="exact"/>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2</w:t>
      </w:r>
      <w:r>
        <w:rPr>
          <w:rFonts w:hint="eastAsia" w:ascii="宋体" w:hAnsi="宋体" w:eastAsia="宋体" w:cs="宋体"/>
          <w:b w:val="0"/>
          <w:bCs/>
          <w:sz w:val="24"/>
          <w:szCs w:val="24"/>
        </w:rPr>
        <w:t>.乙方应建立</w:t>
      </w:r>
      <w:r>
        <w:rPr>
          <w:rFonts w:hint="eastAsia" w:ascii="宋体" w:hAnsi="宋体" w:eastAsia="宋体" w:cs="宋体"/>
          <w:b w:val="0"/>
          <w:bCs/>
          <w:sz w:val="24"/>
          <w:szCs w:val="24"/>
          <w:lang w:eastAsia="zh-CN"/>
        </w:rPr>
        <w:t>保安队员</w:t>
      </w:r>
      <w:r>
        <w:rPr>
          <w:rFonts w:hint="eastAsia" w:ascii="宋体" w:hAnsi="宋体" w:eastAsia="宋体" w:cs="宋体"/>
          <w:b w:val="0"/>
          <w:bCs/>
          <w:sz w:val="24"/>
          <w:szCs w:val="24"/>
        </w:rPr>
        <w:t>评先评优机制，每年组织一次评选，并将评选结果纳入年终总评。</w:t>
      </w:r>
    </w:p>
    <w:p w14:paraId="209B86B9">
      <w:pPr>
        <w:keepNext w:val="0"/>
        <w:keepLines w:val="0"/>
        <w:pageBreakBefore w:val="0"/>
        <w:kinsoku/>
        <w:wordWrap w:val="0"/>
        <w:overflowPunct/>
        <w:topLinePunct/>
        <w:autoSpaceDE/>
        <w:autoSpaceDN/>
        <w:bidi w:val="0"/>
        <w:spacing w:line="500" w:lineRule="exact"/>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3</w:t>
      </w:r>
      <w:r>
        <w:rPr>
          <w:rFonts w:hint="eastAsia" w:ascii="宋体" w:hAnsi="宋体" w:eastAsia="宋体" w:cs="宋体"/>
          <w:b w:val="0"/>
          <w:bCs/>
          <w:sz w:val="24"/>
          <w:szCs w:val="24"/>
        </w:rPr>
        <w:t>.乙方应根据工作年限、年度考核结果，建立</w:t>
      </w:r>
      <w:r>
        <w:rPr>
          <w:rFonts w:hint="eastAsia" w:ascii="宋体" w:hAnsi="宋体" w:eastAsia="宋体" w:cs="宋体"/>
          <w:b w:val="0"/>
          <w:bCs/>
          <w:sz w:val="24"/>
          <w:szCs w:val="24"/>
          <w:lang w:eastAsia="zh-CN"/>
        </w:rPr>
        <w:t>队</w:t>
      </w:r>
      <w:r>
        <w:rPr>
          <w:rFonts w:hint="eastAsia" w:ascii="宋体" w:hAnsi="宋体" w:eastAsia="宋体" w:cs="宋体"/>
          <w:b w:val="0"/>
          <w:bCs/>
          <w:sz w:val="24"/>
          <w:szCs w:val="24"/>
        </w:rPr>
        <w:t>员等级管理制度，并且与其基本薪酬分档设置挂钩，建立内部晋升通道，保障人员稳定。</w:t>
      </w:r>
    </w:p>
    <w:p w14:paraId="2BA4B068">
      <w:pPr>
        <w:keepNext w:val="0"/>
        <w:keepLines w:val="0"/>
        <w:pageBreakBefore w:val="0"/>
        <w:kinsoku/>
        <w:wordWrap w:val="0"/>
        <w:overflowPunct/>
        <w:topLinePunct/>
        <w:autoSpaceDE/>
        <w:autoSpaceDN/>
        <w:bidi w:val="0"/>
        <w:spacing w:line="500" w:lineRule="exact"/>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4</w:t>
      </w:r>
      <w:r>
        <w:rPr>
          <w:rFonts w:hint="eastAsia" w:ascii="宋体" w:hAnsi="宋体" w:eastAsia="宋体" w:cs="宋体"/>
          <w:b w:val="0"/>
          <w:bCs/>
          <w:sz w:val="24"/>
          <w:szCs w:val="24"/>
        </w:rPr>
        <w:t>.乙方应根据甲方服务礼仪规范相关要求，统一服装，费用由乙方承担，原则上每两年应新配发一套服装及配饰，确保</w:t>
      </w:r>
      <w:r>
        <w:rPr>
          <w:rFonts w:hint="eastAsia" w:ascii="宋体" w:hAnsi="宋体" w:eastAsia="宋体" w:cs="宋体"/>
          <w:b w:val="0"/>
          <w:bCs/>
          <w:sz w:val="24"/>
          <w:szCs w:val="24"/>
          <w:lang w:eastAsia="zh-CN"/>
        </w:rPr>
        <w:t>队</w:t>
      </w:r>
      <w:r>
        <w:rPr>
          <w:rFonts w:hint="eastAsia" w:ascii="宋体" w:hAnsi="宋体" w:eastAsia="宋体" w:cs="宋体"/>
          <w:b w:val="0"/>
          <w:bCs/>
          <w:sz w:val="24"/>
          <w:szCs w:val="24"/>
        </w:rPr>
        <w:t>员形象统一、规范。</w:t>
      </w:r>
    </w:p>
    <w:p w14:paraId="71A99C29">
      <w:pPr>
        <w:keepNext w:val="0"/>
        <w:keepLines w:val="0"/>
        <w:pageBreakBefore w:val="0"/>
        <w:kinsoku/>
        <w:wordWrap w:val="0"/>
        <w:overflowPunct/>
        <w:topLinePunct/>
        <w:autoSpaceDE/>
        <w:autoSpaceDN/>
        <w:bidi w:val="0"/>
        <w:spacing w:line="500" w:lineRule="exact"/>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5</w:t>
      </w:r>
      <w:r>
        <w:rPr>
          <w:rFonts w:hint="eastAsia" w:ascii="宋体" w:hAnsi="宋体" w:eastAsia="宋体" w:cs="宋体"/>
          <w:b w:val="0"/>
          <w:bCs/>
          <w:sz w:val="24"/>
          <w:szCs w:val="24"/>
        </w:rPr>
        <w:t>.乙方在提供保安服务时，应严格执行甲方办公机具管理规定，正确使用和爱护甲方办公机具，若因人为原因，造成甲方办公机具丢失、损坏等事故的，由乙方承担相应的经济赔偿责任。</w:t>
      </w:r>
    </w:p>
    <w:p w14:paraId="5571C20B">
      <w:pPr>
        <w:pStyle w:val="43"/>
        <w:keepNext w:val="0"/>
        <w:keepLines w:val="0"/>
        <w:pageBreakBefore w:val="0"/>
        <w:numPr>
          <w:ilvl w:val="0"/>
          <w:numId w:val="0"/>
        </w:numPr>
        <w:tabs>
          <w:tab w:val="left" w:pos="672"/>
        </w:tabs>
        <w:kinsoku/>
        <w:wordWrap w:val="0"/>
        <w:overflowPunct/>
        <w:topLinePunct/>
        <w:autoSpaceDE/>
        <w:autoSpaceDN/>
        <w:bidi w:val="0"/>
        <w:spacing w:line="500" w:lineRule="exact"/>
        <w:ind w:left="0" w:leftChars="0" w:firstLine="482" w:firstLineChars="200"/>
        <w:jc w:val="left"/>
        <w:textAlignment w:val="auto"/>
        <w:rPr>
          <w:rFonts w:hint="eastAsia" w:ascii="宋体" w:hAnsi="宋体" w:eastAsia="宋体" w:cs="宋体"/>
          <w:b/>
          <w:bCs w:val="0"/>
          <w:sz w:val="24"/>
          <w:szCs w:val="24"/>
        </w:rPr>
      </w:pPr>
      <w:r>
        <w:rPr>
          <w:rFonts w:hint="eastAsia" w:ascii="宋体" w:hAnsi="宋体" w:eastAsia="宋体" w:cs="宋体"/>
          <w:b/>
          <w:bCs w:val="0"/>
          <w:sz w:val="24"/>
          <w:szCs w:val="24"/>
          <w:lang w:eastAsia="zh-CN"/>
        </w:rPr>
        <w:t>第</w:t>
      </w:r>
      <w:r>
        <w:rPr>
          <w:rFonts w:hint="eastAsia" w:ascii="宋体" w:hAnsi="宋体" w:eastAsia="宋体" w:cs="宋体"/>
          <w:b/>
          <w:bCs w:val="0"/>
          <w:sz w:val="24"/>
          <w:szCs w:val="24"/>
          <w:lang w:val="en-US" w:eastAsia="zh-CN"/>
        </w:rPr>
        <w:t>九</w:t>
      </w:r>
      <w:r>
        <w:rPr>
          <w:rFonts w:hint="eastAsia" w:ascii="宋体" w:hAnsi="宋体" w:eastAsia="宋体" w:cs="宋体"/>
          <w:b/>
          <w:bCs w:val="0"/>
          <w:sz w:val="24"/>
          <w:szCs w:val="24"/>
          <w:lang w:eastAsia="zh-CN"/>
        </w:rPr>
        <w:t>条</w:t>
      </w:r>
      <w:r>
        <w:rPr>
          <w:rFonts w:hint="eastAsia" w:ascii="宋体" w:hAnsi="宋体" w:eastAsia="宋体" w:cs="宋体"/>
          <w:b/>
          <w:bCs w:val="0"/>
          <w:sz w:val="24"/>
          <w:szCs w:val="24"/>
        </w:rPr>
        <w:t>其他约定：</w:t>
      </w:r>
    </w:p>
    <w:p w14:paraId="1B671B09">
      <w:pPr>
        <w:pStyle w:val="43"/>
        <w:keepNext w:val="0"/>
        <w:keepLines w:val="0"/>
        <w:pageBreakBefore w:val="0"/>
        <w:numPr>
          <w:ilvl w:val="0"/>
          <w:numId w:val="0"/>
        </w:numPr>
        <w:tabs>
          <w:tab w:val="left" w:pos="672"/>
        </w:tabs>
        <w:kinsoku/>
        <w:wordWrap w:val="0"/>
        <w:overflowPunct/>
        <w:topLinePunct/>
        <w:autoSpaceDE/>
        <w:autoSpaceDN/>
        <w:bidi w:val="0"/>
        <w:spacing w:line="500" w:lineRule="exact"/>
        <w:ind w:left="0" w:leftChars="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1、如甲方有临时性特殊任务，可调换或临时调动女性保安。</w:t>
      </w:r>
    </w:p>
    <w:p w14:paraId="7EE46BB4">
      <w:pPr>
        <w:pStyle w:val="43"/>
        <w:keepNext w:val="0"/>
        <w:keepLines w:val="0"/>
        <w:pageBreakBefore w:val="0"/>
        <w:numPr>
          <w:ilvl w:val="0"/>
          <w:numId w:val="0"/>
        </w:numPr>
        <w:tabs>
          <w:tab w:val="left" w:pos="672"/>
        </w:tabs>
        <w:kinsoku/>
        <w:wordWrap w:val="0"/>
        <w:overflowPunct/>
        <w:topLinePunct/>
        <w:autoSpaceDE/>
        <w:autoSpaceDN/>
        <w:bidi w:val="0"/>
        <w:spacing w:line="500" w:lineRule="exact"/>
        <w:ind w:left="0" w:leftChars="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2、</w:t>
      </w:r>
      <w:r>
        <w:rPr>
          <w:rFonts w:hint="eastAsia" w:ascii="宋体" w:hAnsi="宋体" w:eastAsia="宋体" w:cs="宋体"/>
          <w:b w:val="0"/>
          <w:bCs/>
          <w:sz w:val="24"/>
          <w:szCs w:val="24"/>
        </w:rPr>
        <w:t>在不影响甲方正常工作的情况下，甲方应支持保安队员参加乙方每月例会及各类临时性执勤活动。</w:t>
      </w:r>
    </w:p>
    <w:p w14:paraId="68C35235">
      <w:pPr>
        <w:pStyle w:val="43"/>
        <w:keepNext w:val="0"/>
        <w:keepLines w:val="0"/>
        <w:pageBreakBefore w:val="0"/>
        <w:numPr>
          <w:ilvl w:val="0"/>
          <w:numId w:val="0"/>
        </w:numPr>
        <w:tabs>
          <w:tab w:val="left" w:pos="672"/>
        </w:tabs>
        <w:kinsoku/>
        <w:wordWrap w:val="0"/>
        <w:overflowPunct/>
        <w:topLinePunct/>
        <w:autoSpaceDE/>
        <w:autoSpaceDN/>
        <w:bidi w:val="0"/>
        <w:spacing w:line="500" w:lineRule="exact"/>
        <w:ind w:left="0" w:leftChars="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3、</w:t>
      </w:r>
      <w:r>
        <w:rPr>
          <w:rFonts w:hint="eastAsia" w:ascii="宋体" w:hAnsi="宋体" w:eastAsia="宋体" w:cs="宋体"/>
          <w:b w:val="0"/>
          <w:bCs/>
          <w:sz w:val="24"/>
          <w:szCs w:val="24"/>
        </w:rPr>
        <w:t>本合同未尽事宜经双方协商后可另立补充协议。</w:t>
      </w:r>
    </w:p>
    <w:p w14:paraId="5BB6403C">
      <w:pPr>
        <w:pStyle w:val="43"/>
        <w:keepNext w:val="0"/>
        <w:keepLines w:val="0"/>
        <w:pageBreakBefore w:val="0"/>
        <w:numPr>
          <w:ilvl w:val="0"/>
          <w:numId w:val="0"/>
        </w:numPr>
        <w:tabs>
          <w:tab w:val="left" w:pos="672"/>
        </w:tabs>
        <w:kinsoku/>
        <w:wordWrap w:val="0"/>
        <w:overflowPunct/>
        <w:topLinePunct/>
        <w:autoSpaceDE/>
        <w:autoSpaceDN/>
        <w:bidi w:val="0"/>
        <w:spacing w:line="500" w:lineRule="exact"/>
        <w:ind w:left="0" w:leftChars="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4、若甲方考核乙方达不到标准，甲方有权随时解除合同，重新招标（具体考核标准见合同附件1）。</w:t>
      </w:r>
    </w:p>
    <w:p w14:paraId="663DB927">
      <w:pPr>
        <w:pStyle w:val="43"/>
        <w:keepNext w:val="0"/>
        <w:keepLines w:val="0"/>
        <w:pageBreakBefore w:val="0"/>
        <w:numPr>
          <w:ilvl w:val="0"/>
          <w:numId w:val="0"/>
        </w:numPr>
        <w:tabs>
          <w:tab w:val="left" w:pos="672"/>
        </w:tabs>
        <w:kinsoku/>
        <w:wordWrap w:val="0"/>
        <w:overflowPunct/>
        <w:topLinePunct/>
        <w:autoSpaceDE/>
        <w:autoSpaceDN/>
        <w:bidi w:val="0"/>
        <w:spacing w:line="500" w:lineRule="exact"/>
        <w:ind w:left="0" w:leftChars="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5、招投标文件属于合同组成部分。</w:t>
      </w:r>
    </w:p>
    <w:p w14:paraId="2A6563DE">
      <w:pPr>
        <w:pStyle w:val="43"/>
        <w:keepNext w:val="0"/>
        <w:keepLines w:val="0"/>
        <w:pageBreakBefore w:val="0"/>
        <w:numPr>
          <w:ilvl w:val="0"/>
          <w:numId w:val="0"/>
        </w:numPr>
        <w:tabs>
          <w:tab w:val="left" w:pos="672"/>
        </w:tabs>
        <w:kinsoku/>
        <w:wordWrap w:val="0"/>
        <w:overflowPunct/>
        <w:topLinePunct/>
        <w:autoSpaceDE/>
        <w:autoSpaceDN/>
        <w:bidi w:val="0"/>
        <w:spacing w:line="500" w:lineRule="exact"/>
        <w:ind w:left="0" w:firstLine="482" w:firstLineChars="200"/>
        <w:jc w:val="left"/>
        <w:textAlignment w:val="auto"/>
        <w:rPr>
          <w:rFonts w:hint="eastAsia" w:ascii="宋体" w:hAnsi="宋体" w:eastAsia="宋体" w:cs="宋体"/>
          <w:b/>
          <w:bCs w:val="0"/>
          <w:color w:val="000000"/>
          <w:kern w:val="0"/>
          <w:sz w:val="24"/>
          <w:szCs w:val="24"/>
          <w:lang w:val="en-US" w:eastAsia="zh-CN" w:bidi="ar"/>
        </w:rPr>
      </w:pPr>
      <w:r>
        <w:rPr>
          <w:rFonts w:hint="eastAsia" w:ascii="宋体" w:hAnsi="宋体" w:eastAsia="宋体" w:cs="宋体"/>
          <w:b/>
          <w:bCs w:val="0"/>
          <w:color w:val="000000"/>
          <w:kern w:val="0"/>
          <w:sz w:val="24"/>
          <w:szCs w:val="24"/>
          <w:lang w:val="en-US" w:eastAsia="zh-CN" w:bidi="ar"/>
        </w:rPr>
        <w:t>第十条赔偿条款</w:t>
      </w:r>
    </w:p>
    <w:p w14:paraId="2E7C0B26">
      <w:pPr>
        <w:keepNext w:val="0"/>
        <w:keepLines w:val="0"/>
        <w:pageBreakBefore w:val="0"/>
        <w:widowControl/>
        <w:suppressLineNumbers w:val="0"/>
        <w:kinsoku/>
        <w:wordWrap w:val="0"/>
        <w:overflowPunct/>
        <w:topLinePunct/>
        <w:autoSpaceDE/>
        <w:autoSpaceDN/>
        <w:bidi w:val="0"/>
        <w:spacing w:line="500" w:lineRule="exact"/>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（一）在合同期间，并在合同规定责任区内，因乙方保安人员工作失误、失职而造成甲方财产损失和在甲方责任区内的人员人身伤害，经公安部门认定属实，确定责任大小，由乙方赔偿甲方相应的经济损失。</w:t>
      </w:r>
    </w:p>
    <w:p w14:paraId="0819187A">
      <w:pPr>
        <w:keepNext w:val="0"/>
        <w:keepLines w:val="0"/>
        <w:pageBreakBefore w:val="0"/>
        <w:widowControl/>
        <w:suppressLineNumbers w:val="0"/>
        <w:kinsoku/>
        <w:wordWrap w:val="0"/>
        <w:overflowPunct/>
        <w:topLinePunct/>
        <w:autoSpaceDE/>
        <w:autoSpaceDN/>
        <w:bidi w:val="0"/>
        <w:spacing w:line="500" w:lineRule="exact"/>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（二）根据国家有关规定，因下列原因造成的甲方损失，乙方不负责赔偿：</w:t>
      </w:r>
    </w:p>
    <w:p w14:paraId="234A61A9">
      <w:pPr>
        <w:keepNext w:val="0"/>
        <w:keepLines w:val="0"/>
        <w:pageBreakBefore w:val="0"/>
        <w:widowControl/>
        <w:suppressLineNumbers w:val="0"/>
        <w:kinsoku/>
        <w:wordWrap w:val="0"/>
        <w:overflowPunct/>
        <w:topLinePunct/>
        <w:autoSpaceDE/>
        <w:autoSpaceDN/>
        <w:bidi w:val="0"/>
        <w:spacing w:line="500" w:lineRule="exact"/>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1、因紧急避险造成的损失；</w:t>
      </w:r>
    </w:p>
    <w:p w14:paraId="1D97D29F">
      <w:pPr>
        <w:keepNext w:val="0"/>
        <w:keepLines w:val="0"/>
        <w:pageBreakBefore w:val="0"/>
        <w:widowControl/>
        <w:suppressLineNumbers w:val="0"/>
        <w:kinsoku/>
        <w:wordWrap w:val="0"/>
        <w:overflowPunct/>
        <w:topLinePunct/>
        <w:autoSpaceDE/>
        <w:autoSpaceDN/>
        <w:bidi w:val="0"/>
        <w:spacing w:line="500" w:lineRule="exact"/>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2、在紧急情况下从事对甲方或社会有益的工作而造成的损失；</w:t>
      </w:r>
    </w:p>
    <w:p w14:paraId="5FA487E5">
      <w:pPr>
        <w:keepNext w:val="0"/>
        <w:keepLines w:val="0"/>
        <w:pageBreakBefore w:val="0"/>
        <w:widowControl/>
        <w:suppressLineNumbers w:val="0"/>
        <w:kinsoku/>
        <w:wordWrap w:val="0"/>
        <w:overflowPunct/>
        <w:topLinePunct/>
        <w:autoSpaceDE/>
        <w:autoSpaceDN/>
        <w:bidi w:val="0"/>
        <w:spacing w:line="500" w:lineRule="exact"/>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3、遭受不可抗拒的意外事故造成的损失。</w:t>
      </w:r>
    </w:p>
    <w:p w14:paraId="230C04A3">
      <w:pPr>
        <w:pStyle w:val="43"/>
        <w:keepNext w:val="0"/>
        <w:keepLines w:val="0"/>
        <w:pageBreakBefore w:val="0"/>
        <w:tabs>
          <w:tab w:val="left" w:pos="672"/>
        </w:tabs>
        <w:kinsoku/>
        <w:wordWrap w:val="0"/>
        <w:overflowPunct/>
        <w:topLinePunct/>
        <w:autoSpaceDE/>
        <w:autoSpaceDN/>
        <w:bidi w:val="0"/>
        <w:spacing w:line="500" w:lineRule="exact"/>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第</w:t>
      </w:r>
      <w:r>
        <w:rPr>
          <w:rFonts w:hint="eastAsia" w:ascii="宋体" w:hAnsi="宋体" w:eastAsia="宋体" w:cs="宋体"/>
          <w:b w:val="0"/>
          <w:bCs/>
          <w:sz w:val="24"/>
          <w:szCs w:val="24"/>
          <w:lang w:val="en-US" w:eastAsia="zh-CN"/>
        </w:rPr>
        <w:t>十一</w:t>
      </w:r>
      <w:r>
        <w:rPr>
          <w:rFonts w:hint="eastAsia" w:ascii="宋体" w:hAnsi="宋体" w:eastAsia="宋体" w:cs="宋体"/>
          <w:b w:val="0"/>
          <w:bCs/>
          <w:sz w:val="24"/>
          <w:szCs w:val="24"/>
        </w:rPr>
        <w:t>条本合同一式</w:t>
      </w:r>
      <w:r>
        <w:rPr>
          <w:rFonts w:hint="eastAsia" w:ascii="宋体" w:hAnsi="宋体" w:eastAsia="宋体" w:cs="宋体"/>
          <w:b w:val="0"/>
          <w:bCs/>
          <w:sz w:val="24"/>
          <w:szCs w:val="24"/>
          <w:lang w:val="en-US" w:eastAsia="zh-CN"/>
        </w:rPr>
        <w:t>5</w:t>
      </w:r>
      <w:r>
        <w:rPr>
          <w:rFonts w:hint="eastAsia" w:ascii="宋体" w:hAnsi="宋体" w:eastAsia="宋体" w:cs="宋体"/>
          <w:b w:val="0"/>
          <w:bCs/>
          <w:sz w:val="24"/>
          <w:szCs w:val="24"/>
        </w:rPr>
        <w:t>份，甲</w:t>
      </w:r>
      <w:r>
        <w:rPr>
          <w:rFonts w:hint="eastAsia" w:ascii="宋体" w:hAnsi="宋体" w:eastAsia="宋体" w:cs="宋体"/>
          <w:b w:val="0"/>
          <w:bCs/>
          <w:sz w:val="24"/>
          <w:szCs w:val="24"/>
          <w:lang w:val="en-US" w:eastAsia="zh-CN"/>
        </w:rPr>
        <w:t>方4</w:t>
      </w:r>
      <w:r>
        <w:rPr>
          <w:rFonts w:hint="eastAsia" w:ascii="宋体" w:hAnsi="宋体" w:eastAsia="宋体" w:cs="宋体"/>
          <w:b w:val="0"/>
          <w:bCs/>
          <w:sz w:val="24"/>
          <w:szCs w:val="24"/>
        </w:rPr>
        <w:t>份，</w:t>
      </w:r>
      <w:r>
        <w:rPr>
          <w:rFonts w:hint="eastAsia" w:ascii="宋体" w:hAnsi="宋体" w:eastAsia="宋体" w:cs="宋体"/>
          <w:b w:val="0"/>
          <w:bCs/>
          <w:sz w:val="24"/>
          <w:szCs w:val="24"/>
          <w:lang w:val="en-US" w:eastAsia="zh-CN"/>
        </w:rPr>
        <w:t>乙方1份，</w:t>
      </w:r>
      <w:r>
        <w:rPr>
          <w:rFonts w:hint="eastAsia" w:ascii="宋体" w:hAnsi="宋体" w:eastAsia="宋体" w:cs="宋体"/>
          <w:b w:val="0"/>
          <w:bCs/>
          <w:sz w:val="24"/>
          <w:szCs w:val="24"/>
        </w:rPr>
        <w:t>自双方签字（盖章）之日起生效。</w:t>
      </w:r>
    </w:p>
    <w:p w14:paraId="029D23E9">
      <w:pPr>
        <w:pStyle w:val="43"/>
        <w:keepNext w:val="0"/>
        <w:keepLines w:val="0"/>
        <w:pageBreakBefore w:val="0"/>
        <w:tabs>
          <w:tab w:val="left" w:pos="672"/>
        </w:tabs>
        <w:kinsoku/>
        <w:wordWrap w:val="0"/>
        <w:overflowPunct/>
        <w:topLinePunct/>
        <w:autoSpaceDE/>
        <w:autoSpaceDN/>
        <w:bidi w:val="0"/>
        <w:spacing w:line="500" w:lineRule="exact"/>
        <w:ind w:left="0" w:leftChars="0" w:firstLine="480" w:firstLineChars="200"/>
        <w:jc w:val="left"/>
        <w:textAlignment w:val="auto"/>
        <w:rPr>
          <w:rFonts w:hint="eastAsia" w:ascii="宋体" w:hAnsi="宋体" w:eastAsia="宋体" w:cs="宋体"/>
          <w:b w:val="0"/>
          <w:bCs/>
          <w:sz w:val="24"/>
          <w:szCs w:val="24"/>
        </w:rPr>
      </w:pPr>
    </w:p>
    <w:p w14:paraId="79036E48">
      <w:pPr>
        <w:pStyle w:val="43"/>
        <w:keepNext w:val="0"/>
        <w:keepLines w:val="0"/>
        <w:pageBreakBefore w:val="0"/>
        <w:tabs>
          <w:tab w:val="left" w:pos="672"/>
        </w:tabs>
        <w:kinsoku/>
        <w:wordWrap w:val="0"/>
        <w:overflowPunct/>
        <w:topLinePunct/>
        <w:autoSpaceDE/>
        <w:autoSpaceDN/>
        <w:bidi w:val="0"/>
        <w:spacing w:line="500" w:lineRule="exact"/>
        <w:ind w:left="0" w:leftChars="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甲方：济源市人民医院</w:t>
      </w:r>
      <w:r>
        <w:rPr>
          <w:rFonts w:hint="eastAsia" w:ascii="宋体" w:hAnsi="宋体" w:eastAsia="宋体" w:cs="宋体"/>
          <w:b w:val="0"/>
          <w:bCs/>
          <w:sz w:val="24"/>
          <w:szCs w:val="24"/>
          <w:lang w:val="en-US" w:eastAsia="zh-CN"/>
        </w:rPr>
        <w:t xml:space="preserve">                    </w:t>
      </w:r>
      <w:r>
        <w:rPr>
          <w:rFonts w:hint="eastAsia" w:ascii="宋体" w:hAnsi="宋体" w:eastAsia="宋体" w:cs="宋体"/>
          <w:b w:val="0"/>
          <w:bCs/>
          <w:sz w:val="24"/>
          <w:szCs w:val="24"/>
        </w:rPr>
        <w:t>乙方：</w:t>
      </w:r>
    </w:p>
    <w:p w14:paraId="5CD96829">
      <w:pPr>
        <w:keepNext w:val="0"/>
        <w:keepLines w:val="0"/>
        <w:pageBreakBefore w:val="0"/>
        <w:tabs>
          <w:tab w:val="left" w:pos="672"/>
        </w:tabs>
        <w:kinsoku/>
        <w:wordWrap w:val="0"/>
        <w:overflowPunct/>
        <w:topLinePunct/>
        <w:autoSpaceDE/>
        <w:autoSpaceDN/>
        <w:bidi w:val="0"/>
        <w:spacing w:line="500" w:lineRule="exact"/>
        <w:ind w:left="0" w:firstLine="480" w:firstLineChars="200"/>
        <w:jc w:val="left"/>
        <w:textAlignment w:val="auto"/>
        <w:rPr>
          <w:rFonts w:hint="eastAsia" w:ascii="宋体" w:hAnsi="宋体" w:eastAsia="宋体" w:cs="宋体"/>
          <w:b w:val="0"/>
          <w:bCs/>
          <w:sz w:val="24"/>
          <w:szCs w:val="24"/>
          <w:lang w:eastAsia="zh-CN"/>
        </w:rPr>
      </w:pPr>
      <w:r>
        <w:rPr>
          <w:rFonts w:hint="eastAsia" w:ascii="宋体" w:hAnsi="宋体" w:eastAsia="宋体" w:cs="宋体"/>
          <w:b w:val="0"/>
          <w:bCs/>
          <w:sz w:val="24"/>
          <w:szCs w:val="24"/>
        </w:rPr>
        <w:t>代表人（或委托人）</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rPr>
        <w:tab/>
      </w:r>
      <w:r>
        <w:rPr>
          <w:rFonts w:hint="eastAsia" w:ascii="宋体" w:hAnsi="宋体" w:eastAsia="宋体" w:cs="宋体"/>
          <w:b w:val="0"/>
          <w:bCs/>
          <w:sz w:val="24"/>
          <w:szCs w:val="24"/>
          <w:lang w:val="en-US" w:eastAsia="zh-CN"/>
        </w:rPr>
        <w:t xml:space="preserve">                   法定</w:t>
      </w:r>
      <w:r>
        <w:rPr>
          <w:rFonts w:hint="eastAsia" w:ascii="宋体" w:hAnsi="宋体" w:eastAsia="宋体" w:cs="宋体"/>
          <w:b w:val="0"/>
          <w:bCs/>
          <w:sz w:val="24"/>
          <w:szCs w:val="24"/>
        </w:rPr>
        <w:t>代表人</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lang w:val="en-US" w:eastAsia="zh-CN"/>
        </w:rPr>
        <w:t>授权人</w:t>
      </w:r>
      <w:r>
        <w:rPr>
          <w:rFonts w:hint="eastAsia" w:ascii="宋体" w:hAnsi="宋体" w:eastAsia="宋体" w:cs="宋体"/>
          <w:b w:val="0"/>
          <w:bCs/>
          <w:sz w:val="24"/>
          <w:szCs w:val="24"/>
          <w:lang w:eastAsia="zh-CN"/>
        </w:rPr>
        <w:t>）：</w:t>
      </w:r>
    </w:p>
    <w:p w14:paraId="13129E3B">
      <w:pPr>
        <w:keepNext w:val="0"/>
        <w:keepLines w:val="0"/>
        <w:pageBreakBefore w:val="0"/>
        <w:tabs>
          <w:tab w:val="left" w:pos="672"/>
        </w:tabs>
        <w:kinsoku/>
        <w:wordWrap w:val="0"/>
        <w:overflowPunct/>
        <w:topLinePunct/>
        <w:autoSpaceDE/>
        <w:autoSpaceDN/>
        <w:bidi w:val="0"/>
        <w:spacing w:line="500" w:lineRule="exact"/>
        <w:ind w:left="0" w:firstLine="480" w:firstLineChars="200"/>
        <w:jc w:val="left"/>
        <w:textAlignment w:val="auto"/>
        <w:rPr>
          <w:rFonts w:hint="eastAsia" w:ascii="宋体" w:hAnsi="宋体" w:eastAsia="宋体" w:cs="宋体"/>
          <w:b w:val="0"/>
          <w:bCs/>
          <w:sz w:val="24"/>
          <w:szCs w:val="24"/>
          <w:lang w:val="en-US"/>
        </w:rPr>
      </w:pPr>
      <w:r>
        <w:rPr>
          <w:rFonts w:hint="eastAsia" w:ascii="宋体" w:hAnsi="宋体" w:eastAsia="宋体" w:cs="宋体"/>
          <w:b w:val="0"/>
          <w:bCs/>
          <w:sz w:val="24"/>
          <w:szCs w:val="24"/>
        </w:rPr>
        <w:t>联系电话：</w:t>
      </w:r>
      <w:r>
        <w:rPr>
          <w:rFonts w:hint="eastAsia" w:ascii="宋体" w:hAnsi="宋体" w:eastAsia="宋体" w:cs="宋体"/>
          <w:b w:val="0"/>
          <w:bCs/>
          <w:sz w:val="24"/>
          <w:szCs w:val="24"/>
        </w:rPr>
        <w:tab/>
      </w:r>
      <w:r>
        <w:rPr>
          <w:rFonts w:hint="eastAsia" w:ascii="宋体" w:hAnsi="宋体" w:eastAsia="宋体" w:cs="宋体"/>
          <w:b w:val="0"/>
          <w:bCs/>
          <w:sz w:val="24"/>
          <w:szCs w:val="24"/>
          <w:lang w:val="en-US" w:eastAsia="zh-CN"/>
        </w:rPr>
        <w:t xml:space="preserve">                          </w:t>
      </w:r>
      <w:r>
        <w:rPr>
          <w:rFonts w:hint="eastAsia" w:ascii="宋体" w:hAnsi="宋体" w:eastAsia="宋体" w:cs="宋体"/>
          <w:b w:val="0"/>
          <w:bCs/>
          <w:sz w:val="24"/>
          <w:szCs w:val="24"/>
        </w:rPr>
        <w:t>联系电话：</w:t>
      </w:r>
    </w:p>
    <w:p w14:paraId="2E037EE2">
      <w:pPr>
        <w:keepNext w:val="0"/>
        <w:keepLines w:val="0"/>
        <w:pageBreakBefore w:val="0"/>
        <w:tabs>
          <w:tab w:val="left" w:pos="672"/>
          <w:tab w:val="left" w:pos="4768"/>
        </w:tabs>
        <w:kinsoku/>
        <w:wordWrap w:val="0"/>
        <w:overflowPunct/>
        <w:topLinePunct/>
        <w:autoSpaceDE/>
        <w:autoSpaceDN/>
        <w:bidi w:val="0"/>
        <w:spacing w:line="500" w:lineRule="exact"/>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开户行：</w:t>
      </w:r>
    </w:p>
    <w:p w14:paraId="4AA4744F">
      <w:pPr>
        <w:keepNext w:val="0"/>
        <w:keepLines w:val="0"/>
        <w:pageBreakBefore w:val="0"/>
        <w:tabs>
          <w:tab w:val="left" w:pos="672"/>
          <w:tab w:val="left" w:pos="4768"/>
        </w:tabs>
        <w:kinsoku/>
        <w:wordWrap w:val="0"/>
        <w:overflowPunct/>
        <w:topLinePunct/>
        <w:autoSpaceDE/>
        <w:autoSpaceDN/>
        <w:bidi w:val="0"/>
        <w:spacing w:line="500" w:lineRule="exact"/>
        <w:ind w:left="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账</w:t>
      </w:r>
      <w:r>
        <w:rPr>
          <w:rFonts w:hint="eastAsia" w:ascii="宋体" w:hAnsi="宋体" w:eastAsia="宋体" w:cs="宋体"/>
          <w:b w:val="0"/>
          <w:bCs/>
          <w:sz w:val="24"/>
          <w:szCs w:val="24"/>
        </w:rPr>
        <w:t>号：</w:t>
      </w:r>
    </w:p>
    <w:p w14:paraId="4A569F8F">
      <w:pPr>
        <w:pStyle w:val="43"/>
        <w:keepNext w:val="0"/>
        <w:keepLines w:val="0"/>
        <w:pageBreakBefore w:val="0"/>
        <w:tabs>
          <w:tab w:val="left" w:pos="672"/>
        </w:tabs>
        <w:kinsoku/>
        <w:wordWrap w:val="0"/>
        <w:overflowPunct/>
        <w:topLinePunct/>
        <w:autoSpaceDE/>
        <w:autoSpaceDN/>
        <w:bidi w:val="0"/>
        <w:spacing w:line="500" w:lineRule="exact"/>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b w:val="0"/>
          <w:bCs/>
          <w:sz w:val="24"/>
          <w:szCs w:val="24"/>
        </w:rPr>
        <w:t>合同签订日期</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lang w:val="en-US" w:eastAsia="zh-CN"/>
        </w:rPr>
        <w:t xml:space="preserve">  </w:t>
      </w:r>
      <w:r>
        <w:rPr>
          <w:rFonts w:hint="eastAsia" w:ascii="宋体" w:hAnsi="宋体" w:eastAsia="宋体" w:cs="宋体"/>
          <w:b w:val="0"/>
          <w:bCs/>
          <w:sz w:val="24"/>
          <w:szCs w:val="24"/>
        </w:rPr>
        <w:t>年</w:t>
      </w:r>
      <w:r>
        <w:rPr>
          <w:rFonts w:hint="eastAsia" w:ascii="宋体" w:hAnsi="宋体" w:eastAsia="宋体" w:cs="宋体"/>
          <w:b w:val="0"/>
          <w:bCs/>
          <w:sz w:val="24"/>
          <w:szCs w:val="24"/>
          <w:lang w:val="en-US" w:eastAsia="zh-CN"/>
        </w:rPr>
        <w:t xml:space="preserve">  </w:t>
      </w:r>
      <w:r>
        <w:rPr>
          <w:rFonts w:hint="eastAsia" w:ascii="宋体" w:hAnsi="宋体" w:eastAsia="宋体" w:cs="宋体"/>
          <w:b w:val="0"/>
          <w:bCs/>
          <w:sz w:val="24"/>
          <w:szCs w:val="24"/>
        </w:rPr>
        <w:t>月</w:t>
      </w:r>
      <w:r>
        <w:rPr>
          <w:rFonts w:hint="eastAsia" w:ascii="宋体" w:hAnsi="宋体" w:eastAsia="宋体" w:cs="宋体"/>
          <w:b w:val="0"/>
          <w:bCs/>
          <w:sz w:val="24"/>
          <w:szCs w:val="24"/>
          <w:lang w:val="en-US" w:eastAsia="zh-CN"/>
        </w:rPr>
        <w:t xml:space="preserve">  </w:t>
      </w:r>
      <w:r>
        <w:rPr>
          <w:rFonts w:hint="eastAsia" w:ascii="宋体" w:hAnsi="宋体" w:eastAsia="宋体" w:cs="宋体"/>
          <w:b w:val="0"/>
          <w:bCs/>
          <w:sz w:val="24"/>
          <w:szCs w:val="24"/>
        </w:rPr>
        <w:t>日</w:t>
      </w:r>
    </w:p>
    <w:p w14:paraId="29ACD35A">
      <w:pPr>
        <w:keepNext w:val="0"/>
        <w:keepLines w:val="0"/>
        <w:pageBreakBefore w:val="0"/>
        <w:widowControl/>
        <w:kinsoku/>
        <w:wordWrap w:val="0"/>
        <w:overflowPunct/>
        <w:topLinePunct/>
        <w:autoSpaceDE/>
        <w:autoSpaceDN/>
        <w:bidi w:val="0"/>
        <w:adjustRightInd w:val="0"/>
        <w:snapToGrid w:val="0"/>
        <w:spacing w:line="500" w:lineRule="exact"/>
        <w:ind w:left="0" w:firstLine="480" w:firstLineChars="200"/>
        <w:jc w:val="left"/>
        <w:textAlignment w:val="auto"/>
        <w:rPr>
          <w:rFonts w:hint="eastAsia" w:ascii="宋体" w:hAnsi="宋体" w:eastAsia="宋体" w:cs="宋体"/>
          <w:bCs/>
          <w:sz w:val="24"/>
          <w:szCs w:val="24"/>
          <w:highlight w:val="none"/>
        </w:rPr>
      </w:pPr>
    </w:p>
    <w:p w14:paraId="22652220">
      <w:pPr>
        <w:widowControl/>
        <w:adjustRightInd w:val="0"/>
        <w:snapToGrid w:val="0"/>
        <w:spacing w:line="500" w:lineRule="exact"/>
        <w:jc w:val="center"/>
        <w:rPr>
          <w:rFonts w:ascii="宋体" w:hAnsi="宋体" w:eastAsia="宋体" w:cs="宋体"/>
          <w:bCs/>
          <w:sz w:val="24"/>
          <w:szCs w:val="32"/>
          <w:highlight w:val="none"/>
        </w:rPr>
      </w:pPr>
    </w:p>
    <w:p w14:paraId="63C0EAE1">
      <w:pPr>
        <w:widowControl/>
        <w:adjustRightInd w:val="0"/>
        <w:snapToGrid w:val="0"/>
        <w:spacing w:line="500" w:lineRule="exact"/>
        <w:jc w:val="center"/>
        <w:rPr>
          <w:rFonts w:ascii="宋体" w:hAnsi="宋体" w:eastAsia="宋体" w:cs="宋体"/>
          <w:bCs/>
          <w:sz w:val="24"/>
          <w:szCs w:val="32"/>
          <w:highlight w:val="none"/>
        </w:rPr>
      </w:pPr>
    </w:p>
    <w:p w14:paraId="7B64678D">
      <w:pPr>
        <w:widowControl/>
        <w:adjustRightInd w:val="0"/>
        <w:snapToGrid w:val="0"/>
        <w:spacing w:line="500" w:lineRule="exact"/>
        <w:jc w:val="center"/>
        <w:rPr>
          <w:rFonts w:ascii="宋体" w:hAnsi="宋体" w:eastAsia="宋体" w:cs="宋体"/>
          <w:bCs/>
          <w:sz w:val="24"/>
          <w:szCs w:val="32"/>
          <w:highlight w:val="none"/>
        </w:rPr>
      </w:pPr>
    </w:p>
    <w:p w14:paraId="612F1688">
      <w:pPr>
        <w:widowControl/>
        <w:adjustRightInd w:val="0"/>
        <w:snapToGrid w:val="0"/>
        <w:spacing w:line="500" w:lineRule="exact"/>
        <w:jc w:val="center"/>
        <w:rPr>
          <w:rFonts w:ascii="宋体" w:hAnsi="宋体" w:eastAsia="宋体" w:cs="宋体"/>
          <w:bCs/>
          <w:sz w:val="24"/>
          <w:szCs w:val="32"/>
          <w:highlight w:val="none"/>
        </w:rPr>
      </w:pPr>
    </w:p>
    <w:p w14:paraId="4D5ED158">
      <w:pPr>
        <w:widowControl/>
        <w:adjustRightInd w:val="0"/>
        <w:snapToGrid w:val="0"/>
        <w:spacing w:line="500" w:lineRule="exact"/>
        <w:jc w:val="center"/>
        <w:rPr>
          <w:rFonts w:ascii="宋体" w:hAnsi="宋体" w:eastAsia="宋体" w:cs="宋体"/>
          <w:bCs/>
          <w:sz w:val="24"/>
          <w:szCs w:val="32"/>
          <w:highlight w:val="none"/>
        </w:rPr>
      </w:pPr>
    </w:p>
    <w:p w14:paraId="37851748">
      <w:pPr>
        <w:widowControl/>
        <w:adjustRightInd w:val="0"/>
        <w:snapToGrid w:val="0"/>
        <w:spacing w:line="500" w:lineRule="exact"/>
        <w:jc w:val="center"/>
        <w:rPr>
          <w:rFonts w:ascii="宋体" w:hAnsi="宋体" w:eastAsia="宋体" w:cs="宋体"/>
          <w:bCs/>
          <w:sz w:val="24"/>
          <w:szCs w:val="32"/>
          <w:highlight w:val="none"/>
        </w:rPr>
      </w:pPr>
    </w:p>
    <w:p w14:paraId="68AACD63">
      <w:pPr>
        <w:widowControl/>
        <w:adjustRightInd w:val="0"/>
        <w:snapToGrid w:val="0"/>
        <w:spacing w:line="500" w:lineRule="exact"/>
        <w:jc w:val="center"/>
        <w:rPr>
          <w:rFonts w:ascii="宋体" w:hAnsi="宋体" w:eastAsia="宋体" w:cs="宋体"/>
          <w:bCs/>
          <w:sz w:val="24"/>
          <w:szCs w:val="32"/>
          <w:highlight w:val="none"/>
        </w:rPr>
      </w:pPr>
    </w:p>
    <w:p w14:paraId="71AF743C">
      <w:pPr>
        <w:widowControl/>
        <w:adjustRightInd w:val="0"/>
        <w:snapToGrid w:val="0"/>
        <w:spacing w:line="500" w:lineRule="exact"/>
        <w:jc w:val="center"/>
        <w:rPr>
          <w:rFonts w:ascii="宋体" w:hAnsi="宋体" w:eastAsia="宋体" w:cs="宋体"/>
          <w:bCs/>
          <w:sz w:val="24"/>
          <w:szCs w:val="32"/>
          <w:highlight w:val="none"/>
        </w:rPr>
      </w:pPr>
    </w:p>
    <w:p w14:paraId="7197A2BF">
      <w:pPr>
        <w:widowControl/>
        <w:adjustRightInd w:val="0"/>
        <w:snapToGrid w:val="0"/>
        <w:spacing w:line="500" w:lineRule="exact"/>
        <w:jc w:val="center"/>
        <w:rPr>
          <w:rFonts w:ascii="宋体" w:hAnsi="宋体" w:eastAsia="宋体" w:cs="宋体"/>
          <w:bCs/>
          <w:sz w:val="24"/>
          <w:szCs w:val="32"/>
          <w:highlight w:val="none"/>
        </w:rPr>
      </w:pPr>
    </w:p>
    <w:p w14:paraId="1586B96E">
      <w:pPr>
        <w:rPr>
          <w:rFonts w:ascii="宋体" w:hAnsi="宋体" w:eastAsia="宋体" w:cs="宋体"/>
          <w:bCs/>
          <w:sz w:val="24"/>
          <w:szCs w:val="32"/>
          <w:highlight w:val="none"/>
        </w:rPr>
      </w:pPr>
      <w:r>
        <w:rPr>
          <w:rFonts w:ascii="宋体" w:hAnsi="宋体" w:eastAsia="宋体" w:cs="宋体"/>
          <w:bCs/>
          <w:sz w:val="24"/>
          <w:szCs w:val="32"/>
          <w:highlight w:val="none"/>
        </w:rPr>
        <w:br w:type="page"/>
      </w:r>
    </w:p>
    <w:p w14:paraId="25D15E5B">
      <w:pPr>
        <w:ind w:left="0" w:leftChars="0" w:firstLine="0" w:firstLineChars="0"/>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合同附件1：考核标准</w:t>
      </w:r>
    </w:p>
    <w:tbl>
      <w:tblPr>
        <w:tblStyle w:val="26"/>
        <w:tblW w:w="970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
        <w:gridCol w:w="1251"/>
        <w:gridCol w:w="1061"/>
        <w:gridCol w:w="4149"/>
        <w:gridCol w:w="3236"/>
      </w:tblGrid>
      <w:tr w14:paraId="6CB07E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1255" w:type="dxa"/>
            <w:gridSpan w:val="2"/>
            <w:vAlign w:val="center"/>
          </w:tcPr>
          <w:p w14:paraId="7E2BF654">
            <w:pPr>
              <w:bidi w:val="0"/>
              <w:jc w:val="center"/>
              <w:rPr>
                <w:rFonts w:hint="eastAsia" w:ascii="仿宋" w:hAnsi="仿宋" w:eastAsia="仿宋" w:cs="仿宋"/>
                <w:b/>
                <w:bCs/>
              </w:rPr>
            </w:pPr>
            <w:r>
              <w:rPr>
                <w:rFonts w:hint="eastAsia" w:ascii="仿宋" w:hAnsi="仿宋" w:eastAsia="仿宋" w:cs="仿宋"/>
                <w:b/>
                <w:bCs/>
              </w:rPr>
              <w:t>项目</w:t>
            </w:r>
          </w:p>
        </w:tc>
        <w:tc>
          <w:tcPr>
            <w:tcW w:w="1061" w:type="dxa"/>
            <w:vAlign w:val="center"/>
          </w:tcPr>
          <w:p w14:paraId="0F56375A">
            <w:pPr>
              <w:bidi w:val="0"/>
              <w:jc w:val="center"/>
              <w:rPr>
                <w:rFonts w:hint="eastAsia" w:ascii="仿宋" w:hAnsi="仿宋" w:eastAsia="仿宋" w:cs="仿宋"/>
                <w:b/>
                <w:bCs/>
              </w:rPr>
            </w:pPr>
            <w:r>
              <w:rPr>
                <w:rFonts w:hint="eastAsia" w:ascii="仿宋" w:hAnsi="仿宋" w:eastAsia="仿宋" w:cs="仿宋"/>
                <w:b/>
                <w:bCs/>
              </w:rPr>
              <w:t>序号</w:t>
            </w:r>
          </w:p>
        </w:tc>
        <w:tc>
          <w:tcPr>
            <w:tcW w:w="4149" w:type="dxa"/>
            <w:vAlign w:val="center"/>
          </w:tcPr>
          <w:p w14:paraId="5DB8344E">
            <w:pPr>
              <w:bidi w:val="0"/>
              <w:jc w:val="center"/>
              <w:rPr>
                <w:rFonts w:hint="eastAsia" w:ascii="仿宋" w:hAnsi="仿宋" w:eastAsia="仿宋" w:cs="仿宋"/>
                <w:b/>
                <w:bCs/>
              </w:rPr>
            </w:pPr>
            <w:r>
              <w:rPr>
                <w:rFonts w:hint="eastAsia" w:ascii="仿宋" w:hAnsi="仿宋" w:eastAsia="仿宋" w:cs="仿宋"/>
                <w:b/>
                <w:bCs/>
              </w:rPr>
              <w:t>考核内容</w:t>
            </w:r>
          </w:p>
        </w:tc>
        <w:tc>
          <w:tcPr>
            <w:tcW w:w="3236" w:type="dxa"/>
            <w:vAlign w:val="center"/>
          </w:tcPr>
          <w:p w14:paraId="6E9B665A">
            <w:pPr>
              <w:bidi w:val="0"/>
              <w:jc w:val="center"/>
              <w:rPr>
                <w:rFonts w:hint="eastAsia" w:ascii="仿宋" w:hAnsi="仿宋" w:eastAsia="仿宋" w:cs="仿宋"/>
                <w:b/>
                <w:bCs/>
                <w:lang w:val="en-US" w:eastAsia="zh-CN"/>
              </w:rPr>
            </w:pPr>
            <w:r>
              <w:rPr>
                <w:rFonts w:hint="eastAsia" w:ascii="仿宋" w:hAnsi="仿宋" w:eastAsia="仿宋" w:cs="仿宋"/>
                <w:b/>
                <w:bCs/>
                <w:lang w:val="en-US" w:eastAsia="zh-CN"/>
              </w:rPr>
              <w:t>评价标准</w:t>
            </w:r>
          </w:p>
        </w:tc>
      </w:tr>
      <w:tr w14:paraId="7791B6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1255" w:type="dxa"/>
            <w:gridSpan w:val="2"/>
            <w:vMerge w:val="restart"/>
            <w:vAlign w:val="center"/>
          </w:tcPr>
          <w:p w14:paraId="19E15D80">
            <w:pPr>
              <w:pStyle w:val="46"/>
              <w:jc w:val="center"/>
              <w:rPr>
                <w:rFonts w:hint="eastAsia" w:ascii="仿宋" w:hAnsi="仿宋" w:eastAsia="仿宋" w:cs="仿宋"/>
                <w:b/>
                <w:sz w:val="21"/>
                <w:szCs w:val="21"/>
              </w:rPr>
            </w:pPr>
          </w:p>
          <w:p w14:paraId="036A4C3E">
            <w:pPr>
              <w:pStyle w:val="46"/>
              <w:jc w:val="center"/>
              <w:rPr>
                <w:rFonts w:hint="eastAsia" w:ascii="仿宋" w:hAnsi="仿宋" w:eastAsia="仿宋" w:cs="仿宋"/>
                <w:b/>
                <w:sz w:val="21"/>
                <w:szCs w:val="21"/>
              </w:rPr>
            </w:pPr>
          </w:p>
          <w:p w14:paraId="4836AB8B">
            <w:pPr>
              <w:pStyle w:val="46"/>
              <w:jc w:val="center"/>
              <w:rPr>
                <w:rFonts w:hint="eastAsia" w:ascii="仿宋" w:hAnsi="仿宋" w:eastAsia="仿宋" w:cs="仿宋"/>
                <w:b/>
                <w:sz w:val="21"/>
                <w:szCs w:val="21"/>
              </w:rPr>
            </w:pPr>
          </w:p>
          <w:p w14:paraId="3B8B300E">
            <w:pPr>
              <w:pStyle w:val="46"/>
              <w:spacing w:before="2"/>
              <w:jc w:val="center"/>
              <w:rPr>
                <w:rFonts w:hint="eastAsia" w:ascii="仿宋" w:hAnsi="仿宋" w:eastAsia="仿宋" w:cs="仿宋"/>
                <w:b/>
                <w:sz w:val="21"/>
                <w:szCs w:val="21"/>
              </w:rPr>
            </w:pPr>
          </w:p>
          <w:p w14:paraId="054DD1D7">
            <w:pPr>
              <w:pStyle w:val="46"/>
              <w:spacing w:line="391" w:lineRule="auto"/>
              <w:ind w:left="0" w:leftChars="0" w:right="140" w:firstLine="211" w:firstLineChars="100"/>
              <w:jc w:val="both"/>
              <w:rPr>
                <w:rFonts w:hint="eastAsia" w:ascii="仿宋" w:hAnsi="仿宋" w:eastAsia="仿宋" w:cs="仿宋"/>
                <w:sz w:val="21"/>
                <w:szCs w:val="21"/>
              </w:rPr>
            </w:pPr>
            <w:r>
              <w:rPr>
                <w:rFonts w:hint="eastAsia" w:ascii="仿宋" w:hAnsi="仿宋" w:eastAsia="仿宋" w:cs="仿宋"/>
                <w:b/>
                <w:bCs/>
                <w:sz w:val="21"/>
                <w:szCs w:val="21"/>
              </w:rPr>
              <w:t>仪容风纪</w:t>
            </w:r>
          </w:p>
        </w:tc>
        <w:tc>
          <w:tcPr>
            <w:tcW w:w="1061" w:type="dxa"/>
            <w:vAlign w:val="center"/>
          </w:tcPr>
          <w:p w14:paraId="5854F25D">
            <w:pPr>
              <w:pStyle w:val="46"/>
              <w:spacing w:before="153"/>
              <w:ind w:left="7"/>
              <w:jc w:val="center"/>
              <w:rPr>
                <w:rFonts w:hint="eastAsia" w:ascii="仿宋" w:hAnsi="仿宋" w:eastAsia="仿宋" w:cs="仿宋"/>
                <w:sz w:val="21"/>
                <w:szCs w:val="21"/>
              </w:rPr>
            </w:pPr>
            <w:r>
              <w:rPr>
                <w:rFonts w:hint="eastAsia" w:ascii="仿宋" w:hAnsi="仿宋" w:eastAsia="仿宋" w:cs="仿宋"/>
                <w:w w:val="99"/>
                <w:sz w:val="21"/>
                <w:szCs w:val="21"/>
              </w:rPr>
              <w:t>1</w:t>
            </w:r>
          </w:p>
        </w:tc>
        <w:tc>
          <w:tcPr>
            <w:tcW w:w="4149" w:type="dxa"/>
            <w:vAlign w:val="center"/>
          </w:tcPr>
          <w:p w14:paraId="49350ACD">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上班时间应穿统一发放的制服，仪容端庄、精神饱满。</w:t>
            </w:r>
          </w:p>
        </w:tc>
        <w:tc>
          <w:tcPr>
            <w:tcW w:w="3236" w:type="dxa"/>
            <w:vAlign w:val="center"/>
          </w:tcPr>
          <w:p w14:paraId="4106625A">
            <w:pPr>
              <w:pStyle w:val="46"/>
              <w:spacing w:before="143"/>
              <w:ind w:left="107"/>
              <w:jc w:val="both"/>
              <w:rPr>
                <w:rFonts w:hint="eastAsia" w:ascii="仿宋" w:hAnsi="仿宋" w:eastAsia="仿宋" w:cs="仿宋"/>
                <w:sz w:val="21"/>
                <w:szCs w:val="21"/>
              </w:rPr>
            </w:pPr>
            <w:r>
              <w:rPr>
                <w:rFonts w:hint="eastAsia" w:ascii="仿宋" w:hAnsi="仿宋" w:eastAsia="仿宋" w:cs="仿宋"/>
                <w:spacing w:val="-14"/>
                <w:sz w:val="21"/>
                <w:szCs w:val="21"/>
              </w:rPr>
              <w:t>如违反，发现每人次扣</w:t>
            </w:r>
            <w:r>
              <w:rPr>
                <w:rFonts w:hint="eastAsia" w:ascii="仿宋" w:hAnsi="仿宋" w:eastAsia="仿宋" w:cs="仿宋"/>
                <w:sz w:val="21"/>
                <w:szCs w:val="21"/>
              </w:rPr>
              <w:t>0.5分</w:t>
            </w:r>
          </w:p>
        </w:tc>
      </w:tr>
      <w:tr w14:paraId="1E7A53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1255" w:type="dxa"/>
            <w:gridSpan w:val="2"/>
            <w:vMerge w:val="continue"/>
            <w:tcBorders>
              <w:top w:val="nil"/>
            </w:tcBorders>
            <w:vAlign w:val="center"/>
          </w:tcPr>
          <w:p w14:paraId="03B2549C">
            <w:pPr>
              <w:jc w:val="center"/>
              <w:rPr>
                <w:rFonts w:hint="eastAsia" w:ascii="仿宋" w:hAnsi="仿宋" w:eastAsia="仿宋" w:cs="仿宋"/>
                <w:sz w:val="21"/>
                <w:szCs w:val="21"/>
              </w:rPr>
            </w:pPr>
          </w:p>
        </w:tc>
        <w:tc>
          <w:tcPr>
            <w:tcW w:w="1061" w:type="dxa"/>
            <w:vAlign w:val="center"/>
          </w:tcPr>
          <w:p w14:paraId="4B22AFB1">
            <w:pPr>
              <w:pStyle w:val="46"/>
              <w:spacing w:before="152"/>
              <w:ind w:left="7"/>
              <w:jc w:val="center"/>
              <w:rPr>
                <w:rFonts w:hint="eastAsia" w:ascii="仿宋" w:hAnsi="仿宋" w:eastAsia="仿宋" w:cs="仿宋"/>
                <w:sz w:val="21"/>
                <w:szCs w:val="21"/>
              </w:rPr>
            </w:pPr>
            <w:r>
              <w:rPr>
                <w:rFonts w:hint="eastAsia" w:ascii="仿宋" w:hAnsi="仿宋" w:eastAsia="仿宋" w:cs="仿宋"/>
                <w:w w:val="99"/>
                <w:sz w:val="21"/>
                <w:szCs w:val="21"/>
              </w:rPr>
              <w:t>2</w:t>
            </w:r>
          </w:p>
        </w:tc>
        <w:tc>
          <w:tcPr>
            <w:tcW w:w="4149" w:type="dxa"/>
            <w:vAlign w:val="center"/>
          </w:tcPr>
          <w:p w14:paraId="6CE2AD08">
            <w:pPr>
              <w:pStyle w:val="46"/>
              <w:spacing w:before="142"/>
              <w:ind w:left="106"/>
              <w:jc w:val="both"/>
              <w:rPr>
                <w:rFonts w:hint="eastAsia" w:ascii="仿宋" w:hAnsi="仿宋" w:eastAsia="仿宋" w:cs="仿宋"/>
                <w:sz w:val="21"/>
                <w:szCs w:val="21"/>
              </w:rPr>
            </w:pPr>
            <w:r>
              <w:rPr>
                <w:rFonts w:hint="eastAsia" w:ascii="仿宋" w:hAnsi="仿宋" w:eastAsia="仿宋" w:cs="仿宋"/>
                <w:sz w:val="21"/>
                <w:szCs w:val="21"/>
              </w:rPr>
              <w:t>着装应将纽扣齐、拉链拉好、不可卷衣袖、裤腿。</w:t>
            </w:r>
          </w:p>
        </w:tc>
        <w:tc>
          <w:tcPr>
            <w:tcW w:w="3236" w:type="dxa"/>
            <w:vAlign w:val="center"/>
          </w:tcPr>
          <w:p w14:paraId="249F1BA3">
            <w:pPr>
              <w:pStyle w:val="46"/>
              <w:spacing w:before="142"/>
              <w:ind w:left="107"/>
              <w:jc w:val="both"/>
              <w:rPr>
                <w:rFonts w:hint="eastAsia" w:ascii="仿宋" w:hAnsi="仿宋" w:eastAsia="仿宋" w:cs="仿宋"/>
                <w:sz w:val="21"/>
                <w:szCs w:val="21"/>
              </w:rPr>
            </w:pPr>
            <w:r>
              <w:rPr>
                <w:rFonts w:hint="eastAsia" w:ascii="仿宋" w:hAnsi="仿宋" w:eastAsia="仿宋" w:cs="仿宋"/>
                <w:spacing w:val="-14"/>
                <w:sz w:val="21"/>
                <w:szCs w:val="21"/>
              </w:rPr>
              <w:t>如违反，发现每人次扣</w:t>
            </w:r>
            <w:r>
              <w:rPr>
                <w:rFonts w:hint="eastAsia" w:ascii="仿宋" w:hAnsi="仿宋" w:eastAsia="仿宋" w:cs="仿宋"/>
                <w:sz w:val="21"/>
                <w:szCs w:val="21"/>
              </w:rPr>
              <w:t>0.5分</w:t>
            </w:r>
          </w:p>
        </w:tc>
      </w:tr>
      <w:tr w14:paraId="2C686C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1255" w:type="dxa"/>
            <w:gridSpan w:val="2"/>
            <w:vMerge w:val="continue"/>
            <w:tcBorders>
              <w:top w:val="nil"/>
            </w:tcBorders>
            <w:vAlign w:val="center"/>
          </w:tcPr>
          <w:p w14:paraId="67C1E349">
            <w:pPr>
              <w:jc w:val="center"/>
              <w:rPr>
                <w:rFonts w:hint="eastAsia" w:ascii="仿宋" w:hAnsi="仿宋" w:eastAsia="仿宋" w:cs="仿宋"/>
                <w:sz w:val="21"/>
                <w:szCs w:val="21"/>
              </w:rPr>
            </w:pPr>
          </w:p>
        </w:tc>
        <w:tc>
          <w:tcPr>
            <w:tcW w:w="1061" w:type="dxa"/>
            <w:vAlign w:val="center"/>
          </w:tcPr>
          <w:p w14:paraId="31CD342F">
            <w:pPr>
              <w:pStyle w:val="46"/>
              <w:spacing w:before="153"/>
              <w:ind w:left="7"/>
              <w:jc w:val="center"/>
              <w:rPr>
                <w:rFonts w:hint="eastAsia" w:ascii="仿宋" w:hAnsi="仿宋" w:eastAsia="仿宋" w:cs="仿宋"/>
                <w:sz w:val="21"/>
                <w:szCs w:val="21"/>
              </w:rPr>
            </w:pPr>
            <w:r>
              <w:rPr>
                <w:rFonts w:hint="eastAsia" w:ascii="仿宋" w:hAnsi="仿宋" w:eastAsia="仿宋" w:cs="仿宋"/>
                <w:w w:val="99"/>
                <w:sz w:val="21"/>
                <w:szCs w:val="21"/>
              </w:rPr>
              <w:t>3</w:t>
            </w:r>
          </w:p>
        </w:tc>
        <w:tc>
          <w:tcPr>
            <w:tcW w:w="4149" w:type="dxa"/>
            <w:vAlign w:val="center"/>
          </w:tcPr>
          <w:p w14:paraId="15733101">
            <w:pPr>
              <w:pStyle w:val="46"/>
              <w:spacing w:before="143"/>
              <w:ind w:left="106"/>
              <w:jc w:val="both"/>
              <w:rPr>
                <w:rFonts w:hint="eastAsia" w:ascii="仿宋" w:hAnsi="仿宋" w:eastAsia="仿宋" w:cs="仿宋"/>
                <w:sz w:val="21"/>
                <w:szCs w:val="21"/>
                <w:lang w:eastAsia="zh-CN"/>
              </w:rPr>
            </w:pPr>
            <w:r>
              <w:rPr>
                <w:rFonts w:hint="eastAsia" w:ascii="仿宋" w:hAnsi="仿宋" w:eastAsia="仿宋" w:cs="仿宋"/>
                <w:sz w:val="21"/>
                <w:szCs w:val="21"/>
              </w:rPr>
              <w:t>必须保持领带干净、系戴端正，工作服必须经常换洗</w:t>
            </w:r>
            <w:r>
              <w:rPr>
                <w:rFonts w:hint="eastAsia" w:ascii="仿宋" w:hAnsi="仿宋" w:eastAsia="仿宋" w:cs="仿宋"/>
                <w:sz w:val="21"/>
                <w:szCs w:val="21"/>
                <w:lang w:eastAsia="zh-CN"/>
              </w:rPr>
              <w:t>。</w:t>
            </w:r>
          </w:p>
        </w:tc>
        <w:tc>
          <w:tcPr>
            <w:tcW w:w="3236" w:type="dxa"/>
            <w:vAlign w:val="center"/>
          </w:tcPr>
          <w:p w14:paraId="72AC5BE4">
            <w:pPr>
              <w:pStyle w:val="46"/>
              <w:spacing w:before="143"/>
              <w:ind w:left="107"/>
              <w:jc w:val="both"/>
              <w:rPr>
                <w:rFonts w:hint="eastAsia" w:ascii="仿宋" w:hAnsi="仿宋" w:eastAsia="仿宋" w:cs="仿宋"/>
                <w:sz w:val="21"/>
                <w:szCs w:val="21"/>
              </w:rPr>
            </w:pPr>
            <w:r>
              <w:rPr>
                <w:rFonts w:hint="eastAsia" w:ascii="仿宋" w:hAnsi="仿宋" w:eastAsia="仿宋" w:cs="仿宋"/>
                <w:spacing w:val="-14"/>
                <w:sz w:val="21"/>
                <w:szCs w:val="21"/>
              </w:rPr>
              <w:t>如违反，发现每人次扣</w:t>
            </w:r>
            <w:r>
              <w:rPr>
                <w:rFonts w:hint="eastAsia" w:ascii="仿宋" w:hAnsi="仿宋" w:eastAsia="仿宋" w:cs="仿宋"/>
                <w:sz w:val="21"/>
                <w:szCs w:val="21"/>
              </w:rPr>
              <w:t>0.5分</w:t>
            </w:r>
          </w:p>
        </w:tc>
      </w:tr>
      <w:tr w14:paraId="1521E6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1255" w:type="dxa"/>
            <w:gridSpan w:val="2"/>
            <w:vMerge w:val="continue"/>
            <w:tcBorders>
              <w:top w:val="nil"/>
            </w:tcBorders>
            <w:vAlign w:val="center"/>
          </w:tcPr>
          <w:p w14:paraId="13DB7817">
            <w:pPr>
              <w:jc w:val="center"/>
              <w:rPr>
                <w:rFonts w:hint="eastAsia" w:ascii="仿宋" w:hAnsi="仿宋" w:eastAsia="仿宋" w:cs="仿宋"/>
                <w:sz w:val="21"/>
                <w:szCs w:val="21"/>
              </w:rPr>
            </w:pPr>
          </w:p>
        </w:tc>
        <w:tc>
          <w:tcPr>
            <w:tcW w:w="1061" w:type="dxa"/>
            <w:vAlign w:val="center"/>
          </w:tcPr>
          <w:p w14:paraId="7B70936A">
            <w:pPr>
              <w:pStyle w:val="46"/>
              <w:spacing w:before="152"/>
              <w:ind w:left="7"/>
              <w:jc w:val="center"/>
              <w:rPr>
                <w:rFonts w:hint="eastAsia" w:ascii="仿宋" w:hAnsi="仿宋" w:eastAsia="仿宋" w:cs="仿宋"/>
                <w:sz w:val="21"/>
                <w:szCs w:val="21"/>
              </w:rPr>
            </w:pPr>
            <w:r>
              <w:rPr>
                <w:rFonts w:hint="eastAsia" w:ascii="仿宋" w:hAnsi="仿宋" w:eastAsia="仿宋" w:cs="仿宋"/>
                <w:w w:val="99"/>
                <w:sz w:val="21"/>
                <w:szCs w:val="21"/>
              </w:rPr>
              <w:t>4</w:t>
            </w:r>
          </w:p>
        </w:tc>
        <w:tc>
          <w:tcPr>
            <w:tcW w:w="4149" w:type="dxa"/>
            <w:vAlign w:val="center"/>
          </w:tcPr>
          <w:p w14:paraId="5F4F1967">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鞋袜整齐，冬天毛衣和高领不得外露大衣毛领平整。</w:t>
            </w:r>
          </w:p>
        </w:tc>
        <w:tc>
          <w:tcPr>
            <w:tcW w:w="3236" w:type="dxa"/>
            <w:vAlign w:val="center"/>
          </w:tcPr>
          <w:p w14:paraId="37BC300E">
            <w:pPr>
              <w:pStyle w:val="46"/>
              <w:spacing w:before="142"/>
              <w:ind w:left="107"/>
              <w:jc w:val="both"/>
              <w:rPr>
                <w:rFonts w:hint="eastAsia" w:ascii="仿宋" w:hAnsi="仿宋" w:eastAsia="仿宋" w:cs="仿宋"/>
                <w:sz w:val="21"/>
                <w:szCs w:val="21"/>
              </w:rPr>
            </w:pPr>
            <w:r>
              <w:rPr>
                <w:rFonts w:hint="eastAsia" w:ascii="仿宋" w:hAnsi="仿宋" w:eastAsia="仿宋" w:cs="仿宋"/>
                <w:spacing w:val="-14"/>
                <w:sz w:val="21"/>
                <w:szCs w:val="21"/>
              </w:rPr>
              <w:t>如违反，发现每人次扣</w:t>
            </w:r>
            <w:r>
              <w:rPr>
                <w:rFonts w:hint="eastAsia" w:ascii="仿宋" w:hAnsi="仿宋" w:eastAsia="仿宋" w:cs="仿宋"/>
                <w:sz w:val="21"/>
                <w:szCs w:val="21"/>
              </w:rPr>
              <w:t>0.5分</w:t>
            </w:r>
          </w:p>
        </w:tc>
      </w:tr>
      <w:tr w14:paraId="487C5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1255" w:type="dxa"/>
            <w:gridSpan w:val="2"/>
            <w:vMerge w:val="continue"/>
            <w:tcBorders>
              <w:top w:val="nil"/>
            </w:tcBorders>
            <w:vAlign w:val="center"/>
          </w:tcPr>
          <w:p w14:paraId="4CCD3A52">
            <w:pPr>
              <w:jc w:val="center"/>
              <w:rPr>
                <w:rFonts w:hint="eastAsia" w:ascii="仿宋" w:hAnsi="仿宋" w:eastAsia="仿宋" w:cs="仿宋"/>
                <w:sz w:val="21"/>
                <w:szCs w:val="21"/>
              </w:rPr>
            </w:pPr>
          </w:p>
        </w:tc>
        <w:tc>
          <w:tcPr>
            <w:tcW w:w="1061" w:type="dxa"/>
            <w:vAlign w:val="center"/>
          </w:tcPr>
          <w:p w14:paraId="7FEAB229">
            <w:pPr>
              <w:pStyle w:val="46"/>
              <w:spacing w:before="153"/>
              <w:ind w:left="7"/>
              <w:jc w:val="center"/>
              <w:rPr>
                <w:rFonts w:hint="eastAsia" w:ascii="仿宋" w:hAnsi="仿宋" w:eastAsia="仿宋" w:cs="仿宋"/>
                <w:sz w:val="21"/>
                <w:szCs w:val="21"/>
              </w:rPr>
            </w:pPr>
            <w:r>
              <w:rPr>
                <w:rFonts w:hint="eastAsia" w:ascii="仿宋" w:hAnsi="仿宋" w:eastAsia="仿宋" w:cs="仿宋"/>
                <w:w w:val="99"/>
                <w:sz w:val="21"/>
                <w:szCs w:val="21"/>
              </w:rPr>
              <w:t>5</w:t>
            </w:r>
          </w:p>
        </w:tc>
        <w:tc>
          <w:tcPr>
            <w:tcW w:w="4149" w:type="dxa"/>
            <w:vAlign w:val="center"/>
          </w:tcPr>
          <w:p w14:paraId="38152110">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当班人员不许蓄留小胡须、鬓角、长指甲和佩戴外露饰物。</w:t>
            </w:r>
          </w:p>
        </w:tc>
        <w:tc>
          <w:tcPr>
            <w:tcW w:w="3236" w:type="dxa"/>
            <w:vAlign w:val="center"/>
          </w:tcPr>
          <w:p w14:paraId="3C4BEECC">
            <w:pPr>
              <w:pStyle w:val="46"/>
              <w:spacing w:before="143"/>
              <w:ind w:left="107"/>
              <w:jc w:val="both"/>
              <w:rPr>
                <w:rFonts w:hint="eastAsia" w:ascii="仿宋" w:hAnsi="仿宋" w:eastAsia="仿宋" w:cs="仿宋"/>
                <w:sz w:val="21"/>
                <w:szCs w:val="21"/>
              </w:rPr>
            </w:pPr>
            <w:r>
              <w:rPr>
                <w:rFonts w:hint="eastAsia" w:ascii="仿宋" w:hAnsi="仿宋" w:eastAsia="仿宋" w:cs="仿宋"/>
                <w:spacing w:val="-14"/>
                <w:sz w:val="21"/>
                <w:szCs w:val="21"/>
              </w:rPr>
              <w:t>如违反，发现每人次扣</w:t>
            </w:r>
            <w:r>
              <w:rPr>
                <w:rFonts w:hint="eastAsia" w:ascii="仿宋" w:hAnsi="仿宋" w:eastAsia="仿宋" w:cs="仿宋"/>
                <w:sz w:val="21"/>
                <w:szCs w:val="21"/>
              </w:rPr>
              <w:t>0.5分</w:t>
            </w:r>
          </w:p>
        </w:tc>
      </w:tr>
      <w:tr w14:paraId="002DED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jc w:val="center"/>
        </w:trPr>
        <w:tc>
          <w:tcPr>
            <w:tcW w:w="1255" w:type="dxa"/>
            <w:gridSpan w:val="2"/>
            <w:vMerge w:val="continue"/>
            <w:tcBorders>
              <w:top w:val="nil"/>
            </w:tcBorders>
            <w:vAlign w:val="center"/>
          </w:tcPr>
          <w:p w14:paraId="4BC555FB">
            <w:pPr>
              <w:jc w:val="center"/>
              <w:rPr>
                <w:rFonts w:hint="eastAsia" w:ascii="仿宋" w:hAnsi="仿宋" w:eastAsia="仿宋" w:cs="仿宋"/>
                <w:sz w:val="21"/>
                <w:szCs w:val="21"/>
              </w:rPr>
            </w:pPr>
          </w:p>
        </w:tc>
        <w:tc>
          <w:tcPr>
            <w:tcW w:w="1061" w:type="dxa"/>
            <w:vAlign w:val="center"/>
          </w:tcPr>
          <w:p w14:paraId="2B69096C">
            <w:pPr>
              <w:pStyle w:val="46"/>
              <w:spacing w:before="152"/>
              <w:ind w:left="7"/>
              <w:jc w:val="center"/>
              <w:rPr>
                <w:rFonts w:hint="eastAsia" w:ascii="仿宋" w:hAnsi="仿宋" w:eastAsia="仿宋" w:cs="仿宋"/>
                <w:sz w:val="21"/>
                <w:szCs w:val="21"/>
              </w:rPr>
            </w:pPr>
            <w:r>
              <w:rPr>
                <w:rFonts w:hint="eastAsia" w:ascii="仿宋" w:hAnsi="仿宋" w:eastAsia="仿宋" w:cs="仿宋"/>
                <w:w w:val="99"/>
                <w:sz w:val="21"/>
                <w:szCs w:val="21"/>
              </w:rPr>
              <w:t>6</w:t>
            </w:r>
          </w:p>
        </w:tc>
        <w:tc>
          <w:tcPr>
            <w:tcW w:w="4149" w:type="dxa"/>
            <w:vAlign w:val="center"/>
          </w:tcPr>
          <w:p w14:paraId="7356D418">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注意个人卫生，上岗期间严禁饮酒。</w:t>
            </w:r>
          </w:p>
        </w:tc>
        <w:tc>
          <w:tcPr>
            <w:tcW w:w="3236" w:type="dxa"/>
            <w:vAlign w:val="center"/>
          </w:tcPr>
          <w:p w14:paraId="2D00D0A1">
            <w:pPr>
              <w:pStyle w:val="46"/>
              <w:spacing w:before="142"/>
              <w:ind w:left="107"/>
              <w:jc w:val="both"/>
              <w:rPr>
                <w:rFonts w:hint="eastAsia" w:ascii="仿宋" w:hAnsi="仿宋" w:eastAsia="仿宋" w:cs="仿宋"/>
                <w:sz w:val="21"/>
                <w:szCs w:val="21"/>
              </w:rPr>
            </w:pPr>
            <w:r>
              <w:rPr>
                <w:rFonts w:hint="eastAsia" w:ascii="仿宋" w:hAnsi="仿宋" w:eastAsia="仿宋" w:cs="仿宋"/>
                <w:sz w:val="21"/>
                <w:szCs w:val="21"/>
              </w:rPr>
              <w:t>如违反，发现每人次扣1分</w:t>
            </w:r>
          </w:p>
        </w:tc>
      </w:tr>
      <w:tr w14:paraId="5CFD8E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1255" w:type="dxa"/>
            <w:gridSpan w:val="2"/>
            <w:vMerge w:val="continue"/>
            <w:tcBorders>
              <w:top w:val="nil"/>
            </w:tcBorders>
            <w:vAlign w:val="center"/>
          </w:tcPr>
          <w:p w14:paraId="74CFDB4E">
            <w:pPr>
              <w:jc w:val="center"/>
              <w:rPr>
                <w:rFonts w:hint="eastAsia" w:ascii="仿宋" w:hAnsi="仿宋" w:eastAsia="仿宋" w:cs="仿宋"/>
                <w:sz w:val="21"/>
                <w:szCs w:val="21"/>
              </w:rPr>
            </w:pPr>
          </w:p>
        </w:tc>
        <w:tc>
          <w:tcPr>
            <w:tcW w:w="1061" w:type="dxa"/>
            <w:vAlign w:val="center"/>
          </w:tcPr>
          <w:p w14:paraId="599975E9">
            <w:pPr>
              <w:pStyle w:val="46"/>
              <w:spacing w:before="153"/>
              <w:ind w:left="7"/>
              <w:jc w:val="center"/>
              <w:rPr>
                <w:rFonts w:hint="eastAsia" w:ascii="仿宋" w:hAnsi="仿宋" w:eastAsia="仿宋" w:cs="仿宋"/>
                <w:sz w:val="21"/>
                <w:szCs w:val="21"/>
              </w:rPr>
            </w:pPr>
            <w:r>
              <w:rPr>
                <w:rFonts w:hint="eastAsia" w:ascii="仿宋" w:hAnsi="仿宋" w:eastAsia="仿宋" w:cs="仿宋"/>
                <w:w w:val="99"/>
                <w:sz w:val="21"/>
                <w:szCs w:val="21"/>
              </w:rPr>
              <w:t>7</w:t>
            </w:r>
          </w:p>
        </w:tc>
        <w:tc>
          <w:tcPr>
            <w:tcW w:w="4149" w:type="dxa"/>
            <w:vAlign w:val="center"/>
          </w:tcPr>
          <w:p w14:paraId="1E7BD2B9">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保持各岗位卫生、整齐、洁净。</w:t>
            </w:r>
          </w:p>
        </w:tc>
        <w:tc>
          <w:tcPr>
            <w:tcW w:w="3236" w:type="dxa"/>
            <w:vAlign w:val="center"/>
          </w:tcPr>
          <w:p w14:paraId="402A23F7">
            <w:pPr>
              <w:pStyle w:val="46"/>
              <w:spacing w:before="143"/>
              <w:ind w:left="107"/>
              <w:jc w:val="both"/>
              <w:rPr>
                <w:rFonts w:hint="eastAsia" w:ascii="仿宋" w:hAnsi="仿宋" w:eastAsia="仿宋" w:cs="仿宋"/>
                <w:sz w:val="21"/>
                <w:szCs w:val="21"/>
              </w:rPr>
            </w:pPr>
            <w:r>
              <w:rPr>
                <w:rFonts w:hint="eastAsia" w:ascii="仿宋" w:hAnsi="仿宋" w:eastAsia="仿宋" w:cs="仿宋"/>
                <w:spacing w:val="-14"/>
                <w:sz w:val="21"/>
                <w:szCs w:val="21"/>
              </w:rPr>
              <w:t>如违反，发现每人次扣</w:t>
            </w:r>
            <w:r>
              <w:rPr>
                <w:rFonts w:hint="eastAsia" w:ascii="仿宋" w:hAnsi="仿宋" w:eastAsia="仿宋" w:cs="仿宋"/>
                <w:sz w:val="21"/>
                <w:szCs w:val="21"/>
              </w:rPr>
              <w:t>0.5分</w:t>
            </w:r>
          </w:p>
        </w:tc>
      </w:tr>
      <w:tr w14:paraId="392EDB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1255" w:type="dxa"/>
            <w:gridSpan w:val="2"/>
            <w:vMerge w:val="restart"/>
            <w:vAlign w:val="center"/>
          </w:tcPr>
          <w:p w14:paraId="6B2F2120">
            <w:pPr>
              <w:pStyle w:val="46"/>
              <w:jc w:val="center"/>
              <w:rPr>
                <w:rFonts w:hint="eastAsia" w:ascii="仿宋" w:hAnsi="仿宋" w:eastAsia="仿宋" w:cs="仿宋"/>
                <w:b/>
                <w:sz w:val="21"/>
                <w:szCs w:val="21"/>
              </w:rPr>
            </w:pPr>
          </w:p>
          <w:p w14:paraId="277BB2E4">
            <w:pPr>
              <w:pStyle w:val="46"/>
              <w:jc w:val="center"/>
              <w:rPr>
                <w:rFonts w:hint="eastAsia" w:ascii="仿宋" w:hAnsi="仿宋" w:eastAsia="仿宋" w:cs="仿宋"/>
                <w:b/>
                <w:sz w:val="21"/>
                <w:szCs w:val="21"/>
              </w:rPr>
            </w:pPr>
          </w:p>
          <w:p w14:paraId="1438EBC4">
            <w:pPr>
              <w:pStyle w:val="46"/>
              <w:spacing w:before="1"/>
              <w:jc w:val="center"/>
              <w:rPr>
                <w:rFonts w:hint="eastAsia" w:ascii="仿宋" w:hAnsi="仿宋" w:eastAsia="仿宋" w:cs="仿宋"/>
                <w:b/>
                <w:sz w:val="21"/>
                <w:szCs w:val="21"/>
              </w:rPr>
            </w:pPr>
          </w:p>
          <w:p w14:paraId="68622C62">
            <w:pPr>
              <w:pStyle w:val="46"/>
              <w:spacing w:line="393" w:lineRule="auto"/>
              <w:ind w:left="0" w:leftChars="0" w:right="140" w:firstLine="211" w:firstLineChars="100"/>
              <w:jc w:val="both"/>
              <w:rPr>
                <w:rFonts w:hint="eastAsia" w:ascii="仿宋" w:hAnsi="仿宋" w:eastAsia="仿宋" w:cs="仿宋"/>
                <w:sz w:val="21"/>
                <w:szCs w:val="21"/>
              </w:rPr>
            </w:pPr>
            <w:r>
              <w:rPr>
                <w:rFonts w:hint="eastAsia" w:ascii="仿宋" w:hAnsi="仿宋" w:eastAsia="仿宋" w:cs="仿宋"/>
                <w:b/>
                <w:bCs/>
                <w:sz w:val="21"/>
                <w:szCs w:val="21"/>
              </w:rPr>
              <w:t>纪律作风</w:t>
            </w:r>
          </w:p>
        </w:tc>
        <w:tc>
          <w:tcPr>
            <w:tcW w:w="1061" w:type="dxa"/>
            <w:vAlign w:val="center"/>
          </w:tcPr>
          <w:p w14:paraId="4D83AE16">
            <w:pPr>
              <w:pStyle w:val="46"/>
              <w:spacing w:before="152"/>
              <w:ind w:left="7"/>
              <w:jc w:val="center"/>
              <w:rPr>
                <w:rFonts w:hint="eastAsia" w:ascii="仿宋" w:hAnsi="仿宋" w:eastAsia="仿宋" w:cs="仿宋"/>
                <w:sz w:val="21"/>
                <w:szCs w:val="21"/>
              </w:rPr>
            </w:pPr>
            <w:r>
              <w:rPr>
                <w:rFonts w:hint="eastAsia" w:ascii="仿宋" w:hAnsi="仿宋" w:eastAsia="仿宋" w:cs="仿宋"/>
                <w:w w:val="99"/>
                <w:sz w:val="21"/>
                <w:szCs w:val="21"/>
              </w:rPr>
              <w:t>8</w:t>
            </w:r>
          </w:p>
        </w:tc>
        <w:tc>
          <w:tcPr>
            <w:tcW w:w="4149" w:type="dxa"/>
            <w:vAlign w:val="center"/>
          </w:tcPr>
          <w:p w14:paraId="2721309C">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坚守工作岗位，不无故缺席、迟到、早退。</w:t>
            </w:r>
          </w:p>
        </w:tc>
        <w:tc>
          <w:tcPr>
            <w:tcW w:w="3236" w:type="dxa"/>
            <w:vAlign w:val="center"/>
          </w:tcPr>
          <w:p w14:paraId="3F84347B">
            <w:pPr>
              <w:pStyle w:val="46"/>
              <w:spacing w:before="142"/>
              <w:ind w:left="107"/>
              <w:jc w:val="both"/>
              <w:rPr>
                <w:rFonts w:hint="eastAsia" w:ascii="仿宋" w:hAnsi="仿宋" w:eastAsia="仿宋" w:cs="仿宋"/>
                <w:sz w:val="21"/>
                <w:szCs w:val="21"/>
              </w:rPr>
            </w:pPr>
            <w:r>
              <w:rPr>
                <w:rFonts w:hint="eastAsia" w:ascii="仿宋" w:hAnsi="仿宋" w:eastAsia="仿宋" w:cs="仿宋"/>
                <w:sz w:val="21"/>
                <w:szCs w:val="21"/>
              </w:rPr>
              <w:t>如达不到扣4分</w:t>
            </w:r>
          </w:p>
        </w:tc>
      </w:tr>
      <w:tr w14:paraId="6B6147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1255" w:type="dxa"/>
            <w:gridSpan w:val="2"/>
            <w:vMerge w:val="continue"/>
            <w:tcBorders>
              <w:top w:val="nil"/>
            </w:tcBorders>
            <w:vAlign w:val="center"/>
          </w:tcPr>
          <w:p w14:paraId="2E14BAF2">
            <w:pPr>
              <w:jc w:val="center"/>
              <w:rPr>
                <w:rFonts w:hint="eastAsia" w:ascii="仿宋" w:hAnsi="仿宋" w:eastAsia="仿宋" w:cs="仿宋"/>
                <w:sz w:val="21"/>
                <w:szCs w:val="21"/>
              </w:rPr>
            </w:pPr>
          </w:p>
        </w:tc>
        <w:tc>
          <w:tcPr>
            <w:tcW w:w="1061" w:type="dxa"/>
            <w:vAlign w:val="center"/>
          </w:tcPr>
          <w:p w14:paraId="5EBCB808">
            <w:pPr>
              <w:pStyle w:val="46"/>
              <w:spacing w:before="153"/>
              <w:ind w:left="7"/>
              <w:jc w:val="center"/>
              <w:rPr>
                <w:rFonts w:hint="eastAsia" w:ascii="仿宋" w:hAnsi="仿宋" w:eastAsia="仿宋" w:cs="仿宋"/>
                <w:sz w:val="21"/>
                <w:szCs w:val="21"/>
              </w:rPr>
            </w:pPr>
            <w:r>
              <w:rPr>
                <w:rFonts w:hint="eastAsia" w:ascii="仿宋" w:hAnsi="仿宋" w:eastAsia="仿宋" w:cs="仿宋"/>
                <w:w w:val="99"/>
                <w:sz w:val="21"/>
                <w:szCs w:val="21"/>
              </w:rPr>
              <w:t>9</w:t>
            </w:r>
          </w:p>
        </w:tc>
        <w:tc>
          <w:tcPr>
            <w:tcW w:w="4149" w:type="dxa"/>
            <w:vAlign w:val="center"/>
          </w:tcPr>
          <w:p w14:paraId="65983168">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上岗时间不溜岗、串岗、脱岗。</w:t>
            </w:r>
          </w:p>
        </w:tc>
        <w:tc>
          <w:tcPr>
            <w:tcW w:w="3236" w:type="dxa"/>
            <w:vAlign w:val="center"/>
          </w:tcPr>
          <w:p w14:paraId="628F0DC9">
            <w:pPr>
              <w:pStyle w:val="46"/>
              <w:spacing w:before="143"/>
              <w:ind w:left="107"/>
              <w:jc w:val="both"/>
              <w:rPr>
                <w:rFonts w:hint="eastAsia" w:ascii="仿宋" w:hAnsi="仿宋" w:eastAsia="仿宋" w:cs="仿宋"/>
                <w:sz w:val="21"/>
                <w:szCs w:val="21"/>
              </w:rPr>
            </w:pPr>
            <w:r>
              <w:rPr>
                <w:rFonts w:hint="eastAsia" w:ascii="仿宋" w:hAnsi="仿宋" w:eastAsia="仿宋" w:cs="仿宋"/>
                <w:spacing w:val="-14"/>
                <w:sz w:val="21"/>
                <w:szCs w:val="21"/>
              </w:rPr>
              <w:t>如违反，发现每人次扣</w:t>
            </w:r>
            <w:r>
              <w:rPr>
                <w:rFonts w:hint="eastAsia" w:ascii="仿宋" w:hAnsi="仿宋" w:eastAsia="仿宋" w:cs="仿宋"/>
                <w:sz w:val="21"/>
                <w:szCs w:val="21"/>
              </w:rPr>
              <w:t>0.5分</w:t>
            </w:r>
          </w:p>
        </w:tc>
      </w:tr>
      <w:tr w14:paraId="176870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jc w:val="center"/>
        </w:trPr>
        <w:tc>
          <w:tcPr>
            <w:tcW w:w="1255" w:type="dxa"/>
            <w:gridSpan w:val="2"/>
            <w:vMerge w:val="continue"/>
            <w:tcBorders>
              <w:top w:val="nil"/>
            </w:tcBorders>
            <w:vAlign w:val="center"/>
          </w:tcPr>
          <w:p w14:paraId="02F68B43">
            <w:pPr>
              <w:jc w:val="center"/>
              <w:rPr>
                <w:rFonts w:hint="eastAsia" w:ascii="仿宋" w:hAnsi="仿宋" w:eastAsia="仿宋" w:cs="仿宋"/>
                <w:sz w:val="21"/>
                <w:szCs w:val="21"/>
              </w:rPr>
            </w:pPr>
          </w:p>
        </w:tc>
        <w:tc>
          <w:tcPr>
            <w:tcW w:w="1061" w:type="dxa"/>
            <w:vAlign w:val="center"/>
          </w:tcPr>
          <w:p w14:paraId="5F0AA5A1">
            <w:pPr>
              <w:pStyle w:val="46"/>
              <w:spacing w:before="1"/>
              <w:jc w:val="right"/>
              <w:rPr>
                <w:rFonts w:hint="eastAsia" w:ascii="仿宋" w:hAnsi="仿宋" w:eastAsia="仿宋" w:cs="仿宋"/>
                <w:b/>
                <w:sz w:val="21"/>
                <w:szCs w:val="21"/>
              </w:rPr>
            </w:pPr>
          </w:p>
          <w:p w14:paraId="3A95AAAD">
            <w:pPr>
              <w:pStyle w:val="46"/>
              <w:ind w:left="92" w:right="85"/>
              <w:jc w:val="center"/>
              <w:rPr>
                <w:rFonts w:hint="eastAsia" w:ascii="仿宋" w:hAnsi="仿宋" w:eastAsia="仿宋" w:cs="仿宋"/>
                <w:sz w:val="21"/>
                <w:szCs w:val="21"/>
              </w:rPr>
            </w:pPr>
            <w:r>
              <w:rPr>
                <w:rFonts w:hint="eastAsia" w:ascii="仿宋" w:hAnsi="仿宋" w:eastAsia="仿宋" w:cs="仿宋"/>
                <w:sz w:val="21"/>
                <w:szCs w:val="21"/>
              </w:rPr>
              <w:t>10</w:t>
            </w:r>
          </w:p>
        </w:tc>
        <w:tc>
          <w:tcPr>
            <w:tcW w:w="4149" w:type="dxa"/>
            <w:vAlign w:val="center"/>
          </w:tcPr>
          <w:p w14:paraId="12BF67FA">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不在工作时间做与本职工作无关的事，如看书、看报、修指甲、玩弄其他物品。</w:t>
            </w:r>
          </w:p>
        </w:tc>
        <w:tc>
          <w:tcPr>
            <w:tcW w:w="3236" w:type="dxa"/>
            <w:vAlign w:val="center"/>
          </w:tcPr>
          <w:p w14:paraId="1B531376">
            <w:pPr>
              <w:pStyle w:val="46"/>
              <w:ind w:left="107"/>
              <w:jc w:val="both"/>
              <w:rPr>
                <w:rFonts w:hint="eastAsia" w:ascii="仿宋" w:hAnsi="仿宋" w:eastAsia="仿宋" w:cs="仿宋"/>
                <w:sz w:val="21"/>
                <w:szCs w:val="21"/>
              </w:rPr>
            </w:pPr>
            <w:r>
              <w:rPr>
                <w:rFonts w:hint="eastAsia" w:ascii="仿宋" w:hAnsi="仿宋" w:eastAsia="仿宋" w:cs="仿宋"/>
                <w:sz w:val="21"/>
                <w:szCs w:val="21"/>
              </w:rPr>
              <w:t>如违反，发现每人次扣1分</w:t>
            </w:r>
          </w:p>
        </w:tc>
      </w:tr>
      <w:tr w14:paraId="037C5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1255" w:type="dxa"/>
            <w:gridSpan w:val="2"/>
            <w:vMerge w:val="continue"/>
            <w:tcBorders>
              <w:top w:val="nil"/>
            </w:tcBorders>
            <w:vAlign w:val="center"/>
          </w:tcPr>
          <w:p w14:paraId="77B99387">
            <w:pPr>
              <w:jc w:val="center"/>
              <w:rPr>
                <w:rFonts w:hint="eastAsia" w:ascii="仿宋" w:hAnsi="仿宋" w:eastAsia="仿宋" w:cs="仿宋"/>
                <w:sz w:val="21"/>
                <w:szCs w:val="21"/>
              </w:rPr>
            </w:pPr>
          </w:p>
        </w:tc>
        <w:tc>
          <w:tcPr>
            <w:tcW w:w="1061" w:type="dxa"/>
            <w:vAlign w:val="center"/>
          </w:tcPr>
          <w:p w14:paraId="4B533A01">
            <w:pPr>
              <w:pStyle w:val="46"/>
              <w:spacing w:before="152"/>
              <w:ind w:left="92" w:right="85"/>
              <w:jc w:val="center"/>
              <w:rPr>
                <w:rFonts w:hint="eastAsia" w:ascii="仿宋" w:hAnsi="仿宋" w:eastAsia="仿宋" w:cs="仿宋"/>
                <w:sz w:val="21"/>
                <w:szCs w:val="21"/>
              </w:rPr>
            </w:pPr>
            <w:r>
              <w:rPr>
                <w:rFonts w:hint="eastAsia" w:ascii="仿宋" w:hAnsi="仿宋" w:eastAsia="仿宋" w:cs="仿宋"/>
                <w:sz w:val="21"/>
                <w:szCs w:val="21"/>
              </w:rPr>
              <w:t>11</w:t>
            </w:r>
          </w:p>
        </w:tc>
        <w:tc>
          <w:tcPr>
            <w:tcW w:w="4149" w:type="dxa"/>
            <w:vAlign w:val="center"/>
          </w:tcPr>
          <w:p w14:paraId="574E6217">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不得在值班内接待亲朋，不得留置闲杂人员。</w:t>
            </w:r>
          </w:p>
        </w:tc>
        <w:tc>
          <w:tcPr>
            <w:tcW w:w="3236" w:type="dxa"/>
            <w:vAlign w:val="center"/>
          </w:tcPr>
          <w:p w14:paraId="1D2D8FFE">
            <w:pPr>
              <w:pStyle w:val="46"/>
              <w:spacing w:before="142"/>
              <w:ind w:left="107"/>
              <w:jc w:val="both"/>
              <w:rPr>
                <w:rFonts w:hint="eastAsia" w:ascii="仿宋" w:hAnsi="仿宋" w:eastAsia="仿宋" w:cs="仿宋"/>
                <w:sz w:val="21"/>
                <w:szCs w:val="21"/>
              </w:rPr>
            </w:pPr>
            <w:r>
              <w:rPr>
                <w:rFonts w:hint="eastAsia" w:ascii="仿宋" w:hAnsi="仿宋" w:eastAsia="仿宋" w:cs="仿宋"/>
                <w:spacing w:val="-14"/>
                <w:sz w:val="21"/>
                <w:szCs w:val="21"/>
              </w:rPr>
              <w:t>如违反，发现每人次扣</w:t>
            </w:r>
            <w:r>
              <w:rPr>
                <w:rFonts w:hint="eastAsia" w:ascii="仿宋" w:hAnsi="仿宋" w:eastAsia="仿宋" w:cs="仿宋"/>
                <w:sz w:val="21"/>
                <w:szCs w:val="21"/>
              </w:rPr>
              <w:t>0.5分</w:t>
            </w:r>
          </w:p>
        </w:tc>
      </w:tr>
      <w:tr w14:paraId="283B7D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jc w:val="center"/>
        </w:trPr>
        <w:tc>
          <w:tcPr>
            <w:tcW w:w="1255" w:type="dxa"/>
            <w:gridSpan w:val="2"/>
            <w:vMerge w:val="continue"/>
            <w:tcBorders>
              <w:top w:val="nil"/>
            </w:tcBorders>
            <w:vAlign w:val="center"/>
          </w:tcPr>
          <w:p w14:paraId="0DB22E0A">
            <w:pPr>
              <w:jc w:val="center"/>
              <w:rPr>
                <w:rFonts w:hint="eastAsia" w:ascii="仿宋" w:hAnsi="仿宋" w:eastAsia="仿宋" w:cs="仿宋"/>
                <w:sz w:val="21"/>
                <w:szCs w:val="21"/>
              </w:rPr>
            </w:pPr>
          </w:p>
        </w:tc>
        <w:tc>
          <w:tcPr>
            <w:tcW w:w="1061" w:type="dxa"/>
            <w:vAlign w:val="center"/>
          </w:tcPr>
          <w:p w14:paraId="2F1AB3E6">
            <w:pPr>
              <w:pStyle w:val="46"/>
              <w:spacing w:before="153"/>
              <w:ind w:left="92" w:right="85"/>
              <w:jc w:val="center"/>
              <w:rPr>
                <w:rFonts w:hint="eastAsia" w:ascii="仿宋" w:hAnsi="仿宋" w:eastAsia="仿宋" w:cs="仿宋"/>
                <w:sz w:val="21"/>
                <w:szCs w:val="21"/>
              </w:rPr>
            </w:pPr>
            <w:r>
              <w:rPr>
                <w:rFonts w:hint="eastAsia" w:ascii="仿宋" w:hAnsi="仿宋" w:eastAsia="仿宋" w:cs="仿宋"/>
                <w:sz w:val="21"/>
                <w:szCs w:val="21"/>
              </w:rPr>
              <w:t>12</w:t>
            </w:r>
          </w:p>
        </w:tc>
        <w:tc>
          <w:tcPr>
            <w:tcW w:w="4149" w:type="dxa"/>
            <w:vAlign w:val="center"/>
          </w:tcPr>
          <w:p w14:paraId="7F884DC6">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不得擅自动用客户单位或他人寄放的财物。</w:t>
            </w:r>
          </w:p>
        </w:tc>
        <w:tc>
          <w:tcPr>
            <w:tcW w:w="3236" w:type="dxa"/>
            <w:vAlign w:val="center"/>
          </w:tcPr>
          <w:p w14:paraId="690A0DCD">
            <w:pPr>
              <w:pStyle w:val="46"/>
              <w:spacing w:before="143"/>
              <w:ind w:left="107"/>
              <w:jc w:val="both"/>
              <w:rPr>
                <w:rFonts w:hint="eastAsia" w:ascii="仿宋" w:hAnsi="仿宋" w:eastAsia="仿宋" w:cs="仿宋"/>
                <w:sz w:val="21"/>
                <w:szCs w:val="21"/>
              </w:rPr>
            </w:pPr>
            <w:r>
              <w:rPr>
                <w:rFonts w:hint="eastAsia" w:ascii="仿宋" w:hAnsi="仿宋" w:eastAsia="仿宋" w:cs="仿宋"/>
                <w:sz w:val="21"/>
                <w:szCs w:val="21"/>
              </w:rPr>
              <w:t>如达不到，每次扣3分</w:t>
            </w:r>
          </w:p>
        </w:tc>
      </w:tr>
      <w:tr w14:paraId="563AC5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1255" w:type="dxa"/>
            <w:gridSpan w:val="2"/>
            <w:vMerge w:val="restart"/>
            <w:vAlign w:val="center"/>
          </w:tcPr>
          <w:p w14:paraId="3750CDC8">
            <w:pPr>
              <w:pStyle w:val="46"/>
              <w:jc w:val="center"/>
              <w:rPr>
                <w:rFonts w:hint="eastAsia" w:ascii="仿宋" w:hAnsi="仿宋" w:eastAsia="仿宋" w:cs="仿宋"/>
                <w:sz w:val="21"/>
                <w:szCs w:val="21"/>
              </w:rPr>
            </w:pPr>
          </w:p>
          <w:p w14:paraId="3BDE812B">
            <w:pPr>
              <w:pStyle w:val="46"/>
              <w:jc w:val="center"/>
              <w:rPr>
                <w:rFonts w:hint="eastAsia" w:ascii="仿宋" w:hAnsi="仿宋" w:eastAsia="仿宋" w:cs="仿宋"/>
                <w:sz w:val="21"/>
                <w:szCs w:val="21"/>
              </w:rPr>
            </w:pPr>
          </w:p>
          <w:p w14:paraId="40C24BC3">
            <w:pPr>
              <w:pStyle w:val="46"/>
              <w:jc w:val="center"/>
              <w:rPr>
                <w:rFonts w:hint="eastAsia" w:ascii="仿宋" w:hAnsi="仿宋" w:eastAsia="仿宋" w:cs="仿宋"/>
                <w:sz w:val="21"/>
                <w:szCs w:val="21"/>
              </w:rPr>
            </w:pPr>
          </w:p>
          <w:p w14:paraId="75C49C41">
            <w:pPr>
              <w:pStyle w:val="46"/>
              <w:jc w:val="center"/>
              <w:rPr>
                <w:rFonts w:hint="eastAsia" w:ascii="仿宋" w:hAnsi="仿宋" w:eastAsia="仿宋" w:cs="仿宋"/>
                <w:sz w:val="21"/>
                <w:szCs w:val="21"/>
              </w:rPr>
            </w:pPr>
          </w:p>
          <w:p w14:paraId="6E46E7BC">
            <w:pPr>
              <w:pStyle w:val="46"/>
              <w:jc w:val="center"/>
              <w:rPr>
                <w:rFonts w:hint="eastAsia" w:ascii="仿宋" w:hAnsi="仿宋" w:eastAsia="仿宋" w:cs="仿宋"/>
                <w:sz w:val="21"/>
                <w:szCs w:val="21"/>
              </w:rPr>
            </w:pPr>
          </w:p>
          <w:p w14:paraId="44BBCABD">
            <w:pPr>
              <w:pStyle w:val="46"/>
              <w:jc w:val="center"/>
              <w:rPr>
                <w:rFonts w:hint="eastAsia" w:ascii="仿宋" w:hAnsi="仿宋" w:eastAsia="仿宋" w:cs="仿宋"/>
                <w:sz w:val="21"/>
                <w:szCs w:val="21"/>
              </w:rPr>
            </w:pPr>
          </w:p>
          <w:p w14:paraId="548E5106">
            <w:pPr>
              <w:pStyle w:val="46"/>
              <w:jc w:val="center"/>
              <w:rPr>
                <w:rFonts w:hint="eastAsia" w:ascii="仿宋" w:hAnsi="仿宋" w:eastAsia="仿宋" w:cs="仿宋"/>
                <w:sz w:val="21"/>
                <w:szCs w:val="21"/>
              </w:rPr>
            </w:pPr>
          </w:p>
          <w:p w14:paraId="0C443D4B">
            <w:pPr>
              <w:pStyle w:val="46"/>
              <w:jc w:val="center"/>
              <w:rPr>
                <w:rFonts w:hint="eastAsia" w:ascii="仿宋" w:hAnsi="仿宋" w:eastAsia="仿宋" w:cs="仿宋"/>
                <w:sz w:val="21"/>
                <w:szCs w:val="21"/>
              </w:rPr>
            </w:pPr>
          </w:p>
          <w:p w14:paraId="54AEFF80">
            <w:pPr>
              <w:pStyle w:val="46"/>
              <w:jc w:val="center"/>
              <w:rPr>
                <w:rFonts w:hint="eastAsia" w:ascii="仿宋" w:hAnsi="仿宋" w:eastAsia="仿宋" w:cs="仿宋"/>
                <w:sz w:val="21"/>
                <w:szCs w:val="21"/>
              </w:rPr>
            </w:pPr>
          </w:p>
          <w:p w14:paraId="0B48B4F0">
            <w:pPr>
              <w:pStyle w:val="46"/>
              <w:jc w:val="center"/>
              <w:rPr>
                <w:rFonts w:hint="eastAsia" w:ascii="仿宋" w:hAnsi="仿宋" w:eastAsia="仿宋" w:cs="仿宋"/>
                <w:sz w:val="21"/>
                <w:szCs w:val="21"/>
              </w:rPr>
            </w:pPr>
          </w:p>
          <w:p w14:paraId="5D63B1DA">
            <w:pPr>
              <w:pStyle w:val="46"/>
              <w:jc w:val="center"/>
              <w:rPr>
                <w:rFonts w:hint="eastAsia" w:ascii="仿宋" w:hAnsi="仿宋" w:eastAsia="仿宋" w:cs="仿宋"/>
                <w:sz w:val="21"/>
                <w:szCs w:val="21"/>
              </w:rPr>
            </w:pPr>
          </w:p>
          <w:p w14:paraId="495FC2CF">
            <w:pPr>
              <w:pStyle w:val="46"/>
              <w:jc w:val="center"/>
              <w:rPr>
                <w:rFonts w:hint="eastAsia" w:ascii="仿宋" w:hAnsi="仿宋" w:eastAsia="仿宋" w:cs="仿宋"/>
                <w:sz w:val="21"/>
                <w:szCs w:val="21"/>
              </w:rPr>
            </w:pPr>
          </w:p>
          <w:p w14:paraId="2D187E99">
            <w:pPr>
              <w:pStyle w:val="46"/>
              <w:jc w:val="center"/>
              <w:rPr>
                <w:rFonts w:hint="eastAsia" w:ascii="仿宋" w:hAnsi="仿宋" w:eastAsia="仿宋" w:cs="仿宋"/>
                <w:sz w:val="21"/>
                <w:szCs w:val="21"/>
              </w:rPr>
            </w:pPr>
          </w:p>
          <w:p w14:paraId="38CE5B1E">
            <w:pPr>
              <w:pStyle w:val="46"/>
              <w:jc w:val="center"/>
              <w:rPr>
                <w:rFonts w:hint="eastAsia" w:ascii="仿宋" w:hAnsi="仿宋" w:eastAsia="仿宋" w:cs="仿宋"/>
                <w:sz w:val="21"/>
                <w:szCs w:val="21"/>
              </w:rPr>
            </w:pPr>
          </w:p>
          <w:p w14:paraId="6488B767">
            <w:pPr>
              <w:pStyle w:val="46"/>
              <w:jc w:val="center"/>
              <w:rPr>
                <w:rFonts w:hint="eastAsia" w:ascii="仿宋" w:hAnsi="仿宋" w:eastAsia="仿宋" w:cs="仿宋"/>
                <w:sz w:val="21"/>
                <w:szCs w:val="21"/>
              </w:rPr>
            </w:pPr>
          </w:p>
          <w:p w14:paraId="452D164C">
            <w:pPr>
              <w:pStyle w:val="46"/>
              <w:jc w:val="center"/>
              <w:rPr>
                <w:rFonts w:hint="eastAsia" w:ascii="仿宋" w:hAnsi="仿宋" w:eastAsia="仿宋" w:cs="仿宋"/>
                <w:sz w:val="21"/>
                <w:szCs w:val="21"/>
              </w:rPr>
            </w:pPr>
          </w:p>
          <w:p w14:paraId="763D7564">
            <w:pPr>
              <w:pStyle w:val="46"/>
              <w:jc w:val="center"/>
              <w:rPr>
                <w:rFonts w:hint="eastAsia" w:ascii="仿宋" w:hAnsi="仿宋" w:eastAsia="仿宋" w:cs="仿宋"/>
                <w:sz w:val="21"/>
                <w:szCs w:val="21"/>
              </w:rPr>
            </w:pPr>
          </w:p>
          <w:p w14:paraId="144D9DC7">
            <w:pPr>
              <w:pStyle w:val="46"/>
              <w:jc w:val="center"/>
              <w:rPr>
                <w:rFonts w:hint="eastAsia" w:ascii="仿宋" w:hAnsi="仿宋" w:eastAsia="仿宋" w:cs="仿宋"/>
                <w:sz w:val="21"/>
                <w:szCs w:val="21"/>
              </w:rPr>
            </w:pPr>
          </w:p>
          <w:p w14:paraId="0E602BBB">
            <w:pPr>
              <w:pStyle w:val="46"/>
              <w:jc w:val="center"/>
              <w:rPr>
                <w:rFonts w:hint="eastAsia" w:ascii="仿宋" w:hAnsi="仿宋" w:eastAsia="仿宋" w:cs="仿宋"/>
                <w:sz w:val="21"/>
                <w:szCs w:val="21"/>
              </w:rPr>
            </w:pPr>
          </w:p>
          <w:p w14:paraId="4B6D4BAA">
            <w:pPr>
              <w:pStyle w:val="46"/>
              <w:jc w:val="center"/>
              <w:rPr>
                <w:rFonts w:hint="eastAsia" w:ascii="仿宋" w:hAnsi="仿宋" w:eastAsia="仿宋" w:cs="仿宋"/>
                <w:sz w:val="21"/>
                <w:szCs w:val="21"/>
              </w:rPr>
            </w:pPr>
          </w:p>
          <w:p w14:paraId="7E0FC685">
            <w:pPr>
              <w:pStyle w:val="46"/>
              <w:jc w:val="center"/>
              <w:rPr>
                <w:rFonts w:hint="eastAsia" w:ascii="仿宋" w:hAnsi="仿宋" w:eastAsia="仿宋" w:cs="仿宋"/>
                <w:sz w:val="21"/>
                <w:szCs w:val="21"/>
              </w:rPr>
            </w:pPr>
          </w:p>
          <w:p w14:paraId="417BBDCF">
            <w:pPr>
              <w:pStyle w:val="46"/>
              <w:jc w:val="center"/>
              <w:rPr>
                <w:rFonts w:hint="eastAsia" w:ascii="仿宋" w:hAnsi="仿宋" w:eastAsia="仿宋" w:cs="仿宋"/>
                <w:sz w:val="21"/>
                <w:szCs w:val="21"/>
              </w:rPr>
            </w:pPr>
          </w:p>
          <w:p w14:paraId="6D1E48F0">
            <w:pPr>
              <w:pStyle w:val="46"/>
              <w:jc w:val="center"/>
              <w:rPr>
                <w:rFonts w:hint="eastAsia" w:ascii="仿宋" w:hAnsi="仿宋" w:eastAsia="仿宋" w:cs="仿宋"/>
                <w:sz w:val="21"/>
                <w:szCs w:val="21"/>
              </w:rPr>
            </w:pPr>
          </w:p>
          <w:p w14:paraId="79BE7631">
            <w:pPr>
              <w:pStyle w:val="46"/>
              <w:jc w:val="center"/>
              <w:rPr>
                <w:rFonts w:hint="eastAsia" w:ascii="仿宋" w:hAnsi="仿宋" w:eastAsia="仿宋" w:cs="仿宋"/>
                <w:sz w:val="21"/>
                <w:szCs w:val="21"/>
              </w:rPr>
            </w:pPr>
          </w:p>
          <w:p w14:paraId="2C0FBBD3">
            <w:pPr>
              <w:pStyle w:val="46"/>
              <w:spacing w:before="3"/>
              <w:jc w:val="center"/>
              <w:rPr>
                <w:rFonts w:hint="eastAsia" w:ascii="仿宋" w:hAnsi="仿宋" w:eastAsia="仿宋" w:cs="仿宋"/>
                <w:sz w:val="21"/>
                <w:szCs w:val="21"/>
              </w:rPr>
            </w:pPr>
          </w:p>
          <w:p w14:paraId="6ABA8A15">
            <w:pPr>
              <w:pStyle w:val="46"/>
              <w:spacing w:line="391" w:lineRule="auto"/>
              <w:ind w:left="0" w:leftChars="0" w:right="140" w:firstLine="211" w:firstLineChars="100"/>
              <w:jc w:val="both"/>
              <w:rPr>
                <w:rFonts w:hint="eastAsia" w:ascii="仿宋" w:hAnsi="仿宋" w:eastAsia="仿宋" w:cs="仿宋"/>
                <w:sz w:val="21"/>
                <w:szCs w:val="21"/>
              </w:rPr>
            </w:pPr>
            <w:r>
              <w:rPr>
                <w:rFonts w:hint="eastAsia" w:ascii="仿宋" w:hAnsi="仿宋" w:eastAsia="仿宋" w:cs="仿宋"/>
                <w:b/>
                <w:bCs/>
                <w:sz w:val="21"/>
                <w:szCs w:val="21"/>
              </w:rPr>
              <w:t>岗位工作</w:t>
            </w:r>
          </w:p>
        </w:tc>
        <w:tc>
          <w:tcPr>
            <w:tcW w:w="1061" w:type="dxa"/>
            <w:vAlign w:val="center"/>
          </w:tcPr>
          <w:p w14:paraId="4C03231E">
            <w:pPr>
              <w:pStyle w:val="46"/>
              <w:spacing w:before="153"/>
              <w:ind w:firstLine="420" w:firstLineChars="200"/>
              <w:jc w:val="both"/>
              <w:rPr>
                <w:rFonts w:hint="eastAsia" w:ascii="仿宋" w:hAnsi="仿宋" w:eastAsia="仿宋" w:cs="仿宋"/>
                <w:sz w:val="21"/>
                <w:szCs w:val="21"/>
              </w:rPr>
            </w:pPr>
            <w:r>
              <w:rPr>
                <w:rFonts w:hint="eastAsia" w:ascii="仿宋" w:hAnsi="仿宋" w:eastAsia="仿宋" w:cs="仿宋"/>
                <w:sz w:val="21"/>
                <w:szCs w:val="21"/>
              </w:rPr>
              <w:t>13</w:t>
            </w:r>
          </w:p>
        </w:tc>
        <w:tc>
          <w:tcPr>
            <w:tcW w:w="4149" w:type="dxa"/>
            <w:vAlign w:val="center"/>
          </w:tcPr>
          <w:p w14:paraId="5180BD8D">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熟悉责任区及周边的环境，落实“四防”安全措施。</w:t>
            </w:r>
          </w:p>
        </w:tc>
        <w:tc>
          <w:tcPr>
            <w:tcW w:w="3236" w:type="dxa"/>
            <w:vAlign w:val="center"/>
          </w:tcPr>
          <w:p w14:paraId="6C59E4B4">
            <w:pPr>
              <w:pStyle w:val="46"/>
              <w:spacing w:before="143"/>
              <w:ind w:left="107"/>
              <w:jc w:val="both"/>
              <w:rPr>
                <w:rFonts w:hint="eastAsia" w:ascii="仿宋" w:hAnsi="仿宋" w:eastAsia="仿宋" w:cs="仿宋"/>
                <w:sz w:val="21"/>
                <w:szCs w:val="21"/>
              </w:rPr>
            </w:pPr>
            <w:r>
              <w:rPr>
                <w:rFonts w:hint="eastAsia" w:ascii="仿宋" w:hAnsi="仿宋" w:eastAsia="仿宋" w:cs="仿宋"/>
                <w:spacing w:val="-14"/>
                <w:sz w:val="21"/>
                <w:szCs w:val="21"/>
              </w:rPr>
              <w:t>如违反，发现每人次扣</w:t>
            </w:r>
            <w:r>
              <w:rPr>
                <w:rFonts w:hint="eastAsia" w:ascii="仿宋" w:hAnsi="仿宋" w:eastAsia="仿宋" w:cs="仿宋"/>
                <w:sz w:val="21"/>
                <w:szCs w:val="21"/>
              </w:rPr>
              <w:t>0.5分</w:t>
            </w:r>
          </w:p>
        </w:tc>
      </w:tr>
      <w:tr w14:paraId="493E10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jc w:val="center"/>
        </w:trPr>
        <w:tc>
          <w:tcPr>
            <w:tcW w:w="1255" w:type="dxa"/>
            <w:gridSpan w:val="2"/>
            <w:vMerge w:val="continue"/>
            <w:vAlign w:val="center"/>
          </w:tcPr>
          <w:p w14:paraId="715555A3">
            <w:pPr>
              <w:jc w:val="center"/>
              <w:rPr>
                <w:rFonts w:hint="eastAsia" w:ascii="仿宋" w:hAnsi="仿宋" w:eastAsia="仿宋" w:cs="仿宋"/>
                <w:sz w:val="21"/>
                <w:szCs w:val="21"/>
              </w:rPr>
            </w:pPr>
          </w:p>
        </w:tc>
        <w:tc>
          <w:tcPr>
            <w:tcW w:w="1061" w:type="dxa"/>
            <w:vAlign w:val="center"/>
          </w:tcPr>
          <w:p w14:paraId="0D1FD89A">
            <w:pPr>
              <w:pStyle w:val="46"/>
              <w:jc w:val="right"/>
              <w:rPr>
                <w:rFonts w:hint="eastAsia" w:ascii="仿宋" w:hAnsi="仿宋" w:eastAsia="仿宋" w:cs="仿宋"/>
                <w:sz w:val="21"/>
                <w:szCs w:val="21"/>
              </w:rPr>
            </w:pPr>
          </w:p>
          <w:p w14:paraId="4146479F">
            <w:pPr>
              <w:pStyle w:val="46"/>
              <w:spacing w:before="143"/>
              <w:ind w:firstLine="420" w:firstLineChars="200"/>
              <w:jc w:val="both"/>
              <w:rPr>
                <w:rFonts w:hint="eastAsia" w:ascii="仿宋" w:hAnsi="仿宋" w:eastAsia="仿宋" w:cs="仿宋"/>
                <w:sz w:val="21"/>
                <w:szCs w:val="21"/>
              </w:rPr>
            </w:pPr>
            <w:r>
              <w:rPr>
                <w:rFonts w:hint="eastAsia" w:ascii="仿宋" w:hAnsi="仿宋" w:eastAsia="仿宋" w:cs="仿宋"/>
                <w:sz w:val="21"/>
                <w:szCs w:val="21"/>
              </w:rPr>
              <w:t>14</w:t>
            </w:r>
          </w:p>
        </w:tc>
        <w:tc>
          <w:tcPr>
            <w:tcW w:w="4149" w:type="dxa"/>
            <w:vAlign w:val="center"/>
          </w:tcPr>
          <w:p w14:paraId="1D178851">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定期对安防、技防设施（器材）进行检查维护，确保其性能良好。发现问题，及时上报，并予跟踪，直到隐患消除。</w:t>
            </w:r>
          </w:p>
        </w:tc>
        <w:tc>
          <w:tcPr>
            <w:tcW w:w="3236" w:type="dxa"/>
            <w:vAlign w:val="center"/>
          </w:tcPr>
          <w:p w14:paraId="6AEDB4FB">
            <w:pPr>
              <w:pStyle w:val="46"/>
              <w:ind w:left="107"/>
              <w:jc w:val="both"/>
              <w:rPr>
                <w:rFonts w:hint="eastAsia" w:ascii="仿宋" w:hAnsi="仿宋" w:eastAsia="仿宋" w:cs="仿宋"/>
                <w:sz w:val="21"/>
                <w:szCs w:val="21"/>
              </w:rPr>
            </w:pPr>
            <w:r>
              <w:rPr>
                <w:rFonts w:hint="eastAsia" w:ascii="仿宋" w:hAnsi="仿宋" w:eastAsia="仿宋" w:cs="仿宋"/>
                <w:sz w:val="21"/>
                <w:szCs w:val="21"/>
              </w:rPr>
              <w:t>如遗漏，发现一次扣1分</w:t>
            </w:r>
          </w:p>
        </w:tc>
      </w:tr>
      <w:tr w14:paraId="59A69C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jc w:val="center"/>
        </w:trPr>
        <w:tc>
          <w:tcPr>
            <w:tcW w:w="1255" w:type="dxa"/>
            <w:gridSpan w:val="2"/>
            <w:vMerge w:val="continue"/>
            <w:vAlign w:val="center"/>
          </w:tcPr>
          <w:p w14:paraId="2E178749">
            <w:pPr>
              <w:jc w:val="center"/>
              <w:rPr>
                <w:rFonts w:hint="eastAsia" w:ascii="仿宋" w:hAnsi="仿宋" w:eastAsia="仿宋" w:cs="仿宋"/>
                <w:sz w:val="21"/>
                <w:szCs w:val="21"/>
              </w:rPr>
            </w:pPr>
          </w:p>
        </w:tc>
        <w:tc>
          <w:tcPr>
            <w:tcW w:w="1061" w:type="dxa"/>
            <w:vAlign w:val="center"/>
          </w:tcPr>
          <w:p w14:paraId="75489695">
            <w:pPr>
              <w:pStyle w:val="46"/>
              <w:spacing w:before="143"/>
              <w:jc w:val="center"/>
              <w:rPr>
                <w:rFonts w:hint="eastAsia" w:ascii="仿宋" w:hAnsi="仿宋" w:eastAsia="仿宋" w:cs="仿宋"/>
                <w:sz w:val="21"/>
                <w:szCs w:val="21"/>
              </w:rPr>
            </w:pPr>
            <w:r>
              <w:rPr>
                <w:rFonts w:hint="eastAsia" w:ascii="仿宋" w:hAnsi="仿宋" w:eastAsia="仿宋" w:cs="仿宋"/>
                <w:sz w:val="21"/>
                <w:szCs w:val="21"/>
              </w:rPr>
              <w:t>15</w:t>
            </w:r>
          </w:p>
        </w:tc>
        <w:tc>
          <w:tcPr>
            <w:tcW w:w="4149" w:type="dxa"/>
            <w:vAlign w:val="center"/>
          </w:tcPr>
          <w:p w14:paraId="04E21B59">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严格巡查巡逻制度，重点加强责任区内火灾、治安防范重点部位的检查。</w:t>
            </w:r>
          </w:p>
        </w:tc>
        <w:tc>
          <w:tcPr>
            <w:tcW w:w="3236" w:type="dxa"/>
            <w:vAlign w:val="center"/>
          </w:tcPr>
          <w:p w14:paraId="5C078F2A">
            <w:pPr>
              <w:pStyle w:val="46"/>
              <w:ind w:left="107"/>
              <w:jc w:val="both"/>
              <w:rPr>
                <w:rFonts w:hint="eastAsia" w:ascii="仿宋" w:hAnsi="仿宋" w:eastAsia="仿宋" w:cs="仿宋"/>
                <w:sz w:val="21"/>
                <w:szCs w:val="21"/>
              </w:rPr>
            </w:pPr>
            <w:r>
              <w:rPr>
                <w:rFonts w:hint="eastAsia" w:ascii="仿宋" w:hAnsi="仿宋" w:eastAsia="仿宋" w:cs="仿宋"/>
                <w:spacing w:val="-14"/>
                <w:sz w:val="21"/>
                <w:szCs w:val="21"/>
              </w:rPr>
              <w:t>如违反，发现每人次扣</w:t>
            </w:r>
            <w:r>
              <w:rPr>
                <w:rFonts w:hint="eastAsia" w:ascii="仿宋" w:hAnsi="仿宋" w:eastAsia="仿宋" w:cs="仿宋"/>
                <w:sz w:val="21"/>
                <w:szCs w:val="21"/>
              </w:rPr>
              <w:t>0.5分</w:t>
            </w:r>
          </w:p>
        </w:tc>
      </w:tr>
      <w:tr w14:paraId="5E6F7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9" w:hRule="atLeast"/>
          <w:jc w:val="center"/>
        </w:trPr>
        <w:tc>
          <w:tcPr>
            <w:tcW w:w="1255" w:type="dxa"/>
            <w:gridSpan w:val="2"/>
            <w:vMerge w:val="continue"/>
            <w:vAlign w:val="center"/>
          </w:tcPr>
          <w:p w14:paraId="13413042">
            <w:pPr>
              <w:jc w:val="center"/>
              <w:rPr>
                <w:rFonts w:hint="eastAsia" w:ascii="仿宋" w:hAnsi="仿宋" w:eastAsia="仿宋" w:cs="仿宋"/>
                <w:sz w:val="21"/>
                <w:szCs w:val="21"/>
              </w:rPr>
            </w:pPr>
          </w:p>
        </w:tc>
        <w:tc>
          <w:tcPr>
            <w:tcW w:w="1061" w:type="dxa"/>
            <w:vAlign w:val="center"/>
          </w:tcPr>
          <w:p w14:paraId="3ACB9A95">
            <w:pPr>
              <w:pStyle w:val="46"/>
              <w:spacing w:before="143"/>
              <w:jc w:val="center"/>
              <w:rPr>
                <w:rFonts w:hint="eastAsia" w:ascii="仿宋" w:hAnsi="仿宋" w:eastAsia="仿宋" w:cs="仿宋"/>
                <w:sz w:val="21"/>
                <w:szCs w:val="21"/>
              </w:rPr>
            </w:pPr>
            <w:r>
              <w:rPr>
                <w:rFonts w:hint="eastAsia" w:ascii="仿宋" w:hAnsi="仿宋" w:eastAsia="仿宋" w:cs="仿宋"/>
                <w:sz w:val="21"/>
                <w:szCs w:val="21"/>
              </w:rPr>
              <w:t>16</w:t>
            </w:r>
          </w:p>
        </w:tc>
        <w:tc>
          <w:tcPr>
            <w:tcW w:w="4149" w:type="dxa"/>
            <w:vAlign w:val="center"/>
          </w:tcPr>
          <w:p w14:paraId="464AA71F">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发现违法犯罪分子作案，应立即制止。发生盗抢事件，及时报告公安机关、公司、客户单位，并保护好现场。</w:t>
            </w:r>
          </w:p>
        </w:tc>
        <w:tc>
          <w:tcPr>
            <w:tcW w:w="3236" w:type="dxa"/>
            <w:vAlign w:val="center"/>
          </w:tcPr>
          <w:p w14:paraId="5151376E">
            <w:pPr>
              <w:pStyle w:val="46"/>
              <w:ind w:left="107"/>
              <w:jc w:val="both"/>
              <w:rPr>
                <w:rFonts w:hint="eastAsia" w:ascii="仿宋" w:hAnsi="仿宋" w:eastAsia="仿宋" w:cs="仿宋"/>
                <w:sz w:val="21"/>
                <w:szCs w:val="21"/>
              </w:rPr>
            </w:pPr>
            <w:r>
              <w:rPr>
                <w:rFonts w:hint="eastAsia" w:ascii="仿宋" w:hAnsi="仿宋" w:eastAsia="仿宋" w:cs="仿宋"/>
                <w:spacing w:val="-14"/>
                <w:sz w:val="21"/>
                <w:szCs w:val="21"/>
              </w:rPr>
              <w:t>如违反，发现每人次扣</w:t>
            </w:r>
            <w:r>
              <w:rPr>
                <w:rFonts w:hint="eastAsia" w:ascii="仿宋" w:hAnsi="仿宋" w:eastAsia="仿宋" w:cs="仿宋"/>
                <w:sz w:val="21"/>
                <w:szCs w:val="21"/>
              </w:rPr>
              <w:t>0.5分</w:t>
            </w:r>
          </w:p>
        </w:tc>
      </w:tr>
      <w:tr w14:paraId="7F440D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9" w:hRule="atLeast"/>
          <w:jc w:val="center"/>
        </w:trPr>
        <w:tc>
          <w:tcPr>
            <w:tcW w:w="1255" w:type="dxa"/>
            <w:gridSpan w:val="2"/>
            <w:vMerge w:val="continue"/>
            <w:vAlign w:val="center"/>
          </w:tcPr>
          <w:p w14:paraId="36D77B71">
            <w:pPr>
              <w:jc w:val="center"/>
              <w:rPr>
                <w:rFonts w:hint="eastAsia" w:ascii="仿宋" w:hAnsi="仿宋" w:eastAsia="仿宋" w:cs="仿宋"/>
                <w:sz w:val="21"/>
                <w:szCs w:val="21"/>
              </w:rPr>
            </w:pPr>
          </w:p>
        </w:tc>
        <w:tc>
          <w:tcPr>
            <w:tcW w:w="1061" w:type="dxa"/>
            <w:vAlign w:val="center"/>
          </w:tcPr>
          <w:p w14:paraId="3EE6BED9">
            <w:pPr>
              <w:pStyle w:val="46"/>
              <w:spacing w:before="141"/>
              <w:jc w:val="center"/>
              <w:rPr>
                <w:rFonts w:hint="eastAsia" w:ascii="仿宋" w:hAnsi="仿宋" w:eastAsia="仿宋" w:cs="仿宋"/>
                <w:sz w:val="21"/>
                <w:szCs w:val="21"/>
              </w:rPr>
            </w:pPr>
            <w:r>
              <w:rPr>
                <w:rFonts w:hint="eastAsia" w:ascii="仿宋" w:hAnsi="仿宋" w:eastAsia="仿宋" w:cs="仿宋"/>
                <w:sz w:val="21"/>
                <w:szCs w:val="21"/>
              </w:rPr>
              <w:t>17</w:t>
            </w:r>
          </w:p>
        </w:tc>
        <w:tc>
          <w:tcPr>
            <w:tcW w:w="4149" w:type="dxa"/>
            <w:vAlign w:val="center"/>
          </w:tcPr>
          <w:p w14:paraId="6F50A15E">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发生火灾，及时采取有效措施，根据火势大小，果断决策，及时报警、报告公司领导。</w:t>
            </w:r>
          </w:p>
        </w:tc>
        <w:tc>
          <w:tcPr>
            <w:tcW w:w="3236" w:type="dxa"/>
            <w:vAlign w:val="center"/>
          </w:tcPr>
          <w:p w14:paraId="5CA9B16D">
            <w:pPr>
              <w:pStyle w:val="46"/>
              <w:ind w:left="107"/>
              <w:jc w:val="both"/>
              <w:rPr>
                <w:rFonts w:hint="eastAsia" w:ascii="仿宋" w:hAnsi="仿宋" w:eastAsia="仿宋" w:cs="仿宋"/>
                <w:sz w:val="21"/>
                <w:szCs w:val="21"/>
              </w:rPr>
            </w:pPr>
            <w:r>
              <w:rPr>
                <w:rFonts w:hint="eastAsia" w:ascii="仿宋" w:hAnsi="仿宋" w:eastAsia="仿宋" w:cs="仿宋"/>
                <w:spacing w:val="-14"/>
                <w:sz w:val="21"/>
                <w:szCs w:val="21"/>
              </w:rPr>
              <w:t>如违反，发现每人次扣</w:t>
            </w:r>
            <w:r>
              <w:rPr>
                <w:rFonts w:hint="eastAsia" w:ascii="仿宋" w:hAnsi="仿宋" w:eastAsia="仿宋" w:cs="仿宋"/>
                <w:sz w:val="21"/>
                <w:szCs w:val="21"/>
              </w:rPr>
              <w:t>0.5分</w:t>
            </w:r>
          </w:p>
        </w:tc>
      </w:tr>
      <w:tr w14:paraId="256447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jc w:val="center"/>
        </w:trPr>
        <w:tc>
          <w:tcPr>
            <w:tcW w:w="1255" w:type="dxa"/>
            <w:gridSpan w:val="2"/>
            <w:vMerge w:val="continue"/>
            <w:vAlign w:val="center"/>
          </w:tcPr>
          <w:p w14:paraId="68A39AC2">
            <w:pPr>
              <w:jc w:val="center"/>
              <w:rPr>
                <w:rFonts w:hint="eastAsia" w:ascii="仿宋" w:hAnsi="仿宋" w:eastAsia="仿宋" w:cs="仿宋"/>
                <w:sz w:val="21"/>
                <w:szCs w:val="21"/>
              </w:rPr>
            </w:pPr>
          </w:p>
        </w:tc>
        <w:tc>
          <w:tcPr>
            <w:tcW w:w="1061" w:type="dxa"/>
            <w:vAlign w:val="center"/>
          </w:tcPr>
          <w:p w14:paraId="098DDF9C">
            <w:pPr>
              <w:pStyle w:val="46"/>
              <w:spacing w:before="142"/>
              <w:jc w:val="center"/>
              <w:rPr>
                <w:rFonts w:hint="eastAsia" w:ascii="仿宋" w:hAnsi="仿宋" w:eastAsia="仿宋" w:cs="仿宋"/>
                <w:sz w:val="21"/>
                <w:szCs w:val="21"/>
              </w:rPr>
            </w:pPr>
            <w:r>
              <w:rPr>
                <w:rFonts w:hint="eastAsia" w:ascii="仿宋" w:hAnsi="仿宋" w:eastAsia="仿宋" w:cs="仿宋"/>
                <w:sz w:val="21"/>
                <w:szCs w:val="21"/>
              </w:rPr>
              <w:t>18</w:t>
            </w:r>
          </w:p>
        </w:tc>
        <w:tc>
          <w:tcPr>
            <w:tcW w:w="4149" w:type="dxa"/>
            <w:vAlign w:val="center"/>
          </w:tcPr>
          <w:p w14:paraId="020B4FE1">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严格遵守交接班制度，交接班时，明确上一班遗留问题和交办事项，遇重大事项发生，有需要不得下班。</w:t>
            </w:r>
          </w:p>
        </w:tc>
        <w:tc>
          <w:tcPr>
            <w:tcW w:w="3236" w:type="dxa"/>
            <w:vAlign w:val="center"/>
          </w:tcPr>
          <w:p w14:paraId="7A21845F">
            <w:pPr>
              <w:pStyle w:val="46"/>
              <w:spacing w:before="1"/>
              <w:ind w:left="107"/>
              <w:jc w:val="both"/>
              <w:rPr>
                <w:rFonts w:hint="eastAsia" w:ascii="仿宋" w:hAnsi="仿宋" w:eastAsia="仿宋" w:cs="仿宋"/>
                <w:sz w:val="21"/>
                <w:szCs w:val="21"/>
              </w:rPr>
            </w:pPr>
            <w:r>
              <w:rPr>
                <w:rFonts w:hint="eastAsia" w:ascii="仿宋" w:hAnsi="仿宋" w:eastAsia="仿宋" w:cs="仿宋"/>
                <w:sz w:val="21"/>
                <w:szCs w:val="21"/>
              </w:rPr>
              <w:t>如达不到，每次扣1分</w:t>
            </w:r>
          </w:p>
        </w:tc>
      </w:tr>
      <w:tr w14:paraId="55DC68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0" w:hRule="atLeast"/>
          <w:jc w:val="center"/>
        </w:trPr>
        <w:tc>
          <w:tcPr>
            <w:tcW w:w="1255" w:type="dxa"/>
            <w:gridSpan w:val="2"/>
            <w:vMerge w:val="continue"/>
            <w:vAlign w:val="center"/>
          </w:tcPr>
          <w:p w14:paraId="6DEA47E2">
            <w:pPr>
              <w:jc w:val="center"/>
              <w:rPr>
                <w:rFonts w:hint="eastAsia" w:ascii="仿宋" w:hAnsi="仿宋" w:eastAsia="仿宋" w:cs="仿宋"/>
                <w:sz w:val="21"/>
                <w:szCs w:val="21"/>
              </w:rPr>
            </w:pPr>
          </w:p>
        </w:tc>
        <w:tc>
          <w:tcPr>
            <w:tcW w:w="1061" w:type="dxa"/>
            <w:vAlign w:val="center"/>
          </w:tcPr>
          <w:p w14:paraId="4F9CE09C">
            <w:pPr>
              <w:pStyle w:val="46"/>
              <w:spacing w:before="133"/>
              <w:jc w:val="center"/>
              <w:rPr>
                <w:rFonts w:hint="eastAsia" w:ascii="仿宋" w:hAnsi="仿宋" w:eastAsia="仿宋" w:cs="仿宋"/>
                <w:sz w:val="21"/>
                <w:szCs w:val="21"/>
              </w:rPr>
            </w:pPr>
            <w:r>
              <w:rPr>
                <w:rFonts w:hint="eastAsia" w:ascii="仿宋" w:hAnsi="仿宋" w:eastAsia="仿宋" w:cs="仿宋"/>
                <w:sz w:val="21"/>
                <w:szCs w:val="21"/>
              </w:rPr>
              <w:t>19</w:t>
            </w:r>
          </w:p>
        </w:tc>
        <w:tc>
          <w:tcPr>
            <w:tcW w:w="4149" w:type="dxa"/>
            <w:vAlign w:val="center"/>
          </w:tcPr>
          <w:p w14:paraId="10D721FB">
            <w:pPr>
              <w:pStyle w:val="46"/>
              <w:spacing w:before="143"/>
              <w:ind w:left="106"/>
              <w:jc w:val="both"/>
              <w:rPr>
                <w:rFonts w:hint="eastAsia" w:ascii="仿宋" w:hAnsi="仿宋" w:eastAsia="仿宋" w:cs="仿宋"/>
                <w:sz w:val="21"/>
                <w:szCs w:val="21"/>
                <w:lang w:eastAsia="zh-CN"/>
              </w:rPr>
            </w:pPr>
            <w:r>
              <w:rPr>
                <w:rFonts w:hint="eastAsia" w:ascii="仿宋" w:hAnsi="仿宋" w:eastAsia="仿宋" w:cs="仿宋"/>
                <w:sz w:val="21"/>
                <w:szCs w:val="21"/>
              </w:rPr>
              <w:t>夜间巡逻至少二人一组，提高警惕、坚守岗位，发现和处理的情况要认真、详细记录在巡逻签到本上并严格遵守签到规定，严禁出现代签现象</w:t>
            </w:r>
            <w:r>
              <w:rPr>
                <w:rFonts w:hint="eastAsia" w:ascii="仿宋" w:hAnsi="仿宋" w:eastAsia="仿宋" w:cs="仿宋"/>
                <w:sz w:val="21"/>
                <w:szCs w:val="21"/>
                <w:lang w:eastAsia="zh-CN"/>
              </w:rPr>
              <w:t>。</w:t>
            </w:r>
          </w:p>
        </w:tc>
        <w:tc>
          <w:tcPr>
            <w:tcW w:w="3236" w:type="dxa"/>
            <w:vAlign w:val="center"/>
          </w:tcPr>
          <w:p w14:paraId="71E14473">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若有发现记录不属实，每次扣2分；发现代签，每次扣3分</w:t>
            </w:r>
          </w:p>
        </w:tc>
      </w:tr>
      <w:tr w14:paraId="154C66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jc w:val="center"/>
        </w:trPr>
        <w:tc>
          <w:tcPr>
            <w:tcW w:w="1255" w:type="dxa"/>
            <w:gridSpan w:val="2"/>
            <w:vMerge w:val="continue"/>
            <w:vAlign w:val="center"/>
          </w:tcPr>
          <w:p w14:paraId="0C7EC8A1">
            <w:pPr>
              <w:jc w:val="center"/>
              <w:rPr>
                <w:rFonts w:hint="eastAsia" w:ascii="仿宋" w:hAnsi="仿宋" w:eastAsia="仿宋" w:cs="仿宋"/>
                <w:sz w:val="21"/>
                <w:szCs w:val="21"/>
              </w:rPr>
            </w:pPr>
          </w:p>
        </w:tc>
        <w:tc>
          <w:tcPr>
            <w:tcW w:w="1061" w:type="dxa"/>
            <w:vAlign w:val="center"/>
          </w:tcPr>
          <w:p w14:paraId="08A6F9F3">
            <w:pPr>
              <w:pStyle w:val="46"/>
              <w:spacing w:before="142"/>
              <w:jc w:val="center"/>
              <w:rPr>
                <w:rFonts w:hint="eastAsia" w:ascii="仿宋" w:hAnsi="仿宋" w:eastAsia="仿宋" w:cs="仿宋"/>
                <w:sz w:val="21"/>
                <w:szCs w:val="21"/>
              </w:rPr>
            </w:pPr>
            <w:r>
              <w:rPr>
                <w:rFonts w:hint="eastAsia" w:ascii="仿宋" w:hAnsi="仿宋" w:eastAsia="仿宋" w:cs="仿宋"/>
                <w:sz w:val="21"/>
                <w:szCs w:val="21"/>
              </w:rPr>
              <w:t>20</w:t>
            </w:r>
          </w:p>
        </w:tc>
        <w:tc>
          <w:tcPr>
            <w:tcW w:w="4149" w:type="dxa"/>
            <w:vAlign w:val="center"/>
          </w:tcPr>
          <w:p w14:paraId="3E024CAA">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严守机密，不对外泄漏设备状况，监控范围，设备缺陷等机密。未经许可谢绝外人入内，未经许可严禁拍照，录像。</w:t>
            </w:r>
          </w:p>
        </w:tc>
        <w:tc>
          <w:tcPr>
            <w:tcW w:w="3236" w:type="dxa"/>
            <w:vAlign w:val="center"/>
          </w:tcPr>
          <w:p w14:paraId="4F1D9C72">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如达不到每次扣2分</w:t>
            </w:r>
          </w:p>
        </w:tc>
      </w:tr>
      <w:tr w14:paraId="79772B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jc w:val="center"/>
        </w:trPr>
        <w:tc>
          <w:tcPr>
            <w:tcW w:w="1255" w:type="dxa"/>
            <w:gridSpan w:val="2"/>
            <w:vMerge w:val="continue"/>
            <w:vAlign w:val="center"/>
          </w:tcPr>
          <w:p w14:paraId="32EDBDB9">
            <w:pPr>
              <w:jc w:val="center"/>
              <w:rPr>
                <w:rFonts w:hint="eastAsia" w:ascii="仿宋" w:hAnsi="仿宋" w:eastAsia="仿宋" w:cs="仿宋"/>
                <w:sz w:val="21"/>
                <w:szCs w:val="21"/>
              </w:rPr>
            </w:pPr>
          </w:p>
        </w:tc>
        <w:tc>
          <w:tcPr>
            <w:tcW w:w="1061" w:type="dxa"/>
            <w:vAlign w:val="center"/>
          </w:tcPr>
          <w:p w14:paraId="2B60DFC3">
            <w:pPr>
              <w:pStyle w:val="46"/>
              <w:spacing w:before="143"/>
              <w:jc w:val="center"/>
              <w:rPr>
                <w:rFonts w:hint="eastAsia" w:ascii="仿宋" w:hAnsi="仿宋" w:eastAsia="仿宋" w:cs="仿宋"/>
                <w:sz w:val="21"/>
                <w:szCs w:val="21"/>
              </w:rPr>
            </w:pPr>
            <w:r>
              <w:rPr>
                <w:rFonts w:hint="eastAsia" w:ascii="仿宋" w:hAnsi="仿宋" w:eastAsia="仿宋" w:cs="仿宋"/>
                <w:sz w:val="21"/>
                <w:szCs w:val="21"/>
              </w:rPr>
              <w:t>21</w:t>
            </w:r>
          </w:p>
        </w:tc>
        <w:tc>
          <w:tcPr>
            <w:tcW w:w="4149" w:type="dxa"/>
            <w:vAlign w:val="center"/>
          </w:tcPr>
          <w:p w14:paraId="344B700C">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协助</w:t>
            </w:r>
            <w:r>
              <w:rPr>
                <w:rFonts w:hint="eastAsia" w:ascii="仿宋" w:hAnsi="仿宋" w:eastAsia="仿宋" w:cs="仿宋"/>
                <w:sz w:val="21"/>
                <w:szCs w:val="21"/>
                <w:lang w:val="en-US" w:eastAsia="zh-CN"/>
              </w:rPr>
              <w:t>医院</w:t>
            </w:r>
            <w:r>
              <w:rPr>
                <w:rFonts w:hint="eastAsia" w:ascii="仿宋" w:hAnsi="仿宋" w:eastAsia="仿宋" w:cs="仿宋"/>
                <w:sz w:val="21"/>
                <w:szCs w:val="21"/>
              </w:rPr>
              <w:t>对客户乱扔垃圾、破坏公物、不在规定区域等不道德行为进行规劝。</w:t>
            </w:r>
          </w:p>
        </w:tc>
        <w:tc>
          <w:tcPr>
            <w:tcW w:w="3236" w:type="dxa"/>
            <w:vAlign w:val="center"/>
          </w:tcPr>
          <w:p w14:paraId="40EA8DA3">
            <w:pPr>
              <w:pStyle w:val="46"/>
              <w:spacing w:before="143"/>
              <w:ind w:left="106"/>
              <w:jc w:val="both"/>
              <w:rPr>
                <w:rFonts w:hint="eastAsia" w:ascii="仿宋" w:hAnsi="仿宋" w:eastAsia="仿宋" w:cs="仿宋"/>
                <w:sz w:val="21"/>
                <w:szCs w:val="21"/>
              </w:rPr>
            </w:pPr>
          </w:p>
          <w:p w14:paraId="5DF54588">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如达不到每次扣0.5分</w:t>
            </w:r>
          </w:p>
        </w:tc>
      </w:tr>
      <w:tr w14:paraId="045F4A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4" w:hRule="atLeast"/>
          <w:jc w:val="center"/>
        </w:trPr>
        <w:tc>
          <w:tcPr>
            <w:tcW w:w="1255" w:type="dxa"/>
            <w:gridSpan w:val="2"/>
            <w:vMerge w:val="continue"/>
            <w:vAlign w:val="center"/>
          </w:tcPr>
          <w:p w14:paraId="2CFB59F5">
            <w:pPr>
              <w:jc w:val="center"/>
              <w:rPr>
                <w:rFonts w:hint="eastAsia" w:ascii="仿宋" w:hAnsi="仿宋" w:eastAsia="仿宋" w:cs="仿宋"/>
                <w:sz w:val="21"/>
                <w:szCs w:val="21"/>
              </w:rPr>
            </w:pPr>
          </w:p>
        </w:tc>
        <w:tc>
          <w:tcPr>
            <w:tcW w:w="1061" w:type="dxa"/>
            <w:vAlign w:val="center"/>
          </w:tcPr>
          <w:p w14:paraId="72786141">
            <w:pPr>
              <w:pStyle w:val="46"/>
              <w:spacing w:before="143"/>
              <w:jc w:val="center"/>
              <w:rPr>
                <w:rFonts w:hint="eastAsia" w:ascii="仿宋" w:hAnsi="仿宋" w:eastAsia="仿宋" w:cs="仿宋"/>
                <w:sz w:val="21"/>
                <w:szCs w:val="21"/>
              </w:rPr>
            </w:pPr>
            <w:r>
              <w:rPr>
                <w:rFonts w:hint="eastAsia" w:ascii="仿宋" w:hAnsi="仿宋" w:eastAsia="仿宋" w:cs="仿宋"/>
                <w:sz w:val="21"/>
                <w:szCs w:val="21"/>
              </w:rPr>
              <w:t>22</w:t>
            </w:r>
          </w:p>
        </w:tc>
        <w:tc>
          <w:tcPr>
            <w:tcW w:w="4149" w:type="dxa"/>
            <w:vAlign w:val="center"/>
          </w:tcPr>
          <w:p w14:paraId="7B4E2B03">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对车辆停放进行管理，营业厅外车辆按指定位置有序停放，及时纠正车辆违规停放现象，保障停车秩序。</w:t>
            </w:r>
          </w:p>
        </w:tc>
        <w:tc>
          <w:tcPr>
            <w:tcW w:w="3236" w:type="dxa"/>
            <w:vAlign w:val="center"/>
          </w:tcPr>
          <w:p w14:paraId="76721767">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如发现车辆无序停放每次扣0.3分。</w:t>
            </w:r>
          </w:p>
        </w:tc>
      </w:tr>
      <w:tr w14:paraId="089AC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jc w:val="center"/>
        </w:trPr>
        <w:tc>
          <w:tcPr>
            <w:tcW w:w="1255" w:type="dxa"/>
            <w:gridSpan w:val="2"/>
            <w:vMerge w:val="continue"/>
            <w:vAlign w:val="center"/>
          </w:tcPr>
          <w:p w14:paraId="2B71DA0E">
            <w:pPr>
              <w:jc w:val="center"/>
              <w:rPr>
                <w:rFonts w:hint="eastAsia" w:ascii="仿宋" w:hAnsi="仿宋" w:eastAsia="仿宋" w:cs="仿宋"/>
                <w:sz w:val="21"/>
                <w:szCs w:val="21"/>
              </w:rPr>
            </w:pPr>
          </w:p>
        </w:tc>
        <w:tc>
          <w:tcPr>
            <w:tcW w:w="1061" w:type="dxa"/>
            <w:vAlign w:val="center"/>
          </w:tcPr>
          <w:p w14:paraId="58151181">
            <w:pPr>
              <w:pStyle w:val="46"/>
              <w:spacing w:before="143"/>
              <w:jc w:val="center"/>
              <w:rPr>
                <w:rFonts w:hint="eastAsia" w:ascii="仿宋" w:hAnsi="仿宋" w:eastAsia="仿宋" w:cs="仿宋"/>
                <w:sz w:val="21"/>
                <w:szCs w:val="21"/>
              </w:rPr>
            </w:pPr>
            <w:r>
              <w:rPr>
                <w:rFonts w:hint="eastAsia" w:ascii="仿宋" w:hAnsi="仿宋" w:eastAsia="仿宋" w:cs="仿宋"/>
                <w:sz w:val="21"/>
                <w:szCs w:val="21"/>
              </w:rPr>
              <w:t>23</w:t>
            </w:r>
          </w:p>
        </w:tc>
        <w:tc>
          <w:tcPr>
            <w:tcW w:w="4149" w:type="dxa"/>
            <w:vAlign w:val="center"/>
          </w:tcPr>
          <w:p w14:paraId="3AB32046">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lang w:val="en-US" w:eastAsia="zh-CN"/>
              </w:rPr>
              <w:t>医院</w:t>
            </w:r>
            <w:r>
              <w:rPr>
                <w:rFonts w:hint="eastAsia" w:ascii="仿宋" w:hAnsi="仿宋" w:eastAsia="仿宋" w:cs="仿宋"/>
                <w:sz w:val="21"/>
                <w:szCs w:val="21"/>
              </w:rPr>
              <w:t>外责任区内有商贩进行商业活动或社会闲散人员如乞丐等逗留时，必须进行制止或遣散。</w:t>
            </w:r>
          </w:p>
        </w:tc>
        <w:tc>
          <w:tcPr>
            <w:tcW w:w="3236" w:type="dxa"/>
            <w:vAlign w:val="center"/>
          </w:tcPr>
          <w:p w14:paraId="205EAD8E">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如达不到，每次扣0.3分</w:t>
            </w:r>
          </w:p>
        </w:tc>
      </w:tr>
      <w:tr w14:paraId="1B943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9" w:hRule="atLeast"/>
          <w:jc w:val="center"/>
        </w:trPr>
        <w:tc>
          <w:tcPr>
            <w:tcW w:w="1255" w:type="dxa"/>
            <w:gridSpan w:val="2"/>
            <w:vMerge w:val="continue"/>
            <w:vAlign w:val="center"/>
          </w:tcPr>
          <w:p w14:paraId="64D2ED80">
            <w:pPr>
              <w:jc w:val="center"/>
              <w:rPr>
                <w:rFonts w:hint="eastAsia" w:ascii="仿宋" w:hAnsi="仿宋" w:eastAsia="仿宋" w:cs="仿宋"/>
                <w:sz w:val="21"/>
                <w:szCs w:val="21"/>
              </w:rPr>
            </w:pPr>
          </w:p>
        </w:tc>
        <w:tc>
          <w:tcPr>
            <w:tcW w:w="1061" w:type="dxa"/>
            <w:vAlign w:val="center"/>
          </w:tcPr>
          <w:p w14:paraId="5142C950">
            <w:pPr>
              <w:pStyle w:val="46"/>
              <w:spacing w:before="143"/>
              <w:jc w:val="center"/>
              <w:rPr>
                <w:rFonts w:hint="eastAsia" w:ascii="仿宋" w:hAnsi="仿宋" w:eastAsia="仿宋" w:cs="仿宋"/>
                <w:sz w:val="21"/>
                <w:szCs w:val="21"/>
              </w:rPr>
            </w:pPr>
            <w:r>
              <w:rPr>
                <w:rFonts w:hint="eastAsia" w:ascii="仿宋" w:hAnsi="仿宋" w:eastAsia="仿宋" w:cs="仿宋"/>
                <w:sz w:val="21"/>
                <w:szCs w:val="21"/>
              </w:rPr>
              <w:t>24</w:t>
            </w:r>
          </w:p>
        </w:tc>
        <w:tc>
          <w:tcPr>
            <w:tcW w:w="4149" w:type="dxa"/>
            <w:vAlign w:val="center"/>
          </w:tcPr>
          <w:p w14:paraId="4C443BE0">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lang w:val="en-US" w:eastAsia="zh-CN"/>
              </w:rPr>
              <w:t>医院办公</w:t>
            </w:r>
            <w:r>
              <w:rPr>
                <w:rFonts w:hint="eastAsia" w:ascii="仿宋" w:hAnsi="仿宋" w:eastAsia="仿宋" w:cs="仿宋"/>
                <w:sz w:val="21"/>
                <w:szCs w:val="21"/>
              </w:rPr>
              <w:t>区域在得到被访人员允许后，方可允许访客进入。</w:t>
            </w:r>
          </w:p>
        </w:tc>
        <w:tc>
          <w:tcPr>
            <w:tcW w:w="3236" w:type="dxa"/>
            <w:vAlign w:val="center"/>
          </w:tcPr>
          <w:p w14:paraId="6BAAB76B">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违反一次扣1分</w:t>
            </w:r>
          </w:p>
        </w:tc>
      </w:tr>
      <w:tr w14:paraId="4BC7EE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9" w:hRule="atLeast"/>
          <w:jc w:val="center"/>
        </w:trPr>
        <w:tc>
          <w:tcPr>
            <w:tcW w:w="1255" w:type="dxa"/>
            <w:gridSpan w:val="2"/>
            <w:vMerge w:val="continue"/>
            <w:vAlign w:val="center"/>
          </w:tcPr>
          <w:p w14:paraId="64F201F6">
            <w:pPr>
              <w:jc w:val="center"/>
              <w:rPr>
                <w:rFonts w:hint="eastAsia" w:ascii="仿宋" w:hAnsi="仿宋" w:eastAsia="仿宋" w:cs="仿宋"/>
                <w:sz w:val="21"/>
                <w:szCs w:val="21"/>
              </w:rPr>
            </w:pPr>
          </w:p>
        </w:tc>
        <w:tc>
          <w:tcPr>
            <w:tcW w:w="1061" w:type="dxa"/>
            <w:vAlign w:val="center"/>
          </w:tcPr>
          <w:p w14:paraId="0A850FD9">
            <w:pPr>
              <w:pStyle w:val="46"/>
              <w:spacing w:before="141"/>
              <w:jc w:val="center"/>
              <w:rPr>
                <w:rFonts w:hint="eastAsia" w:ascii="仿宋" w:hAnsi="仿宋" w:eastAsia="仿宋" w:cs="仿宋"/>
                <w:sz w:val="21"/>
                <w:szCs w:val="21"/>
              </w:rPr>
            </w:pPr>
            <w:r>
              <w:rPr>
                <w:rFonts w:hint="eastAsia" w:ascii="仿宋" w:hAnsi="仿宋" w:eastAsia="仿宋" w:cs="仿宋"/>
                <w:sz w:val="21"/>
                <w:szCs w:val="21"/>
              </w:rPr>
              <w:t>25</w:t>
            </w:r>
          </w:p>
        </w:tc>
        <w:tc>
          <w:tcPr>
            <w:tcW w:w="4149" w:type="dxa"/>
            <w:vAlign w:val="center"/>
          </w:tcPr>
          <w:p w14:paraId="7896CEEA">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lang w:val="en-US" w:eastAsia="zh-CN"/>
              </w:rPr>
              <w:t>医院</w:t>
            </w:r>
            <w:r>
              <w:rPr>
                <w:rFonts w:hint="eastAsia" w:ascii="仿宋" w:hAnsi="仿宋" w:eastAsia="仿宋" w:cs="仿宋"/>
                <w:sz w:val="21"/>
                <w:szCs w:val="21"/>
              </w:rPr>
              <w:t>内发生客户冲突，应上去协调解决。必要时配合</w:t>
            </w:r>
            <w:r>
              <w:rPr>
                <w:rFonts w:hint="eastAsia" w:ascii="仿宋" w:hAnsi="仿宋" w:eastAsia="仿宋" w:cs="仿宋"/>
                <w:sz w:val="21"/>
                <w:szCs w:val="21"/>
                <w:lang w:val="en-US" w:eastAsia="zh-CN"/>
              </w:rPr>
              <w:t>医院维持好</w:t>
            </w:r>
            <w:r>
              <w:rPr>
                <w:rFonts w:hint="eastAsia" w:ascii="仿宋" w:hAnsi="仿宋" w:eastAsia="仿宋" w:cs="仿宋"/>
                <w:sz w:val="21"/>
                <w:szCs w:val="21"/>
              </w:rPr>
              <w:t>秩序。</w:t>
            </w:r>
          </w:p>
        </w:tc>
        <w:tc>
          <w:tcPr>
            <w:tcW w:w="3236" w:type="dxa"/>
            <w:vAlign w:val="center"/>
          </w:tcPr>
          <w:p w14:paraId="1A8410FC">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如达不到，每次扣1分</w:t>
            </w:r>
          </w:p>
        </w:tc>
      </w:tr>
      <w:tr w14:paraId="4FA482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jc w:val="center"/>
        </w:trPr>
        <w:tc>
          <w:tcPr>
            <w:tcW w:w="1255" w:type="dxa"/>
            <w:gridSpan w:val="2"/>
            <w:vMerge w:val="continue"/>
            <w:vAlign w:val="center"/>
          </w:tcPr>
          <w:p w14:paraId="43AA8CE1">
            <w:pPr>
              <w:jc w:val="center"/>
              <w:rPr>
                <w:rFonts w:hint="eastAsia" w:ascii="仿宋" w:hAnsi="仿宋" w:eastAsia="仿宋" w:cs="仿宋"/>
                <w:sz w:val="21"/>
                <w:szCs w:val="21"/>
              </w:rPr>
            </w:pPr>
          </w:p>
        </w:tc>
        <w:tc>
          <w:tcPr>
            <w:tcW w:w="1061" w:type="dxa"/>
            <w:vAlign w:val="center"/>
          </w:tcPr>
          <w:p w14:paraId="79F4A78A">
            <w:pPr>
              <w:pStyle w:val="46"/>
              <w:spacing w:before="142"/>
              <w:jc w:val="center"/>
              <w:rPr>
                <w:rFonts w:hint="eastAsia" w:ascii="仿宋" w:hAnsi="仿宋" w:eastAsia="仿宋" w:cs="仿宋"/>
                <w:sz w:val="21"/>
                <w:szCs w:val="21"/>
              </w:rPr>
            </w:pPr>
            <w:r>
              <w:rPr>
                <w:rFonts w:hint="eastAsia" w:ascii="仿宋" w:hAnsi="仿宋" w:eastAsia="仿宋" w:cs="仿宋"/>
                <w:sz w:val="21"/>
                <w:szCs w:val="21"/>
              </w:rPr>
              <w:t>26</w:t>
            </w:r>
          </w:p>
        </w:tc>
        <w:tc>
          <w:tcPr>
            <w:tcW w:w="4149" w:type="dxa"/>
            <w:vAlign w:val="center"/>
          </w:tcPr>
          <w:p w14:paraId="78BE8D4C">
            <w:pPr>
              <w:pStyle w:val="46"/>
              <w:spacing w:before="143"/>
              <w:ind w:left="106"/>
              <w:jc w:val="both"/>
              <w:rPr>
                <w:rFonts w:hint="eastAsia" w:ascii="仿宋" w:hAnsi="仿宋" w:eastAsia="仿宋" w:cs="仿宋"/>
                <w:sz w:val="21"/>
                <w:szCs w:val="21"/>
                <w:lang w:eastAsia="zh-CN"/>
              </w:rPr>
            </w:pPr>
            <w:r>
              <w:rPr>
                <w:rFonts w:hint="eastAsia" w:ascii="仿宋" w:hAnsi="仿宋" w:eastAsia="仿宋" w:cs="仿宋"/>
                <w:sz w:val="21"/>
                <w:szCs w:val="21"/>
              </w:rPr>
              <w:t>发现有</w:t>
            </w:r>
            <w:r>
              <w:rPr>
                <w:rFonts w:hint="eastAsia" w:ascii="仿宋" w:hAnsi="仿宋" w:eastAsia="仿宋" w:cs="仿宋"/>
                <w:sz w:val="21"/>
                <w:szCs w:val="21"/>
                <w:lang w:val="en-US" w:eastAsia="zh-CN"/>
              </w:rPr>
              <w:t>人在医院室内</w:t>
            </w:r>
            <w:r>
              <w:rPr>
                <w:rFonts w:hint="eastAsia" w:ascii="仿宋" w:hAnsi="仿宋" w:eastAsia="仿宋" w:cs="仿宋"/>
                <w:sz w:val="21"/>
                <w:szCs w:val="21"/>
              </w:rPr>
              <w:t>吸烟，应立即上前礼貌地告知</w:t>
            </w:r>
            <w:r>
              <w:rPr>
                <w:rFonts w:hint="eastAsia" w:ascii="仿宋" w:hAnsi="仿宋" w:eastAsia="仿宋" w:cs="仿宋"/>
                <w:sz w:val="21"/>
                <w:szCs w:val="21"/>
                <w:lang w:val="en-US" w:eastAsia="zh-CN"/>
              </w:rPr>
              <w:t>医院室</w:t>
            </w:r>
            <w:r>
              <w:rPr>
                <w:rFonts w:hint="eastAsia" w:ascii="仿宋" w:hAnsi="仿宋" w:eastAsia="仿宋" w:cs="仿宋"/>
                <w:sz w:val="21"/>
                <w:szCs w:val="21"/>
              </w:rPr>
              <w:t>内不得吸烟</w:t>
            </w:r>
            <w:r>
              <w:rPr>
                <w:rFonts w:hint="eastAsia" w:ascii="仿宋" w:hAnsi="仿宋" w:eastAsia="仿宋" w:cs="仿宋"/>
                <w:sz w:val="21"/>
                <w:szCs w:val="21"/>
                <w:lang w:eastAsia="zh-CN"/>
              </w:rPr>
              <w:t>。</w:t>
            </w:r>
          </w:p>
        </w:tc>
        <w:tc>
          <w:tcPr>
            <w:tcW w:w="3236" w:type="dxa"/>
            <w:vAlign w:val="center"/>
          </w:tcPr>
          <w:p w14:paraId="33D813B7">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如达不到，每次扣0.3分</w:t>
            </w:r>
          </w:p>
        </w:tc>
      </w:tr>
      <w:tr w14:paraId="5A0FC2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jc w:val="center"/>
        </w:trPr>
        <w:tc>
          <w:tcPr>
            <w:tcW w:w="1255" w:type="dxa"/>
            <w:gridSpan w:val="2"/>
            <w:vMerge w:val="continue"/>
            <w:vAlign w:val="center"/>
          </w:tcPr>
          <w:p w14:paraId="0AF36692">
            <w:pPr>
              <w:pStyle w:val="46"/>
              <w:jc w:val="center"/>
              <w:rPr>
                <w:rFonts w:hint="eastAsia" w:ascii="仿宋" w:hAnsi="仿宋" w:eastAsia="仿宋" w:cs="仿宋"/>
                <w:sz w:val="21"/>
                <w:szCs w:val="21"/>
              </w:rPr>
            </w:pPr>
          </w:p>
        </w:tc>
        <w:tc>
          <w:tcPr>
            <w:tcW w:w="1061" w:type="dxa"/>
            <w:vAlign w:val="center"/>
          </w:tcPr>
          <w:p w14:paraId="4BB490C4">
            <w:pPr>
              <w:pStyle w:val="46"/>
              <w:spacing w:before="142"/>
              <w:jc w:val="center"/>
              <w:rPr>
                <w:rFonts w:hint="eastAsia" w:ascii="仿宋" w:hAnsi="仿宋" w:eastAsia="仿宋" w:cs="仿宋"/>
                <w:sz w:val="21"/>
                <w:szCs w:val="21"/>
              </w:rPr>
            </w:pPr>
            <w:r>
              <w:rPr>
                <w:rFonts w:hint="eastAsia" w:ascii="仿宋" w:hAnsi="仿宋" w:eastAsia="仿宋" w:cs="仿宋"/>
                <w:sz w:val="21"/>
                <w:szCs w:val="21"/>
              </w:rPr>
              <w:t>27</w:t>
            </w:r>
          </w:p>
        </w:tc>
        <w:tc>
          <w:tcPr>
            <w:tcW w:w="4149" w:type="dxa"/>
            <w:vAlign w:val="center"/>
          </w:tcPr>
          <w:p w14:paraId="67E2B36F">
            <w:pPr>
              <w:pStyle w:val="46"/>
              <w:spacing w:before="143"/>
              <w:ind w:left="106"/>
              <w:jc w:val="both"/>
              <w:rPr>
                <w:rFonts w:hint="eastAsia" w:ascii="仿宋" w:hAnsi="仿宋" w:eastAsia="仿宋" w:cs="仿宋"/>
                <w:sz w:val="21"/>
                <w:szCs w:val="21"/>
                <w:lang w:eastAsia="zh-CN"/>
              </w:rPr>
            </w:pPr>
            <w:r>
              <w:rPr>
                <w:rFonts w:hint="eastAsia" w:ascii="仿宋" w:hAnsi="仿宋" w:eastAsia="仿宋" w:cs="仿宋"/>
                <w:sz w:val="21"/>
                <w:szCs w:val="21"/>
              </w:rPr>
              <w:t>发现有</w:t>
            </w:r>
            <w:r>
              <w:rPr>
                <w:rFonts w:hint="eastAsia" w:ascii="仿宋" w:hAnsi="仿宋" w:eastAsia="仿宋" w:cs="仿宋"/>
                <w:sz w:val="21"/>
                <w:szCs w:val="21"/>
                <w:lang w:val="en-US" w:eastAsia="zh-CN"/>
              </w:rPr>
              <w:t>人</w:t>
            </w:r>
            <w:r>
              <w:rPr>
                <w:rFonts w:hint="eastAsia" w:ascii="仿宋" w:hAnsi="仿宋" w:eastAsia="仿宋" w:cs="仿宋"/>
                <w:sz w:val="21"/>
                <w:szCs w:val="21"/>
              </w:rPr>
              <w:t>在厅内睡觉，应立即上前礼貌地告知客户厅内不得睡觉</w:t>
            </w:r>
            <w:r>
              <w:rPr>
                <w:rFonts w:hint="eastAsia" w:ascii="仿宋" w:hAnsi="仿宋" w:eastAsia="仿宋" w:cs="仿宋"/>
                <w:sz w:val="21"/>
                <w:szCs w:val="21"/>
                <w:lang w:eastAsia="zh-CN"/>
              </w:rPr>
              <w:t>。</w:t>
            </w:r>
          </w:p>
        </w:tc>
        <w:tc>
          <w:tcPr>
            <w:tcW w:w="3236" w:type="dxa"/>
            <w:vAlign w:val="center"/>
          </w:tcPr>
          <w:p w14:paraId="109F14C1">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如达不到，每次扣0.3分</w:t>
            </w:r>
          </w:p>
        </w:tc>
      </w:tr>
      <w:tr w14:paraId="40FB6D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jc w:val="center"/>
        </w:trPr>
        <w:tc>
          <w:tcPr>
            <w:tcW w:w="1255" w:type="dxa"/>
            <w:gridSpan w:val="2"/>
            <w:vMerge w:val="continue"/>
            <w:vAlign w:val="center"/>
          </w:tcPr>
          <w:p w14:paraId="688AC06B">
            <w:pPr>
              <w:jc w:val="center"/>
              <w:rPr>
                <w:rFonts w:hint="eastAsia" w:ascii="仿宋" w:hAnsi="仿宋" w:eastAsia="仿宋" w:cs="仿宋"/>
                <w:sz w:val="21"/>
                <w:szCs w:val="21"/>
              </w:rPr>
            </w:pPr>
          </w:p>
        </w:tc>
        <w:tc>
          <w:tcPr>
            <w:tcW w:w="1061" w:type="dxa"/>
            <w:vAlign w:val="center"/>
          </w:tcPr>
          <w:p w14:paraId="5366B7D8">
            <w:pPr>
              <w:pStyle w:val="46"/>
              <w:spacing w:before="142"/>
              <w:jc w:val="center"/>
              <w:rPr>
                <w:rFonts w:hint="eastAsia" w:ascii="仿宋" w:hAnsi="仿宋" w:eastAsia="仿宋" w:cs="仿宋"/>
                <w:sz w:val="21"/>
                <w:szCs w:val="21"/>
              </w:rPr>
            </w:pPr>
            <w:r>
              <w:rPr>
                <w:rFonts w:hint="eastAsia" w:ascii="仿宋" w:hAnsi="仿宋" w:eastAsia="仿宋" w:cs="仿宋"/>
                <w:sz w:val="21"/>
                <w:szCs w:val="21"/>
              </w:rPr>
              <w:t>28</w:t>
            </w:r>
          </w:p>
        </w:tc>
        <w:tc>
          <w:tcPr>
            <w:tcW w:w="4149" w:type="dxa"/>
            <w:vAlign w:val="center"/>
          </w:tcPr>
          <w:p w14:paraId="7280D8B9">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lang w:val="en-US" w:eastAsia="zh-CN"/>
              </w:rPr>
              <w:t>医院所有</w:t>
            </w:r>
            <w:r>
              <w:rPr>
                <w:rFonts w:hint="eastAsia" w:ascii="仿宋" w:hAnsi="仿宋" w:eastAsia="仿宋" w:cs="仿宋"/>
                <w:sz w:val="21"/>
                <w:szCs w:val="21"/>
              </w:rPr>
              <w:t>门前</w:t>
            </w:r>
            <w:r>
              <w:rPr>
                <w:rFonts w:hint="eastAsia" w:ascii="仿宋" w:hAnsi="仿宋" w:eastAsia="仿宋" w:cs="仿宋"/>
                <w:sz w:val="21"/>
                <w:szCs w:val="21"/>
                <w:lang w:val="en-US" w:eastAsia="zh-CN"/>
              </w:rPr>
              <w:t>严禁</w:t>
            </w:r>
            <w:r>
              <w:rPr>
                <w:rFonts w:hint="eastAsia" w:ascii="仿宋" w:hAnsi="仿宋" w:eastAsia="仿宋" w:cs="仿宋"/>
                <w:sz w:val="21"/>
                <w:szCs w:val="21"/>
              </w:rPr>
              <w:t>乱摆放杂物，</w:t>
            </w:r>
            <w:r>
              <w:rPr>
                <w:rFonts w:hint="eastAsia" w:ascii="仿宋" w:hAnsi="仿宋" w:eastAsia="仿宋" w:cs="仿宋"/>
                <w:sz w:val="21"/>
                <w:szCs w:val="21"/>
                <w:lang w:val="en-US" w:eastAsia="zh-CN"/>
              </w:rPr>
              <w:t>发现后</w:t>
            </w:r>
            <w:r>
              <w:rPr>
                <w:rFonts w:hint="eastAsia" w:ascii="仿宋" w:hAnsi="仿宋" w:eastAsia="仿宋" w:cs="仿宋"/>
                <w:sz w:val="21"/>
                <w:szCs w:val="21"/>
              </w:rPr>
              <w:t>应立即走上前，指引</w:t>
            </w:r>
            <w:r>
              <w:rPr>
                <w:rFonts w:hint="eastAsia" w:ascii="仿宋" w:hAnsi="仿宋" w:eastAsia="仿宋" w:cs="仿宋"/>
                <w:sz w:val="21"/>
                <w:szCs w:val="21"/>
                <w:lang w:val="en-US" w:eastAsia="zh-CN"/>
              </w:rPr>
              <w:t>病人或家属</w:t>
            </w:r>
            <w:r>
              <w:rPr>
                <w:rFonts w:hint="eastAsia" w:ascii="仿宋" w:hAnsi="仿宋" w:eastAsia="仿宋" w:cs="仿宋"/>
                <w:sz w:val="21"/>
                <w:szCs w:val="21"/>
              </w:rPr>
              <w:t>将这些物品排放整齐并摆放于规定位置。</w:t>
            </w:r>
          </w:p>
        </w:tc>
        <w:tc>
          <w:tcPr>
            <w:tcW w:w="3236" w:type="dxa"/>
            <w:vAlign w:val="center"/>
          </w:tcPr>
          <w:p w14:paraId="563B9266">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如达不到，每次扣0.3分</w:t>
            </w:r>
          </w:p>
        </w:tc>
      </w:tr>
      <w:tr w14:paraId="2E3F02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0" w:hRule="atLeast"/>
          <w:jc w:val="center"/>
        </w:trPr>
        <w:tc>
          <w:tcPr>
            <w:tcW w:w="1255" w:type="dxa"/>
            <w:gridSpan w:val="2"/>
            <w:vMerge w:val="continue"/>
            <w:vAlign w:val="center"/>
          </w:tcPr>
          <w:p w14:paraId="46094D20">
            <w:pPr>
              <w:jc w:val="center"/>
              <w:rPr>
                <w:rFonts w:hint="eastAsia" w:ascii="仿宋" w:hAnsi="仿宋" w:eastAsia="仿宋" w:cs="仿宋"/>
                <w:sz w:val="21"/>
                <w:szCs w:val="21"/>
              </w:rPr>
            </w:pPr>
          </w:p>
        </w:tc>
        <w:tc>
          <w:tcPr>
            <w:tcW w:w="1061" w:type="dxa"/>
            <w:vAlign w:val="center"/>
          </w:tcPr>
          <w:p w14:paraId="6F10DB19">
            <w:pPr>
              <w:pStyle w:val="46"/>
              <w:spacing w:before="122"/>
              <w:jc w:val="center"/>
              <w:rPr>
                <w:rFonts w:hint="eastAsia" w:ascii="仿宋" w:hAnsi="仿宋" w:eastAsia="仿宋" w:cs="仿宋"/>
                <w:sz w:val="21"/>
                <w:szCs w:val="21"/>
              </w:rPr>
            </w:pPr>
            <w:r>
              <w:rPr>
                <w:rFonts w:hint="eastAsia" w:ascii="仿宋" w:hAnsi="仿宋" w:eastAsia="仿宋" w:cs="仿宋"/>
                <w:sz w:val="21"/>
                <w:szCs w:val="21"/>
              </w:rPr>
              <w:t>29</w:t>
            </w:r>
          </w:p>
        </w:tc>
        <w:tc>
          <w:tcPr>
            <w:tcW w:w="4149" w:type="dxa"/>
            <w:vAlign w:val="center"/>
          </w:tcPr>
          <w:p w14:paraId="0B4684D7">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当酗酒</w:t>
            </w:r>
            <w:r>
              <w:rPr>
                <w:rFonts w:hint="eastAsia" w:ascii="仿宋" w:hAnsi="仿宋" w:eastAsia="仿宋" w:cs="仿宋"/>
                <w:sz w:val="21"/>
                <w:szCs w:val="21"/>
                <w:lang w:val="en-US" w:eastAsia="zh-CN"/>
              </w:rPr>
              <w:t>人员</w:t>
            </w:r>
            <w:r>
              <w:rPr>
                <w:rFonts w:hint="eastAsia" w:ascii="仿宋" w:hAnsi="仿宋" w:eastAsia="仿宋" w:cs="仿宋"/>
                <w:sz w:val="21"/>
                <w:szCs w:val="21"/>
              </w:rPr>
              <w:t>吵闹时，如有陪同人员，要劝其陪同人员将醉酒</w:t>
            </w:r>
            <w:r>
              <w:rPr>
                <w:rFonts w:hint="eastAsia" w:ascii="仿宋" w:hAnsi="仿宋" w:eastAsia="仿宋" w:cs="仿宋"/>
                <w:sz w:val="21"/>
                <w:szCs w:val="21"/>
                <w:lang w:val="en-US" w:eastAsia="zh-CN"/>
              </w:rPr>
              <w:t>人员</w:t>
            </w:r>
            <w:r>
              <w:rPr>
                <w:rFonts w:hint="eastAsia" w:ascii="仿宋" w:hAnsi="仿宋" w:eastAsia="仿宋" w:cs="仿宋"/>
                <w:sz w:val="21"/>
                <w:szCs w:val="21"/>
              </w:rPr>
              <w:t>带离</w:t>
            </w:r>
            <w:r>
              <w:rPr>
                <w:rFonts w:hint="eastAsia" w:ascii="仿宋" w:hAnsi="仿宋" w:eastAsia="仿宋" w:cs="仿宋"/>
                <w:sz w:val="21"/>
                <w:szCs w:val="21"/>
                <w:lang w:val="en-US" w:eastAsia="zh-CN"/>
              </w:rPr>
              <w:t>医院</w:t>
            </w:r>
            <w:r>
              <w:rPr>
                <w:rFonts w:hint="eastAsia" w:ascii="仿宋" w:hAnsi="仿宋" w:eastAsia="仿宋" w:cs="仿宋"/>
                <w:sz w:val="21"/>
                <w:szCs w:val="21"/>
              </w:rPr>
              <w:t>，如果是单独一人</w:t>
            </w:r>
            <w:r>
              <w:rPr>
                <w:rFonts w:hint="eastAsia" w:ascii="仿宋" w:hAnsi="仿宋" w:eastAsia="仿宋" w:cs="仿宋"/>
                <w:sz w:val="21"/>
                <w:szCs w:val="21"/>
                <w:lang w:eastAsia="zh-CN"/>
              </w:rPr>
              <w:t>，</w:t>
            </w:r>
            <w:r>
              <w:rPr>
                <w:rFonts w:hint="eastAsia" w:ascii="仿宋" w:hAnsi="仿宋" w:eastAsia="仿宋" w:cs="仿宋"/>
                <w:sz w:val="21"/>
                <w:szCs w:val="21"/>
              </w:rPr>
              <w:t>可找一个安静</w:t>
            </w:r>
            <w:r>
              <w:rPr>
                <w:rFonts w:hint="eastAsia" w:ascii="仿宋" w:hAnsi="仿宋" w:eastAsia="仿宋" w:cs="仿宋"/>
                <w:sz w:val="21"/>
                <w:szCs w:val="21"/>
                <w:lang w:val="en-US" w:eastAsia="zh-CN"/>
              </w:rPr>
              <w:t>的地方</w:t>
            </w:r>
            <w:r>
              <w:rPr>
                <w:rFonts w:hint="eastAsia" w:ascii="仿宋" w:hAnsi="仿宋" w:eastAsia="仿宋" w:cs="仿宋"/>
                <w:sz w:val="21"/>
                <w:szCs w:val="21"/>
              </w:rPr>
              <w:t>休息下帮助其醒酒。</w:t>
            </w:r>
          </w:p>
        </w:tc>
        <w:tc>
          <w:tcPr>
            <w:tcW w:w="3236" w:type="dxa"/>
            <w:vAlign w:val="center"/>
          </w:tcPr>
          <w:p w14:paraId="1E470A4C">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如达不到，每次扣0.5分</w:t>
            </w:r>
          </w:p>
        </w:tc>
      </w:tr>
      <w:tr w14:paraId="3BCF46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3" w:hRule="atLeast"/>
          <w:jc w:val="center"/>
        </w:trPr>
        <w:tc>
          <w:tcPr>
            <w:tcW w:w="1255" w:type="dxa"/>
            <w:gridSpan w:val="2"/>
            <w:vMerge w:val="continue"/>
            <w:vAlign w:val="center"/>
          </w:tcPr>
          <w:p w14:paraId="559D27E8">
            <w:pPr>
              <w:jc w:val="center"/>
              <w:rPr>
                <w:rFonts w:hint="eastAsia" w:ascii="仿宋" w:hAnsi="仿宋" w:eastAsia="仿宋" w:cs="仿宋"/>
                <w:sz w:val="21"/>
                <w:szCs w:val="21"/>
              </w:rPr>
            </w:pPr>
          </w:p>
        </w:tc>
        <w:tc>
          <w:tcPr>
            <w:tcW w:w="1061" w:type="dxa"/>
            <w:vAlign w:val="center"/>
          </w:tcPr>
          <w:p w14:paraId="30FEE71D">
            <w:pPr>
              <w:pStyle w:val="46"/>
              <w:spacing w:before="144"/>
              <w:jc w:val="center"/>
              <w:rPr>
                <w:rFonts w:hint="eastAsia" w:ascii="仿宋" w:hAnsi="仿宋" w:eastAsia="仿宋" w:cs="仿宋"/>
                <w:sz w:val="21"/>
                <w:szCs w:val="21"/>
              </w:rPr>
            </w:pPr>
            <w:r>
              <w:rPr>
                <w:rFonts w:hint="eastAsia" w:ascii="仿宋" w:hAnsi="仿宋" w:eastAsia="仿宋" w:cs="仿宋"/>
                <w:sz w:val="21"/>
                <w:szCs w:val="21"/>
              </w:rPr>
              <w:t>30</w:t>
            </w:r>
          </w:p>
        </w:tc>
        <w:tc>
          <w:tcPr>
            <w:tcW w:w="4149" w:type="dxa"/>
            <w:vAlign w:val="center"/>
          </w:tcPr>
          <w:p w14:paraId="796CB89E">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lang w:val="en-US" w:eastAsia="zh-CN"/>
              </w:rPr>
              <w:t>医院内</w:t>
            </w:r>
            <w:r>
              <w:rPr>
                <w:rFonts w:hint="eastAsia" w:ascii="仿宋" w:hAnsi="仿宋" w:eastAsia="仿宋" w:cs="仿宋"/>
                <w:sz w:val="21"/>
                <w:szCs w:val="21"/>
              </w:rPr>
              <w:t>冲突，应上去协调解决。必要时配合</w:t>
            </w:r>
            <w:r>
              <w:rPr>
                <w:rFonts w:hint="eastAsia" w:ascii="仿宋" w:hAnsi="仿宋" w:eastAsia="仿宋" w:cs="仿宋"/>
                <w:sz w:val="21"/>
                <w:szCs w:val="21"/>
                <w:lang w:val="en-US" w:eastAsia="zh-CN"/>
              </w:rPr>
              <w:t>医护人员维持</w:t>
            </w:r>
            <w:r>
              <w:rPr>
                <w:rFonts w:hint="eastAsia" w:ascii="仿宋" w:hAnsi="仿宋" w:eastAsia="仿宋" w:cs="仿宋"/>
                <w:sz w:val="21"/>
                <w:szCs w:val="21"/>
              </w:rPr>
              <w:t>秩序。</w:t>
            </w:r>
          </w:p>
        </w:tc>
        <w:tc>
          <w:tcPr>
            <w:tcW w:w="3236" w:type="dxa"/>
            <w:vAlign w:val="center"/>
          </w:tcPr>
          <w:p w14:paraId="63795193">
            <w:pPr>
              <w:pStyle w:val="46"/>
              <w:spacing w:before="143"/>
              <w:ind w:left="106"/>
              <w:jc w:val="both"/>
              <w:rPr>
                <w:rFonts w:hint="eastAsia" w:ascii="仿宋" w:hAnsi="仿宋" w:eastAsia="仿宋" w:cs="仿宋"/>
                <w:sz w:val="21"/>
                <w:szCs w:val="21"/>
              </w:rPr>
            </w:pPr>
          </w:p>
          <w:p w14:paraId="700768BE">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如达不到，每次扣1分</w:t>
            </w:r>
          </w:p>
        </w:tc>
      </w:tr>
      <w:tr w14:paraId="7C20F2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jc w:val="center"/>
        </w:trPr>
        <w:tc>
          <w:tcPr>
            <w:tcW w:w="1255" w:type="dxa"/>
            <w:gridSpan w:val="2"/>
            <w:vMerge w:val="continue"/>
            <w:vAlign w:val="center"/>
          </w:tcPr>
          <w:p w14:paraId="02E38D4F">
            <w:pPr>
              <w:jc w:val="center"/>
              <w:rPr>
                <w:rFonts w:hint="eastAsia" w:ascii="仿宋" w:hAnsi="仿宋" w:eastAsia="仿宋" w:cs="仿宋"/>
                <w:sz w:val="21"/>
                <w:szCs w:val="21"/>
              </w:rPr>
            </w:pPr>
          </w:p>
        </w:tc>
        <w:tc>
          <w:tcPr>
            <w:tcW w:w="1061" w:type="dxa"/>
            <w:vAlign w:val="center"/>
          </w:tcPr>
          <w:p w14:paraId="77733BA3">
            <w:pPr>
              <w:pStyle w:val="46"/>
              <w:spacing w:before="132"/>
              <w:jc w:val="center"/>
              <w:rPr>
                <w:rFonts w:hint="eastAsia" w:ascii="仿宋" w:hAnsi="仿宋" w:eastAsia="仿宋" w:cs="仿宋"/>
                <w:sz w:val="21"/>
                <w:szCs w:val="21"/>
              </w:rPr>
            </w:pPr>
            <w:r>
              <w:rPr>
                <w:rFonts w:hint="eastAsia" w:ascii="仿宋" w:hAnsi="仿宋" w:eastAsia="仿宋" w:cs="仿宋"/>
                <w:sz w:val="21"/>
                <w:szCs w:val="21"/>
              </w:rPr>
              <w:t>31</w:t>
            </w:r>
          </w:p>
        </w:tc>
        <w:tc>
          <w:tcPr>
            <w:tcW w:w="4149" w:type="dxa"/>
            <w:vAlign w:val="center"/>
          </w:tcPr>
          <w:p w14:paraId="7928F9EB">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当</w:t>
            </w:r>
            <w:r>
              <w:rPr>
                <w:rFonts w:hint="eastAsia" w:ascii="仿宋" w:hAnsi="仿宋" w:eastAsia="仿宋" w:cs="仿宋"/>
                <w:sz w:val="21"/>
                <w:szCs w:val="21"/>
                <w:lang w:val="en-US" w:eastAsia="zh-CN"/>
              </w:rPr>
              <w:t>医院</w:t>
            </w:r>
            <w:r>
              <w:rPr>
                <w:rFonts w:hint="eastAsia" w:ascii="仿宋" w:hAnsi="仿宋" w:eastAsia="仿宋" w:cs="仿宋"/>
                <w:sz w:val="21"/>
                <w:szCs w:val="21"/>
              </w:rPr>
              <w:t>出现打架、斗殴事件时，应积极果断进行劝阻，并及时上报</w:t>
            </w:r>
            <w:r>
              <w:rPr>
                <w:rFonts w:hint="eastAsia" w:ascii="仿宋" w:hAnsi="仿宋" w:eastAsia="仿宋" w:cs="仿宋"/>
                <w:sz w:val="21"/>
                <w:szCs w:val="21"/>
                <w:lang w:val="en-US" w:eastAsia="zh-CN"/>
              </w:rPr>
              <w:t>部门负责人</w:t>
            </w:r>
            <w:r>
              <w:rPr>
                <w:rFonts w:hint="eastAsia" w:ascii="仿宋" w:hAnsi="仿宋" w:eastAsia="仿宋" w:cs="仿宋"/>
                <w:sz w:val="21"/>
                <w:szCs w:val="21"/>
              </w:rPr>
              <w:t>，联系相关机关或部门（公安机关）防止事态进一步扩大。</w:t>
            </w:r>
          </w:p>
        </w:tc>
        <w:tc>
          <w:tcPr>
            <w:tcW w:w="3236" w:type="dxa"/>
            <w:vAlign w:val="center"/>
          </w:tcPr>
          <w:p w14:paraId="355407EB">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如达不到，每次扣2分</w:t>
            </w:r>
          </w:p>
        </w:tc>
      </w:tr>
      <w:tr w14:paraId="57C709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0" w:hRule="atLeast"/>
          <w:jc w:val="center"/>
        </w:trPr>
        <w:tc>
          <w:tcPr>
            <w:tcW w:w="1255" w:type="dxa"/>
            <w:gridSpan w:val="2"/>
            <w:vMerge w:val="continue"/>
            <w:vAlign w:val="center"/>
          </w:tcPr>
          <w:p w14:paraId="065FA653">
            <w:pPr>
              <w:jc w:val="center"/>
              <w:rPr>
                <w:rFonts w:hint="eastAsia" w:ascii="仿宋" w:hAnsi="仿宋" w:eastAsia="仿宋" w:cs="仿宋"/>
                <w:sz w:val="21"/>
                <w:szCs w:val="21"/>
              </w:rPr>
            </w:pPr>
          </w:p>
        </w:tc>
        <w:tc>
          <w:tcPr>
            <w:tcW w:w="1061" w:type="dxa"/>
            <w:vAlign w:val="center"/>
          </w:tcPr>
          <w:p w14:paraId="6FDB0BE3">
            <w:pPr>
              <w:pStyle w:val="46"/>
              <w:spacing w:before="144"/>
              <w:jc w:val="center"/>
              <w:rPr>
                <w:rFonts w:hint="eastAsia" w:ascii="仿宋" w:hAnsi="仿宋" w:eastAsia="仿宋" w:cs="仿宋"/>
                <w:sz w:val="21"/>
                <w:szCs w:val="21"/>
              </w:rPr>
            </w:pPr>
            <w:r>
              <w:rPr>
                <w:rFonts w:hint="eastAsia" w:ascii="仿宋" w:hAnsi="仿宋" w:eastAsia="仿宋" w:cs="仿宋"/>
                <w:sz w:val="21"/>
                <w:szCs w:val="21"/>
              </w:rPr>
              <w:t>32</w:t>
            </w:r>
          </w:p>
        </w:tc>
        <w:tc>
          <w:tcPr>
            <w:tcW w:w="4149" w:type="dxa"/>
            <w:vAlign w:val="center"/>
          </w:tcPr>
          <w:p w14:paraId="33A9E7D7">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lang w:val="en-US" w:eastAsia="zh-CN"/>
              </w:rPr>
              <w:t>下班、节假日期间</w:t>
            </w:r>
            <w:r>
              <w:rPr>
                <w:rFonts w:hint="eastAsia" w:ascii="仿宋" w:hAnsi="仿宋" w:eastAsia="仿宋" w:cs="仿宋"/>
                <w:sz w:val="21"/>
                <w:szCs w:val="21"/>
              </w:rPr>
              <w:t>，全面检查门锁、电源等，以免发生事故。</w:t>
            </w:r>
          </w:p>
        </w:tc>
        <w:tc>
          <w:tcPr>
            <w:tcW w:w="3236" w:type="dxa"/>
            <w:vAlign w:val="center"/>
          </w:tcPr>
          <w:p w14:paraId="256ADC40">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如达不到，每次扣2分</w:t>
            </w:r>
          </w:p>
        </w:tc>
      </w:tr>
      <w:tr w14:paraId="5B2E56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jc w:val="center"/>
        </w:trPr>
        <w:tc>
          <w:tcPr>
            <w:tcW w:w="1255" w:type="dxa"/>
            <w:gridSpan w:val="2"/>
            <w:vMerge w:val="continue"/>
            <w:vAlign w:val="center"/>
          </w:tcPr>
          <w:p w14:paraId="68AFC915">
            <w:pPr>
              <w:jc w:val="center"/>
              <w:rPr>
                <w:rFonts w:hint="eastAsia" w:ascii="仿宋" w:hAnsi="仿宋" w:eastAsia="仿宋" w:cs="仿宋"/>
                <w:sz w:val="21"/>
                <w:szCs w:val="21"/>
              </w:rPr>
            </w:pPr>
          </w:p>
        </w:tc>
        <w:tc>
          <w:tcPr>
            <w:tcW w:w="1061" w:type="dxa"/>
            <w:vAlign w:val="center"/>
          </w:tcPr>
          <w:p w14:paraId="683EB790">
            <w:pPr>
              <w:pStyle w:val="46"/>
              <w:spacing w:before="141"/>
              <w:jc w:val="center"/>
              <w:rPr>
                <w:rFonts w:hint="eastAsia" w:ascii="仿宋" w:hAnsi="仿宋" w:eastAsia="仿宋" w:cs="仿宋"/>
                <w:sz w:val="21"/>
                <w:szCs w:val="21"/>
              </w:rPr>
            </w:pPr>
            <w:r>
              <w:rPr>
                <w:rFonts w:hint="eastAsia" w:ascii="仿宋" w:hAnsi="仿宋" w:eastAsia="仿宋" w:cs="仿宋"/>
                <w:sz w:val="21"/>
                <w:szCs w:val="21"/>
              </w:rPr>
              <w:t>33</w:t>
            </w:r>
          </w:p>
        </w:tc>
        <w:tc>
          <w:tcPr>
            <w:tcW w:w="4149" w:type="dxa"/>
            <w:vAlign w:val="center"/>
          </w:tcPr>
          <w:p w14:paraId="2FA2E16E">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每天督促检查当班</w:t>
            </w:r>
            <w:r>
              <w:rPr>
                <w:rFonts w:hint="eastAsia" w:ascii="仿宋" w:hAnsi="仿宋" w:eastAsia="仿宋" w:cs="仿宋"/>
                <w:sz w:val="21"/>
                <w:szCs w:val="21"/>
                <w:lang w:val="en-US" w:eastAsia="zh-CN"/>
              </w:rPr>
              <w:t>保安队员</w:t>
            </w:r>
            <w:r>
              <w:rPr>
                <w:rFonts w:hint="eastAsia" w:ascii="仿宋" w:hAnsi="仿宋" w:eastAsia="仿宋" w:cs="仿宋"/>
                <w:sz w:val="21"/>
                <w:szCs w:val="21"/>
              </w:rPr>
              <w:t>的</w:t>
            </w:r>
            <w:r>
              <w:rPr>
                <w:rFonts w:hint="eastAsia" w:ascii="仿宋" w:hAnsi="仿宋" w:eastAsia="仿宋" w:cs="仿宋"/>
                <w:sz w:val="21"/>
                <w:szCs w:val="21"/>
                <w:lang w:val="en-US" w:eastAsia="zh-CN"/>
              </w:rPr>
              <w:t>规范</w:t>
            </w:r>
            <w:r>
              <w:rPr>
                <w:rFonts w:hint="eastAsia" w:ascii="仿宋" w:hAnsi="仿宋" w:eastAsia="仿宋" w:cs="仿宋"/>
                <w:sz w:val="21"/>
                <w:szCs w:val="21"/>
              </w:rPr>
              <w:t>操作（每天至少两次），并作好当班记录；</w:t>
            </w:r>
          </w:p>
        </w:tc>
        <w:tc>
          <w:tcPr>
            <w:tcW w:w="3236" w:type="dxa"/>
            <w:vAlign w:val="center"/>
          </w:tcPr>
          <w:p w14:paraId="6DC3FE89">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如达不到，每次扣2分</w:t>
            </w:r>
          </w:p>
        </w:tc>
      </w:tr>
      <w:tr w14:paraId="4461A2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jc w:val="center"/>
        </w:trPr>
        <w:tc>
          <w:tcPr>
            <w:tcW w:w="1255" w:type="dxa"/>
            <w:gridSpan w:val="2"/>
            <w:vMerge w:val="continue"/>
            <w:vAlign w:val="center"/>
          </w:tcPr>
          <w:p w14:paraId="1D039442">
            <w:pPr>
              <w:jc w:val="center"/>
              <w:rPr>
                <w:rFonts w:hint="eastAsia" w:ascii="仿宋" w:hAnsi="仿宋" w:eastAsia="仿宋" w:cs="仿宋"/>
                <w:sz w:val="21"/>
                <w:szCs w:val="21"/>
              </w:rPr>
            </w:pPr>
          </w:p>
        </w:tc>
        <w:tc>
          <w:tcPr>
            <w:tcW w:w="1061" w:type="dxa"/>
            <w:vAlign w:val="center"/>
          </w:tcPr>
          <w:p w14:paraId="206F160A">
            <w:pPr>
              <w:pStyle w:val="46"/>
              <w:spacing w:before="142"/>
              <w:jc w:val="center"/>
              <w:rPr>
                <w:rFonts w:hint="eastAsia" w:ascii="仿宋" w:hAnsi="仿宋" w:eastAsia="仿宋" w:cs="仿宋"/>
                <w:sz w:val="21"/>
                <w:szCs w:val="21"/>
              </w:rPr>
            </w:pPr>
            <w:r>
              <w:rPr>
                <w:rFonts w:hint="eastAsia" w:ascii="仿宋" w:hAnsi="仿宋" w:eastAsia="仿宋" w:cs="仿宋"/>
                <w:sz w:val="21"/>
                <w:szCs w:val="21"/>
              </w:rPr>
              <w:t>34</w:t>
            </w:r>
          </w:p>
        </w:tc>
        <w:tc>
          <w:tcPr>
            <w:tcW w:w="4149" w:type="dxa"/>
            <w:vAlign w:val="center"/>
          </w:tcPr>
          <w:p w14:paraId="2B9ABC24">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对一些不安全行为，如随意放置物品或现金财物，保安应主动提醒。</w:t>
            </w:r>
          </w:p>
        </w:tc>
        <w:tc>
          <w:tcPr>
            <w:tcW w:w="3236" w:type="dxa"/>
            <w:vAlign w:val="center"/>
          </w:tcPr>
          <w:p w14:paraId="602CAFE4">
            <w:pPr>
              <w:pStyle w:val="46"/>
              <w:spacing w:before="143"/>
              <w:ind w:left="106"/>
              <w:jc w:val="both"/>
              <w:rPr>
                <w:rFonts w:hint="eastAsia" w:ascii="仿宋" w:hAnsi="仿宋" w:eastAsia="仿宋" w:cs="仿宋"/>
                <w:sz w:val="21"/>
                <w:szCs w:val="21"/>
              </w:rPr>
            </w:pPr>
          </w:p>
          <w:p w14:paraId="7637BE6F">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如违反，每次扣0.2分</w:t>
            </w:r>
          </w:p>
        </w:tc>
      </w:tr>
      <w:tr w14:paraId="255EB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7" w:hRule="atLeast"/>
          <w:jc w:val="center"/>
        </w:trPr>
        <w:tc>
          <w:tcPr>
            <w:tcW w:w="1255" w:type="dxa"/>
            <w:gridSpan w:val="2"/>
            <w:vMerge w:val="continue"/>
            <w:vAlign w:val="center"/>
          </w:tcPr>
          <w:p w14:paraId="5DA3E875">
            <w:pPr>
              <w:jc w:val="center"/>
              <w:rPr>
                <w:rFonts w:hint="eastAsia" w:ascii="仿宋" w:hAnsi="仿宋" w:eastAsia="仿宋" w:cs="仿宋"/>
                <w:sz w:val="21"/>
                <w:szCs w:val="21"/>
              </w:rPr>
            </w:pPr>
          </w:p>
        </w:tc>
        <w:tc>
          <w:tcPr>
            <w:tcW w:w="1061" w:type="dxa"/>
            <w:vAlign w:val="center"/>
          </w:tcPr>
          <w:p w14:paraId="36F725DA">
            <w:pPr>
              <w:pStyle w:val="46"/>
              <w:spacing w:before="122"/>
              <w:jc w:val="center"/>
              <w:rPr>
                <w:rFonts w:hint="eastAsia" w:ascii="仿宋" w:hAnsi="仿宋" w:eastAsia="仿宋" w:cs="仿宋"/>
                <w:sz w:val="20"/>
                <w:szCs w:val="20"/>
              </w:rPr>
            </w:pPr>
            <w:r>
              <w:rPr>
                <w:rFonts w:hint="eastAsia" w:ascii="仿宋" w:hAnsi="仿宋" w:eastAsia="仿宋" w:cs="仿宋"/>
                <w:sz w:val="20"/>
                <w:szCs w:val="20"/>
              </w:rPr>
              <w:t>35</w:t>
            </w:r>
          </w:p>
        </w:tc>
        <w:tc>
          <w:tcPr>
            <w:tcW w:w="4149" w:type="dxa"/>
            <w:vAlign w:val="center"/>
          </w:tcPr>
          <w:p w14:paraId="4545AB07">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能熟练操作监控设备，接到报警或图像有可疑情况要仔细观察、放大录像，及时跟踪，并通知巡逻人员到位观察，落实情况后及时处理，有重大问题应立即向上级汇报，紧急情况要立即报警，并做好记录。</w:t>
            </w:r>
          </w:p>
        </w:tc>
        <w:tc>
          <w:tcPr>
            <w:tcW w:w="3236" w:type="dxa"/>
            <w:vAlign w:val="center"/>
          </w:tcPr>
          <w:p w14:paraId="6F94C906">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如违反，每次扣2分</w:t>
            </w:r>
          </w:p>
        </w:tc>
      </w:tr>
      <w:tr w14:paraId="27649F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0" w:hRule="atLeast"/>
          <w:jc w:val="center"/>
        </w:trPr>
        <w:tc>
          <w:tcPr>
            <w:tcW w:w="1255" w:type="dxa"/>
            <w:gridSpan w:val="2"/>
            <w:vMerge w:val="continue"/>
            <w:tcBorders>
              <w:bottom w:val="single" w:color="auto" w:sz="4" w:space="0"/>
            </w:tcBorders>
            <w:vAlign w:val="center"/>
          </w:tcPr>
          <w:p w14:paraId="1820D23C">
            <w:pPr>
              <w:jc w:val="center"/>
              <w:rPr>
                <w:rFonts w:hint="eastAsia" w:ascii="仿宋" w:hAnsi="仿宋" w:eastAsia="仿宋" w:cs="仿宋"/>
                <w:sz w:val="21"/>
                <w:szCs w:val="21"/>
              </w:rPr>
            </w:pPr>
          </w:p>
        </w:tc>
        <w:tc>
          <w:tcPr>
            <w:tcW w:w="1061" w:type="dxa"/>
            <w:tcBorders>
              <w:bottom w:val="single" w:color="auto" w:sz="4" w:space="0"/>
            </w:tcBorders>
            <w:vAlign w:val="center"/>
          </w:tcPr>
          <w:p w14:paraId="7559AEE7">
            <w:pPr>
              <w:pStyle w:val="46"/>
              <w:spacing w:before="132"/>
              <w:jc w:val="center"/>
              <w:rPr>
                <w:rFonts w:hint="eastAsia" w:ascii="仿宋" w:hAnsi="仿宋" w:eastAsia="仿宋" w:cs="仿宋"/>
                <w:sz w:val="21"/>
                <w:szCs w:val="21"/>
              </w:rPr>
            </w:pPr>
            <w:r>
              <w:rPr>
                <w:rFonts w:hint="eastAsia" w:ascii="仿宋" w:hAnsi="仿宋" w:eastAsia="仿宋" w:cs="仿宋"/>
                <w:sz w:val="21"/>
                <w:szCs w:val="21"/>
              </w:rPr>
              <w:t>36</w:t>
            </w:r>
          </w:p>
        </w:tc>
        <w:tc>
          <w:tcPr>
            <w:tcW w:w="4149" w:type="dxa"/>
            <w:tcBorders>
              <w:bottom w:val="single" w:color="auto" w:sz="4" w:space="0"/>
            </w:tcBorders>
            <w:vAlign w:val="center"/>
          </w:tcPr>
          <w:p w14:paraId="61CEBC44">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巡逻人员必须按照规定的路线自觉、认真、仔细的工作，随时保持警惕，尤其对陌生人要以审视态度跟踪其动向并保持高度警惕。</w:t>
            </w:r>
          </w:p>
        </w:tc>
        <w:tc>
          <w:tcPr>
            <w:tcW w:w="3236" w:type="dxa"/>
            <w:tcBorders>
              <w:bottom w:val="single" w:color="auto" w:sz="4" w:space="0"/>
            </w:tcBorders>
            <w:vAlign w:val="center"/>
          </w:tcPr>
          <w:p w14:paraId="0C50A8C1">
            <w:pPr>
              <w:pStyle w:val="46"/>
              <w:spacing w:before="143"/>
              <w:ind w:left="106"/>
              <w:jc w:val="both"/>
              <w:rPr>
                <w:rFonts w:hint="eastAsia" w:ascii="仿宋" w:hAnsi="仿宋" w:eastAsia="仿宋" w:cs="仿宋"/>
                <w:sz w:val="21"/>
                <w:szCs w:val="21"/>
              </w:rPr>
            </w:pPr>
          </w:p>
          <w:p w14:paraId="2A1B64C2">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如违反，每次扣1分</w:t>
            </w:r>
          </w:p>
        </w:tc>
      </w:tr>
      <w:tr w14:paraId="68889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6" w:hRule="atLeast"/>
          <w:jc w:val="center"/>
        </w:trPr>
        <w:tc>
          <w:tcPr>
            <w:tcW w:w="1255" w:type="dxa"/>
            <w:gridSpan w:val="2"/>
            <w:vMerge w:val="restart"/>
            <w:tcBorders>
              <w:top w:val="single" w:color="auto" w:sz="4" w:space="0"/>
              <w:left w:val="single" w:color="auto" w:sz="4" w:space="0"/>
            </w:tcBorders>
            <w:vAlign w:val="center"/>
          </w:tcPr>
          <w:p w14:paraId="18C98423">
            <w:pPr>
              <w:pStyle w:val="46"/>
              <w:spacing w:line="440" w:lineRule="exact"/>
              <w:ind w:left="0" w:leftChars="0" w:right="140" w:firstLine="211" w:firstLineChars="100"/>
              <w:jc w:val="both"/>
              <w:rPr>
                <w:rFonts w:hint="eastAsia" w:ascii="仿宋" w:hAnsi="仿宋" w:eastAsia="仿宋" w:cs="仿宋"/>
                <w:sz w:val="21"/>
                <w:szCs w:val="21"/>
              </w:rPr>
            </w:pPr>
            <w:r>
              <w:rPr>
                <w:rFonts w:hint="eastAsia" w:ascii="仿宋" w:hAnsi="仿宋" w:eastAsia="仿宋" w:cs="仿宋"/>
                <w:b/>
                <w:bCs/>
                <w:sz w:val="21"/>
                <w:szCs w:val="21"/>
              </w:rPr>
              <w:t>辅助管理</w:t>
            </w:r>
          </w:p>
        </w:tc>
        <w:tc>
          <w:tcPr>
            <w:tcW w:w="1061" w:type="dxa"/>
            <w:tcBorders>
              <w:top w:val="single" w:color="auto" w:sz="4" w:space="0"/>
              <w:bottom w:val="single" w:color="auto" w:sz="4" w:space="0"/>
            </w:tcBorders>
            <w:vAlign w:val="center"/>
          </w:tcPr>
          <w:p w14:paraId="7975A525">
            <w:pPr>
              <w:pStyle w:val="46"/>
              <w:spacing w:before="142"/>
              <w:jc w:val="center"/>
              <w:rPr>
                <w:rFonts w:hint="eastAsia" w:ascii="仿宋" w:hAnsi="仿宋" w:eastAsia="仿宋" w:cs="仿宋"/>
                <w:sz w:val="21"/>
                <w:szCs w:val="21"/>
              </w:rPr>
            </w:pPr>
            <w:r>
              <w:rPr>
                <w:rFonts w:hint="eastAsia" w:ascii="仿宋" w:hAnsi="仿宋" w:eastAsia="仿宋" w:cs="仿宋"/>
                <w:sz w:val="21"/>
                <w:szCs w:val="21"/>
              </w:rPr>
              <w:t>37</w:t>
            </w:r>
          </w:p>
        </w:tc>
        <w:tc>
          <w:tcPr>
            <w:tcW w:w="4149" w:type="dxa"/>
            <w:tcBorders>
              <w:top w:val="single" w:color="auto" w:sz="4" w:space="0"/>
              <w:bottom w:val="single" w:color="auto" w:sz="4" w:space="0"/>
            </w:tcBorders>
            <w:vAlign w:val="center"/>
          </w:tcPr>
          <w:p w14:paraId="2E73B371">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能遵守</w:t>
            </w:r>
            <w:r>
              <w:rPr>
                <w:rFonts w:hint="eastAsia" w:ascii="仿宋" w:hAnsi="仿宋" w:eastAsia="仿宋" w:cs="仿宋"/>
                <w:sz w:val="21"/>
                <w:szCs w:val="21"/>
                <w:lang w:val="en-US" w:eastAsia="zh-CN"/>
              </w:rPr>
              <w:t>保安</w:t>
            </w:r>
            <w:r>
              <w:rPr>
                <w:rFonts w:hint="eastAsia" w:ascii="仿宋" w:hAnsi="仿宋" w:eastAsia="仿宋" w:cs="仿宋"/>
                <w:sz w:val="21"/>
                <w:szCs w:val="21"/>
              </w:rPr>
              <w:t>服务规范，协助</w:t>
            </w:r>
            <w:r>
              <w:rPr>
                <w:rFonts w:hint="eastAsia" w:ascii="仿宋" w:hAnsi="仿宋" w:eastAsia="仿宋" w:cs="仿宋"/>
                <w:sz w:val="21"/>
                <w:szCs w:val="21"/>
                <w:lang w:val="en-US" w:eastAsia="zh-CN"/>
              </w:rPr>
              <w:t>疏导医院病人</w:t>
            </w:r>
            <w:r>
              <w:rPr>
                <w:rFonts w:hint="eastAsia" w:ascii="仿宋" w:hAnsi="仿宋" w:eastAsia="仿宋" w:cs="仿宋"/>
                <w:sz w:val="21"/>
                <w:szCs w:val="21"/>
              </w:rPr>
              <w:t>分流工作。</w:t>
            </w:r>
          </w:p>
        </w:tc>
        <w:tc>
          <w:tcPr>
            <w:tcW w:w="3236" w:type="dxa"/>
            <w:tcBorders>
              <w:top w:val="single" w:color="auto" w:sz="4" w:space="0"/>
              <w:bottom w:val="single" w:color="auto" w:sz="4" w:space="0"/>
              <w:right w:val="single" w:color="auto" w:sz="4" w:space="0"/>
            </w:tcBorders>
            <w:vAlign w:val="center"/>
          </w:tcPr>
          <w:p w14:paraId="70931864">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如违反，每次扣0.2分</w:t>
            </w:r>
          </w:p>
        </w:tc>
      </w:tr>
      <w:tr w14:paraId="0E43DF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4" w:type="dxa"/>
          <w:trHeight w:val="440" w:hRule="atLeast"/>
          <w:jc w:val="center"/>
        </w:trPr>
        <w:tc>
          <w:tcPr>
            <w:tcW w:w="1251" w:type="dxa"/>
            <w:vMerge w:val="continue"/>
            <w:tcBorders>
              <w:left w:val="single" w:color="auto" w:sz="4" w:space="0"/>
            </w:tcBorders>
            <w:vAlign w:val="center"/>
          </w:tcPr>
          <w:p w14:paraId="5E205EEA">
            <w:pPr>
              <w:pStyle w:val="46"/>
              <w:jc w:val="center"/>
              <w:rPr>
                <w:rFonts w:hint="eastAsia" w:ascii="仿宋" w:hAnsi="仿宋" w:eastAsia="仿宋" w:cs="仿宋"/>
                <w:sz w:val="21"/>
                <w:szCs w:val="21"/>
              </w:rPr>
            </w:pPr>
          </w:p>
        </w:tc>
        <w:tc>
          <w:tcPr>
            <w:tcW w:w="1061" w:type="dxa"/>
            <w:vAlign w:val="center"/>
          </w:tcPr>
          <w:p w14:paraId="6F014D0E">
            <w:pPr>
              <w:bidi w:val="0"/>
              <w:jc w:val="center"/>
              <w:rPr>
                <w:rFonts w:hint="eastAsia" w:ascii="仿宋" w:hAnsi="仿宋" w:eastAsia="仿宋" w:cs="仿宋"/>
              </w:rPr>
            </w:pPr>
            <w:r>
              <w:rPr>
                <w:rFonts w:hint="eastAsia" w:ascii="仿宋" w:hAnsi="仿宋" w:eastAsia="仿宋" w:cs="仿宋"/>
              </w:rPr>
              <w:t>38</w:t>
            </w:r>
          </w:p>
        </w:tc>
        <w:tc>
          <w:tcPr>
            <w:tcW w:w="4149" w:type="dxa"/>
            <w:vAlign w:val="center"/>
          </w:tcPr>
          <w:p w14:paraId="6011AF03">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能准确指引</w:t>
            </w:r>
            <w:r>
              <w:rPr>
                <w:rFonts w:hint="eastAsia" w:ascii="仿宋" w:hAnsi="仿宋" w:eastAsia="仿宋" w:cs="仿宋"/>
                <w:sz w:val="21"/>
                <w:szCs w:val="21"/>
                <w:lang w:val="en-US" w:eastAsia="zh-CN"/>
              </w:rPr>
              <w:t>病人</w:t>
            </w:r>
            <w:r>
              <w:rPr>
                <w:rFonts w:hint="eastAsia" w:ascii="仿宋" w:hAnsi="仿宋" w:eastAsia="仿宋" w:cs="仿宋"/>
                <w:sz w:val="21"/>
                <w:szCs w:val="21"/>
              </w:rPr>
              <w:t>前往相应</w:t>
            </w:r>
            <w:r>
              <w:rPr>
                <w:rFonts w:hint="eastAsia" w:ascii="仿宋" w:hAnsi="仿宋" w:eastAsia="仿宋" w:cs="仿宋"/>
                <w:sz w:val="21"/>
                <w:szCs w:val="21"/>
                <w:lang w:val="en-US" w:eastAsia="zh-CN"/>
              </w:rPr>
              <w:t>各科室</w:t>
            </w:r>
            <w:r>
              <w:rPr>
                <w:rFonts w:hint="eastAsia" w:ascii="仿宋" w:hAnsi="仿宋" w:eastAsia="仿宋" w:cs="仿宋"/>
                <w:sz w:val="21"/>
                <w:szCs w:val="21"/>
              </w:rPr>
              <w:t>。</w:t>
            </w:r>
          </w:p>
        </w:tc>
        <w:tc>
          <w:tcPr>
            <w:tcW w:w="3236" w:type="dxa"/>
            <w:vAlign w:val="center"/>
          </w:tcPr>
          <w:p w14:paraId="4508D244">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如违反，每次扣0.2分</w:t>
            </w:r>
          </w:p>
        </w:tc>
      </w:tr>
      <w:tr w14:paraId="56094A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4" w:type="dxa"/>
          <w:trHeight w:val="855" w:hRule="atLeast"/>
          <w:jc w:val="center"/>
        </w:trPr>
        <w:tc>
          <w:tcPr>
            <w:tcW w:w="1251" w:type="dxa"/>
            <w:vMerge w:val="continue"/>
            <w:tcBorders>
              <w:left w:val="single" w:color="auto" w:sz="4" w:space="0"/>
            </w:tcBorders>
            <w:vAlign w:val="center"/>
          </w:tcPr>
          <w:p w14:paraId="25CFD78E">
            <w:pPr>
              <w:jc w:val="center"/>
              <w:rPr>
                <w:rFonts w:hint="eastAsia" w:ascii="仿宋" w:hAnsi="仿宋" w:eastAsia="仿宋" w:cs="仿宋"/>
                <w:sz w:val="21"/>
                <w:szCs w:val="21"/>
              </w:rPr>
            </w:pPr>
          </w:p>
        </w:tc>
        <w:tc>
          <w:tcPr>
            <w:tcW w:w="1061" w:type="dxa"/>
            <w:vAlign w:val="center"/>
          </w:tcPr>
          <w:p w14:paraId="441FC88D">
            <w:pPr>
              <w:bidi w:val="0"/>
              <w:jc w:val="center"/>
              <w:rPr>
                <w:rFonts w:hint="eastAsia" w:ascii="仿宋" w:hAnsi="仿宋" w:eastAsia="仿宋" w:cs="仿宋"/>
              </w:rPr>
            </w:pPr>
            <w:r>
              <w:rPr>
                <w:rFonts w:hint="eastAsia" w:ascii="仿宋" w:hAnsi="仿宋" w:eastAsia="仿宋" w:cs="仿宋"/>
              </w:rPr>
              <w:t>39</w:t>
            </w:r>
          </w:p>
        </w:tc>
        <w:tc>
          <w:tcPr>
            <w:tcW w:w="4149" w:type="dxa"/>
            <w:vAlign w:val="center"/>
          </w:tcPr>
          <w:p w14:paraId="5491122A">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能够引导协助</w:t>
            </w:r>
            <w:r>
              <w:rPr>
                <w:rFonts w:hint="eastAsia" w:ascii="仿宋" w:hAnsi="仿宋" w:eastAsia="仿宋" w:cs="仿宋"/>
                <w:sz w:val="21"/>
                <w:szCs w:val="21"/>
                <w:lang w:val="en-US" w:eastAsia="zh-CN"/>
              </w:rPr>
              <w:t>病人</w:t>
            </w:r>
            <w:r>
              <w:rPr>
                <w:rFonts w:hint="eastAsia" w:ascii="仿宋" w:hAnsi="仿宋" w:eastAsia="仿宋" w:cs="仿宋"/>
                <w:sz w:val="21"/>
                <w:szCs w:val="21"/>
              </w:rPr>
              <w:t>在自助设备办理简易业务。</w:t>
            </w:r>
          </w:p>
        </w:tc>
        <w:tc>
          <w:tcPr>
            <w:tcW w:w="3236" w:type="dxa"/>
            <w:vAlign w:val="center"/>
          </w:tcPr>
          <w:p w14:paraId="4B0B3C8E">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如达不到，每次扣0.2分</w:t>
            </w:r>
          </w:p>
        </w:tc>
      </w:tr>
      <w:tr w14:paraId="68842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4" w:type="dxa"/>
          <w:trHeight w:val="880" w:hRule="atLeast"/>
          <w:jc w:val="center"/>
        </w:trPr>
        <w:tc>
          <w:tcPr>
            <w:tcW w:w="1251" w:type="dxa"/>
            <w:vMerge w:val="continue"/>
            <w:tcBorders>
              <w:left w:val="single" w:color="auto" w:sz="4" w:space="0"/>
            </w:tcBorders>
            <w:vAlign w:val="center"/>
          </w:tcPr>
          <w:p w14:paraId="71335C50">
            <w:pPr>
              <w:jc w:val="center"/>
              <w:rPr>
                <w:rFonts w:hint="eastAsia" w:ascii="仿宋" w:hAnsi="仿宋" w:eastAsia="仿宋" w:cs="仿宋"/>
                <w:sz w:val="21"/>
                <w:szCs w:val="21"/>
              </w:rPr>
            </w:pPr>
          </w:p>
        </w:tc>
        <w:tc>
          <w:tcPr>
            <w:tcW w:w="1061" w:type="dxa"/>
            <w:vAlign w:val="center"/>
          </w:tcPr>
          <w:p w14:paraId="162324F9">
            <w:pPr>
              <w:bidi w:val="0"/>
              <w:jc w:val="center"/>
              <w:rPr>
                <w:rFonts w:hint="eastAsia" w:ascii="仿宋" w:hAnsi="仿宋" w:eastAsia="仿宋" w:cs="仿宋"/>
              </w:rPr>
            </w:pPr>
            <w:r>
              <w:rPr>
                <w:rFonts w:hint="eastAsia" w:ascii="仿宋" w:hAnsi="仿宋" w:eastAsia="仿宋" w:cs="仿宋"/>
              </w:rPr>
              <w:t>40</w:t>
            </w:r>
          </w:p>
        </w:tc>
        <w:tc>
          <w:tcPr>
            <w:tcW w:w="4149" w:type="dxa"/>
            <w:vAlign w:val="center"/>
          </w:tcPr>
          <w:p w14:paraId="6E1191DF">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在</w:t>
            </w:r>
            <w:r>
              <w:rPr>
                <w:rFonts w:hint="eastAsia" w:ascii="仿宋" w:hAnsi="仿宋" w:eastAsia="仿宋" w:cs="仿宋"/>
                <w:sz w:val="21"/>
                <w:szCs w:val="21"/>
                <w:lang w:val="en-US" w:eastAsia="zh-CN"/>
              </w:rPr>
              <w:t>医护</w:t>
            </w:r>
            <w:r>
              <w:rPr>
                <w:rFonts w:hint="eastAsia" w:ascii="仿宋" w:hAnsi="仿宋" w:eastAsia="仿宋" w:cs="仿宋"/>
                <w:sz w:val="21"/>
                <w:szCs w:val="21"/>
              </w:rPr>
              <w:t>工作人员指导下，为</w:t>
            </w:r>
            <w:r>
              <w:rPr>
                <w:rFonts w:hint="eastAsia" w:ascii="仿宋" w:hAnsi="仿宋" w:eastAsia="仿宋" w:cs="仿宋"/>
                <w:sz w:val="21"/>
                <w:szCs w:val="21"/>
                <w:lang w:val="en-US" w:eastAsia="zh-CN"/>
              </w:rPr>
              <w:t>病人</w:t>
            </w:r>
            <w:r>
              <w:rPr>
                <w:rFonts w:hint="eastAsia" w:ascii="仿宋" w:hAnsi="仿宋" w:eastAsia="仿宋" w:cs="仿宋"/>
                <w:sz w:val="21"/>
                <w:szCs w:val="21"/>
              </w:rPr>
              <w:t>提供证件复印、整理免填单、撕发票、搬资料等业务办理辅助性工作。</w:t>
            </w:r>
          </w:p>
        </w:tc>
        <w:tc>
          <w:tcPr>
            <w:tcW w:w="3236" w:type="dxa"/>
            <w:vAlign w:val="center"/>
          </w:tcPr>
          <w:p w14:paraId="36070932">
            <w:pPr>
              <w:pStyle w:val="46"/>
              <w:spacing w:before="143"/>
              <w:ind w:left="106"/>
              <w:jc w:val="both"/>
              <w:rPr>
                <w:rFonts w:hint="eastAsia" w:ascii="仿宋" w:hAnsi="仿宋" w:eastAsia="仿宋" w:cs="仿宋"/>
                <w:sz w:val="21"/>
                <w:szCs w:val="21"/>
              </w:rPr>
            </w:pPr>
            <w:r>
              <w:rPr>
                <w:rFonts w:hint="eastAsia" w:ascii="仿宋" w:hAnsi="仿宋" w:eastAsia="仿宋" w:cs="仿宋"/>
                <w:sz w:val="21"/>
                <w:szCs w:val="21"/>
              </w:rPr>
              <w:t>如达不到，每次扣0.2分</w:t>
            </w:r>
          </w:p>
        </w:tc>
      </w:tr>
    </w:tbl>
    <w:p w14:paraId="475DF9FA">
      <w:pPr>
        <w:keepNext w:val="0"/>
        <w:keepLines w:val="0"/>
        <w:widowControl/>
        <w:suppressLineNumbers w:val="0"/>
        <w:jc w:val="left"/>
        <w:rPr>
          <w:rFonts w:hint="eastAsia" w:ascii="宋体" w:hAnsi="宋体" w:eastAsia="宋体" w:cs="宋体"/>
          <w:b/>
          <w:color w:val="000000"/>
          <w:kern w:val="0"/>
          <w:sz w:val="20"/>
          <w:szCs w:val="20"/>
          <w:lang w:val="en-US" w:eastAsia="zh-CN" w:bidi="ar"/>
        </w:rPr>
      </w:pPr>
    </w:p>
    <w:p w14:paraId="625CF9FD">
      <w:pPr>
        <w:keepNext w:val="0"/>
        <w:keepLines w:val="0"/>
        <w:pageBreakBefore w:val="0"/>
        <w:widowControl/>
        <w:suppressLineNumbers w:val="0"/>
        <w:kinsoku/>
        <w:wordWrap/>
        <w:overflowPunct/>
        <w:topLinePunct w:val="0"/>
        <w:autoSpaceDE/>
        <w:autoSpaceDN/>
        <w:bidi w:val="0"/>
        <w:adjustRightInd/>
        <w:snapToGrid/>
        <w:spacing w:line="500" w:lineRule="exact"/>
        <w:ind w:firstLine="482" w:firstLineChars="200"/>
        <w:jc w:val="left"/>
        <w:textAlignment w:val="auto"/>
        <w:rPr>
          <w:rFonts w:hint="eastAsia" w:ascii="仿宋" w:hAnsi="仿宋" w:eastAsia="仿宋" w:cs="仿宋"/>
          <w:sz w:val="24"/>
          <w:szCs w:val="24"/>
        </w:rPr>
      </w:pPr>
      <w:r>
        <w:rPr>
          <w:rFonts w:hint="eastAsia" w:ascii="仿宋" w:hAnsi="仿宋" w:eastAsia="仿宋" w:cs="仿宋"/>
          <w:b/>
          <w:color w:val="000000"/>
          <w:kern w:val="0"/>
          <w:sz w:val="24"/>
          <w:szCs w:val="24"/>
          <w:lang w:val="en-US" w:eastAsia="zh-CN" w:bidi="ar"/>
        </w:rPr>
        <w:t>考核说明：申请人月度考核在95分（含）以上足额支付当月安保服务费用，如考核成绩低于95分，每低1分扣除当月安保服务费用的1%。每年年末考核结果汇总一次，考核结果汇总表上需保卫科科长和主管院长签字，若考核结果汇总合格率低于80%，视为年考核不合格，医院有权随时终止合同。</w:t>
      </w:r>
    </w:p>
    <w:p w14:paraId="0DCF9279">
      <w:pPr>
        <w:jc w:val="both"/>
        <w:rPr>
          <w:rFonts w:hint="eastAsia" w:ascii="仿宋" w:hAnsi="仿宋" w:eastAsia="仿宋" w:cs="仿宋"/>
          <w:sz w:val="21"/>
          <w:szCs w:val="21"/>
        </w:rPr>
      </w:pPr>
    </w:p>
    <w:p w14:paraId="7702D7BA">
      <w:pPr>
        <w:pStyle w:val="58"/>
      </w:pPr>
    </w:p>
    <w:p w14:paraId="7ABF89BF">
      <w:pPr>
        <w:pStyle w:val="58"/>
      </w:pPr>
    </w:p>
    <w:p w14:paraId="1626ACD5">
      <w:pPr>
        <w:pStyle w:val="58"/>
      </w:pPr>
    </w:p>
    <w:p w14:paraId="59DDCFA1">
      <w:pPr>
        <w:pStyle w:val="58"/>
      </w:pPr>
    </w:p>
    <w:p w14:paraId="401DA682">
      <w:pPr>
        <w:pStyle w:val="58"/>
      </w:pPr>
    </w:p>
    <w:p w14:paraId="7CA9659E">
      <w:pPr>
        <w:pStyle w:val="58"/>
      </w:pPr>
    </w:p>
    <w:p w14:paraId="3D95B7AE">
      <w:r>
        <w:br w:type="page"/>
      </w:r>
    </w:p>
    <w:p w14:paraId="57E2E334">
      <w:pPr>
        <w:pStyle w:val="58"/>
      </w:pPr>
    </w:p>
    <w:p w14:paraId="20FB7177">
      <w:pPr>
        <w:pStyle w:val="58"/>
      </w:pPr>
    </w:p>
    <w:p w14:paraId="5EC187F4">
      <w:pPr>
        <w:pStyle w:val="58"/>
      </w:pPr>
    </w:p>
    <w:p w14:paraId="481CBBDB">
      <w:pPr>
        <w:pStyle w:val="58"/>
      </w:pPr>
    </w:p>
    <w:p w14:paraId="05054BB5">
      <w:pPr>
        <w:pStyle w:val="58"/>
      </w:pPr>
    </w:p>
    <w:p w14:paraId="1018B963">
      <w:pPr>
        <w:pStyle w:val="58"/>
      </w:pPr>
    </w:p>
    <w:p w14:paraId="151C22F1">
      <w:pPr>
        <w:pStyle w:val="58"/>
      </w:pPr>
    </w:p>
    <w:p w14:paraId="3144E4B3">
      <w:pPr>
        <w:pStyle w:val="58"/>
      </w:pPr>
    </w:p>
    <w:p w14:paraId="09AA4331">
      <w:pPr>
        <w:pStyle w:val="58"/>
      </w:pPr>
    </w:p>
    <w:p w14:paraId="64750BF4">
      <w:pPr>
        <w:pStyle w:val="3"/>
        <w:jc w:val="center"/>
        <w:rPr>
          <w:sz w:val="48"/>
          <w:szCs w:val="48"/>
        </w:rPr>
      </w:pPr>
      <w:bookmarkStart w:id="39" w:name="_Toc21029"/>
      <w:bookmarkStart w:id="40" w:name="_Toc32306"/>
      <w:bookmarkStart w:id="41" w:name="_Toc15673"/>
      <w:bookmarkStart w:id="42" w:name="_Toc24684"/>
      <w:r>
        <w:rPr>
          <w:rFonts w:hint="eastAsia"/>
          <w:sz w:val="48"/>
          <w:szCs w:val="48"/>
        </w:rPr>
        <w:t>第六章</w:t>
      </w:r>
      <w:r>
        <w:rPr>
          <w:rFonts w:hint="eastAsia"/>
          <w:sz w:val="48"/>
          <w:szCs w:val="48"/>
          <w:lang w:val="en-US" w:eastAsia="zh-CN"/>
        </w:rPr>
        <w:t xml:space="preserve">  </w:t>
      </w:r>
      <w:r>
        <w:rPr>
          <w:rFonts w:hint="eastAsia"/>
          <w:sz w:val="48"/>
          <w:szCs w:val="48"/>
        </w:rPr>
        <w:t>投标文件格式</w:t>
      </w:r>
      <w:bookmarkEnd w:id="39"/>
      <w:bookmarkEnd w:id="40"/>
      <w:bookmarkEnd w:id="41"/>
      <w:bookmarkEnd w:id="42"/>
    </w:p>
    <w:p w14:paraId="15CAF208">
      <w:pPr>
        <w:widowControl/>
        <w:adjustRightInd w:val="0"/>
        <w:snapToGrid w:val="0"/>
        <w:spacing w:line="500" w:lineRule="exact"/>
        <w:jc w:val="center"/>
        <w:rPr>
          <w:rFonts w:ascii="宋体" w:hAnsi="宋体" w:eastAsia="宋体" w:cs="宋体"/>
          <w:sz w:val="44"/>
          <w:szCs w:val="44"/>
          <w:highlight w:val="none"/>
          <w14:textOutline w14:w="8712" w14:cap="flat" w14:cmpd="sng" w14:algn="ctr">
            <w14:solidFill>
              <w14:srgbClr w14:val="000000"/>
            </w14:solidFill>
            <w14:prstDash w14:val="solid"/>
            <w14:miter w14:val="0"/>
          </w14:textOutline>
        </w:rPr>
      </w:pPr>
    </w:p>
    <w:p w14:paraId="0CC5C594">
      <w:pPr>
        <w:widowControl/>
        <w:adjustRightInd w:val="0"/>
        <w:snapToGrid w:val="0"/>
        <w:spacing w:line="500" w:lineRule="exact"/>
        <w:jc w:val="center"/>
        <w:rPr>
          <w:rFonts w:ascii="宋体" w:hAnsi="宋体" w:eastAsia="宋体" w:cs="宋体"/>
          <w:sz w:val="44"/>
          <w:szCs w:val="44"/>
          <w:highlight w:val="none"/>
          <w14:textOutline w14:w="8712" w14:cap="flat" w14:cmpd="sng" w14:algn="ctr">
            <w14:solidFill>
              <w14:srgbClr w14:val="000000"/>
            </w14:solidFill>
            <w14:prstDash w14:val="solid"/>
            <w14:miter w14:val="0"/>
          </w14:textOutline>
        </w:rPr>
      </w:pPr>
    </w:p>
    <w:p w14:paraId="2E122BFC">
      <w:pPr>
        <w:widowControl/>
        <w:adjustRightInd w:val="0"/>
        <w:snapToGrid w:val="0"/>
        <w:spacing w:line="500" w:lineRule="exact"/>
        <w:jc w:val="center"/>
        <w:rPr>
          <w:rFonts w:ascii="宋体" w:hAnsi="宋体" w:eastAsia="宋体" w:cs="宋体"/>
          <w:sz w:val="44"/>
          <w:szCs w:val="44"/>
          <w:highlight w:val="none"/>
          <w14:textOutline w14:w="8712" w14:cap="flat" w14:cmpd="sng" w14:algn="ctr">
            <w14:solidFill>
              <w14:srgbClr w14:val="000000"/>
            </w14:solidFill>
            <w14:prstDash w14:val="solid"/>
            <w14:miter w14:val="0"/>
          </w14:textOutline>
        </w:rPr>
      </w:pPr>
    </w:p>
    <w:p w14:paraId="1F5E0718">
      <w:pPr>
        <w:widowControl/>
        <w:adjustRightInd w:val="0"/>
        <w:snapToGrid w:val="0"/>
        <w:spacing w:line="500" w:lineRule="exact"/>
        <w:jc w:val="center"/>
        <w:rPr>
          <w:rFonts w:ascii="宋体" w:hAnsi="宋体" w:eastAsia="宋体" w:cs="宋体"/>
          <w:sz w:val="44"/>
          <w:szCs w:val="44"/>
          <w:highlight w:val="none"/>
          <w14:textOutline w14:w="8712" w14:cap="flat" w14:cmpd="sng" w14:algn="ctr">
            <w14:solidFill>
              <w14:srgbClr w14:val="000000"/>
            </w14:solidFill>
            <w14:prstDash w14:val="solid"/>
            <w14:miter w14:val="0"/>
          </w14:textOutline>
        </w:rPr>
      </w:pPr>
    </w:p>
    <w:p w14:paraId="2EEFE1DC">
      <w:pPr>
        <w:widowControl/>
        <w:jc w:val="left"/>
        <w:rPr>
          <w:rFonts w:ascii="宋体" w:hAnsi="宋体" w:eastAsia="宋体" w:cs="宋体"/>
          <w:sz w:val="44"/>
          <w:szCs w:val="44"/>
          <w:highlight w:val="none"/>
          <w14:textOutline w14:w="8712" w14:cap="flat" w14:cmpd="sng" w14:algn="ctr">
            <w14:solidFill>
              <w14:srgbClr w14:val="000000"/>
            </w14:solidFill>
            <w14:prstDash w14:val="solid"/>
            <w14:miter w14:val="0"/>
          </w14:textOutline>
        </w:rPr>
      </w:pPr>
      <w:r>
        <w:rPr>
          <w:rFonts w:ascii="宋体" w:hAnsi="宋体" w:eastAsia="宋体" w:cs="宋体"/>
          <w:sz w:val="44"/>
          <w:szCs w:val="44"/>
          <w:highlight w:val="none"/>
          <w14:textOutline w14:w="8712" w14:cap="flat" w14:cmpd="sng" w14:algn="ctr">
            <w14:solidFill>
              <w14:srgbClr w14:val="000000"/>
            </w14:solidFill>
            <w14:prstDash w14:val="solid"/>
            <w14:miter w14:val="0"/>
          </w14:textOutline>
        </w:rPr>
        <w:br w:type="page"/>
      </w:r>
    </w:p>
    <w:p w14:paraId="2CFC4127">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pacing w:val="0"/>
          <w:sz w:val="40"/>
          <w:szCs w:val="40"/>
          <w:highlight w:val="none"/>
          <w14:textOutline w14:w="7975" w14:cap="sq" w14:cmpd="sng" w14:algn="ctr">
            <w14:solidFill>
              <w14:srgbClr w14:val="000000"/>
            </w14:solidFill>
            <w14:prstDash w14:val="solid"/>
            <w14:bevel/>
          </w14:textOutline>
        </w:rPr>
      </w:pPr>
    </w:p>
    <w:p w14:paraId="73A09774">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pacing w:val="0"/>
          <w:sz w:val="48"/>
          <w:szCs w:val="48"/>
          <w:highlight w:val="none"/>
          <w:lang w:eastAsia="zh-CN"/>
          <w14:textOutline w14:w="7975" w14:cap="sq" w14:cmpd="sng" w14:algn="ctr">
            <w14:solidFill>
              <w14:srgbClr w14:val="000000"/>
            </w14:solidFill>
            <w14:prstDash w14:val="solid"/>
            <w14:bevel/>
          </w14:textOutline>
        </w:rPr>
      </w:pPr>
      <w:r>
        <w:rPr>
          <w:rFonts w:hint="eastAsia" w:ascii="宋体" w:hAnsi="宋体" w:eastAsia="宋体" w:cs="宋体"/>
          <w:spacing w:val="0"/>
          <w:sz w:val="48"/>
          <w:szCs w:val="48"/>
          <w:highlight w:val="none"/>
          <w:lang w:eastAsia="zh-CN"/>
          <w14:textOutline w14:w="7975" w14:cap="sq" w14:cmpd="sng" w14:algn="ctr">
            <w14:solidFill>
              <w14:srgbClr w14:val="000000"/>
            </w14:solidFill>
            <w14:prstDash w14:val="solid"/>
            <w14:bevel/>
          </w14:textOutline>
        </w:rPr>
        <w:t>济源市人民医院保安服务采购项目</w:t>
      </w:r>
    </w:p>
    <w:p w14:paraId="6123CFE5">
      <w:pPr>
        <w:spacing w:before="140" w:line="640" w:lineRule="exact"/>
        <w:jc w:val="center"/>
        <w:rPr>
          <w:rFonts w:ascii="宋体" w:hAnsi="宋体" w:eastAsia="宋体" w:cs="宋体"/>
          <w:spacing w:val="18"/>
          <w:sz w:val="43"/>
          <w:szCs w:val="43"/>
          <w:highlight w:val="none"/>
          <w14:textOutline w14:w="7975" w14:cap="sq" w14:cmpd="sng" w14:algn="ctr">
            <w14:solidFill>
              <w14:srgbClr w14:val="000000"/>
            </w14:solidFill>
            <w14:prstDash w14:val="solid"/>
            <w14:bevel/>
          </w14:textOutline>
        </w:rPr>
      </w:pPr>
    </w:p>
    <w:p w14:paraId="2E6D5C28">
      <w:pPr>
        <w:spacing w:before="140" w:line="640" w:lineRule="exact"/>
        <w:jc w:val="center"/>
        <w:rPr>
          <w:rFonts w:ascii="宋体" w:hAnsi="宋体" w:eastAsia="宋体" w:cs="宋体"/>
          <w:spacing w:val="18"/>
          <w:sz w:val="43"/>
          <w:szCs w:val="43"/>
          <w:highlight w:val="none"/>
          <w14:textOutline w14:w="7975" w14:cap="sq" w14:cmpd="sng" w14:algn="ctr">
            <w14:solidFill>
              <w14:srgbClr w14:val="000000"/>
            </w14:solidFill>
            <w14:prstDash w14:val="solid"/>
            <w14:bevel/>
          </w14:textOutline>
        </w:rPr>
      </w:pPr>
    </w:p>
    <w:p w14:paraId="23544976">
      <w:pPr>
        <w:spacing w:line="474" w:lineRule="auto"/>
        <w:rPr>
          <w:sz w:val="36"/>
          <w:szCs w:val="36"/>
          <w:highlight w:val="none"/>
        </w:rPr>
      </w:pPr>
    </w:p>
    <w:p w14:paraId="2D94B160">
      <w:pPr>
        <w:spacing w:before="140" w:line="226" w:lineRule="auto"/>
        <w:jc w:val="center"/>
        <w:rPr>
          <w:highlight w:val="none"/>
        </w:rPr>
      </w:pPr>
      <w:r>
        <w:rPr>
          <w:rFonts w:ascii="黑体" w:hAnsi="黑体" w:eastAsia="黑体" w:cs="黑体"/>
          <w:spacing w:val="7"/>
          <w:sz w:val="72"/>
          <w:szCs w:val="72"/>
          <w:highlight w:val="none"/>
          <w14:textOutline w14:w="7962" w14:cap="flat" w14:cmpd="sng" w14:algn="ctr">
            <w14:solidFill>
              <w14:srgbClr w14:val="000000"/>
            </w14:solidFill>
            <w14:prstDash w14:val="solid"/>
            <w14:miter w14:val="0"/>
          </w14:textOutline>
        </w:rPr>
        <w:t>投标文</w:t>
      </w:r>
      <w:r>
        <w:rPr>
          <w:rFonts w:ascii="黑体" w:hAnsi="黑体" w:eastAsia="黑体" w:cs="黑体"/>
          <w:spacing w:val="6"/>
          <w:sz w:val="72"/>
          <w:szCs w:val="72"/>
          <w:highlight w:val="none"/>
          <w14:textOutline w14:w="7962" w14:cap="flat" w14:cmpd="sng" w14:algn="ctr">
            <w14:solidFill>
              <w14:srgbClr w14:val="000000"/>
            </w14:solidFill>
            <w14:prstDash w14:val="solid"/>
            <w14:miter w14:val="0"/>
          </w14:textOutline>
        </w:rPr>
        <w:t>件</w:t>
      </w:r>
    </w:p>
    <w:p w14:paraId="0F530EA3">
      <w:pPr>
        <w:spacing w:line="245" w:lineRule="auto"/>
        <w:rPr>
          <w:highlight w:val="none"/>
        </w:rPr>
      </w:pPr>
    </w:p>
    <w:p w14:paraId="10810D39">
      <w:pPr>
        <w:spacing w:line="245" w:lineRule="auto"/>
        <w:jc w:val="center"/>
        <w:rPr>
          <w:rFonts w:hint="default" w:eastAsia="宋体"/>
          <w:b/>
          <w:bCs w:val="0"/>
          <w:color w:val="auto"/>
          <w:sz w:val="22"/>
          <w:szCs w:val="24"/>
          <w:highlight w:val="none"/>
          <w:lang w:val="en-US" w:eastAsia="zh-CN"/>
        </w:rPr>
      </w:pPr>
      <w:r>
        <w:rPr>
          <w:rFonts w:hint="eastAsia" w:ascii="宋体" w:hAnsi="宋体" w:eastAsia="宋体" w:cs="宋体"/>
          <w:b/>
          <w:bCs w:val="0"/>
          <w:color w:val="auto"/>
          <w:sz w:val="28"/>
          <w:szCs w:val="36"/>
          <w:highlight w:val="none"/>
        </w:rPr>
        <w:t>项目编号：济源采购-202</w:t>
      </w:r>
      <w:r>
        <w:rPr>
          <w:rFonts w:hint="eastAsia" w:ascii="宋体" w:hAnsi="宋体" w:eastAsia="宋体" w:cs="宋体"/>
          <w:b/>
          <w:bCs w:val="0"/>
          <w:color w:val="auto"/>
          <w:sz w:val="28"/>
          <w:szCs w:val="36"/>
          <w:highlight w:val="none"/>
          <w:lang w:val="en-US" w:eastAsia="zh-CN"/>
        </w:rPr>
        <w:t>6-101</w:t>
      </w:r>
    </w:p>
    <w:p w14:paraId="1F5F4BD8">
      <w:pPr>
        <w:spacing w:line="245" w:lineRule="auto"/>
        <w:rPr>
          <w:highlight w:val="none"/>
        </w:rPr>
      </w:pPr>
    </w:p>
    <w:p w14:paraId="58C596BC">
      <w:pPr>
        <w:spacing w:line="245" w:lineRule="auto"/>
        <w:rPr>
          <w:highlight w:val="none"/>
        </w:rPr>
      </w:pPr>
    </w:p>
    <w:p w14:paraId="745E1748">
      <w:pPr>
        <w:spacing w:line="245" w:lineRule="auto"/>
        <w:rPr>
          <w:highlight w:val="none"/>
        </w:rPr>
      </w:pPr>
    </w:p>
    <w:p w14:paraId="15543265">
      <w:pPr>
        <w:spacing w:line="245" w:lineRule="auto"/>
        <w:rPr>
          <w:highlight w:val="none"/>
        </w:rPr>
      </w:pPr>
    </w:p>
    <w:p w14:paraId="6B393C39">
      <w:pPr>
        <w:bidi w:val="0"/>
      </w:pPr>
    </w:p>
    <w:p w14:paraId="633C2B0D">
      <w:pPr>
        <w:bidi w:val="0"/>
      </w:pPr>
    </w:p>
    <w:p w14:paraId="56583C42">
      <w:pPr>
        <w:spacing w:line="245" w:lineRule="auto"/>
        <w:rPr>
          <w:highlight w:val="none"/>
        </w:rPr>
      </w:pPr>
    </w:p>
    <w:p w14:paraId="64318693">
      <w:pPr>
        <w:bidi w:val="0"/>
      </w:pPr>
    </w:p>
    <w:p w14:paraId="15892DC1">
      <w:pPr>
        <w:bidi w:val="0"/>
      </w:pPr>
    </w:p>
    <w:p w14:paraId="1867FFC2">
      <w:pPr>
        <w:bidi w:val="0"/>
      </w:pPr>
    </w:p>
    <w:p w14:paraId="373643F7">
      <w:pPr>
        <w:bidi w:val="0"/>
      </w:pPr>
    </w:p>
    <w:p w14:paraId="01A2A1EC">
      <w:pPr>
        <w:bidi w:val="0"/>
      </w:pPr>
    </w:p>
    <w:p w14:paraId="112A2994">
      <w:pPr>
        <w:bidi w:val="0"/>
      </w:pPr>
    </w:p>
    <w:p w14:paraId="439062E2">
      <w:pPr>
        <w:bidi w:val="0"/>
      </w:pPr>
    </w:p>
    <w:p w14:paraId="74F932A6">
      <w:pPr>
        <w:bidi w:val="0"/>
      </w:pPr>
    </w:p>
    <w:p w14:paraId="4B6E21CE">
      <w:pPr>
        <w:bidi w:val="0"/>
      </w:pPr>
    </w:p>
    <w:p w14:paraId="1AAC8701">
      <w:pPr>
        <w:bidi w:val="0"/>
      </w:pPr>
    </w:p>
    <w:p w14:paraId="1C04CD44">
      <w:pPr>
        <w:bidi w:val="0"/>
      </w:pPr>
    </w:p>
    <w:p w14:paraId="7CC6180F">
      <w:pPr>
        <w:bidi w:val="0"/>
      </w:pPr>
    </w:p>
    <w:p w14:paraId="1A36B139">
      <w:pPr>
        <w:bidi w:val="0"/>
      </w:pPr>
    </w:p>
    <w:p w14:paraId="4CAB552C"/>
    <w:p w14:paraId="0AD627D6">
      <w:pPr>
        <w:spacing w:line="246" w:lineRule="auto"/>
        <w:rPr>
          <w:highlight w:val="none"/>
        </w:rPr>
      </w:pPr>
    </w:p>
    <w:p w14:paraId="6130B6F5">
      <w:pPr>
        <w:spacing w:line="246" w:lineRule="auto"/>
        <w:rPr>
          <w:highlight w:val="none"/>
        </w:rPr>
      </w:pPr>
    </w:p>
    <w:p w14:paraId="029534D1">
      <w:pPr>
        <w:spacing w:before="91" w:line="368" w:lineRule="auto"/>
        <w:ind w:left="1284" w:right="802" w:hanging="4"/>
        <w:rPr>
          <w:rFonts w:hint="eastAsia" w:ascii="黑体" w:hAnsi="黑体" w:eastAsia="黑体" w:cs="黑体"/>
          <w:spacing w:val="-4"/>
          <w:sz w:val="28"/>
          <w:szCs w:val="28"/>
          <w:highlight w:val="none"/>
          <w:u w:val="single"/>
          <w:lang w:val="en-US" w:eastAsia="zh-CN"/>
        </w:rPr>
      </w:pPr>
      <w:r>
        <w:rPr>
          <w:rFonts w:hint="eastAsia" w:ascii="黑体" w:hAnsi="黑体" w:eastAsia="黑体" w:cs="黑体"/>
          <w:spacing w:val="-4"/>
          <w:sz w:val="28"/>
          <w:szCs w:val="28"/>
          <w:highlight w:val="none"/>
        </w:rPr>
        <w:t>供应商单位全称（签章）：</w:t>
      </w:r>
      <w:r>
        <w:rPr>
          <w:rFonts w:hint="eastAsia" w:ascii="黑体" w:hAnsi="黑体" w:eastAsia="黑体" w:cs="黑体"/>
          <w:spacing w:val="-4"/>
          <w:sz w:val="28"/>
          <w:szCs w:val="28"/>
          <w:highlight w:val="none"/>
          <w:u w:val="single"/>
          <w:lang w:val="en-US" w:eastAsia="zh-CN"/>
        </w:rPr>
        <w:t xml:space="preserve">                 </w:t>
      </w:r>
    </w:p>
    <w:p w14:paraId="2A303C87">
      <w:pPr>
        <w:spacing w:before="91" w:line="368" w:lineRule="auto"/>
        <w:ind w:left="1284" w:right="802" w:hanging="4"/>
        <w:rPr>
          <w:rFonts w:hint="eastAsia" w:ascii="黑体" w:hAnsi="黑体" w:eastAsia="黑体" w:cs="黑体"/>
          <w:sz w:val="28"/>
          <w:szCs w:val="28"/>
          <w:highlight w:val="none"/>
          <w:lang w:val="en-US" w:eastAsia="zh-CN"/>
        </w:rPr>
      </w:pPr>
      <w:r>
        <w:rPr>
          <w:rFonts w:hint="eastAsia" w:ascii="黑体" w:hAnsi="黑体" w:eastAsia="黑体" w:cs="黑体"/>
          <w:spacing w:val="-5"/>
          <w:sz w:val="28"/>
          <w:szCs w:val="28"/>
          <w:highlight w:val="none"/>
        </w:rPr>
        <w:t>法定代表人（</w:t>
      </w:r>
      <w:r>
        <w:rPr>
          <w:rFonts w:hint="eastAsia" w:ascii="黑体" w:hAnsi="黑体" w:eastAsia="黑体" w:cs="黑体"/>
          <w:spacing w:val="-4"/>
          <w:sz w:val="28"/>
          <w:szCs w:val="28"/>
          <w:highlight w:val="none"/>
        </w:rPr>
        <w:t>签章</w:t>
      </w:r>
      <w:r>
        <w:rPr>
          <w:rFonts w:hint="eastAsia" w:ascii="黑体" w:hAnsi="黑体" w:eastAsia="黑体" w:cs="黑体"/>
          <w:spacing w:val="-5"/>
          <w:sz w:val="28"/>
          <w:szCs w:val="28"/>
          <w:highlight w:val="none"/>
        </w:rPr>
        <w:t>）：</w:t>
      </w:r>
      <w:r>
        <w:rPr>
          <w:rFonts w:hint="eastAsia" w:ascii="黑体" w:hAnsi="黑体" w:eastAsia="黑体" w:cs="黑体"/>
          <w:spacing w:val="-5"/>
          <w:sz w:val="28"/>
          <w:szCs w:val="28"/>
          <w:highlight w:val="none"/>
          <w:u w:val="single"/>
          <w:lang w:val="en-US" w:eastAsia="zh-CN"/>
        </w:rPr>
        <w:t xml:space="preserve">                     </w:t>
      </w:r>
      <w:r>
        <w:rPr>
          <w:rFonts w:hint="eastAsia" w:ascii="黑体" w:hAnsi="黑体" w:eastAsia="黑体" w:cs="黑体"/>
          <w:spacing w:val="-5"/>
          <w:sz w:val="28"/>
          <w:szCs w:val="28"/>
          <w:highlight w:val="none"/>
          <w:lang w:val="en-US" w:eastAsia="zh-CN"/>
        </w:rPr>
        <w:t xml:space="preserve"> </w:t>
      </w:r>
    </w:p>
    <w:p w14:paraId="4363FE16">
      <w:pPr>
        <w:widowControl/>
        <w:adjustRightInd w:val="0"/>
        <w:snapToGrid w:val="0"/>
        <w:spacing w:line="500" w:lineRule="exact"/>
        <w:jc w:val="center"/>
        <w:rPr>
          <w:rFonts w:ascii="黑体" w:hAnsi="黑体" w:eastAsia="黑体" w:cs="黑体"/>
          <w:spacing w:val="2"/>
          <w:sz w:val="28"/>
          <w:szCs w:val="28"/>
          <w:highlight w:val="none"/>
        </w:rPr>
      </w:pPr>
      <w:r>
        <w:rPr>
          <w:rFonts w:ascii="黑体" w:hAnsi="黑体" w:eastAsia="黑体" w:cs="黑体"/>
          <w:sz w:val="28"/>
          <w:szCs w:val="28"/>
          <w:highlight w:val="none"/>
          <w:u w:val="single"/>
        </w:rPr>
        <w:tab/>
      </w:r>
      <w:r>
        <w:rPr>
          <w:rFonts w:hint="eastAsia" w:ascii="黑体" w:hAnsi="黑体" w:eastAsia="黑体" w:cs="黑体"/>
          <w:sz w:val="28"/>
          <w:szCs w:val="28"/>
          <w:highlight w:val="none"/>
          <w:u w:val="single"/>
          <w:lang w:val="en-US" w:eastAsia="zh-CN"/>
        </w:rPr>
        <w:t xml:space="preserve">   </w:t>
      </w:r>
      <w:r>
        <w:rPr>
          <w:rFonts w:ascii="黑体" w:hAnsi="黑体" w:eastAsia="黑体" w:cs="黑体"/>
          <w:spacing w:val="4"/>
          <w:sz w:val="28"/>
          <w:szCs w:val="28"/>
          <w:highlight w:val="none"/>
        </w:rPr>
        <w:t>年</w:t>
      </w:r>
      <w:r>
        <w:rPr>
          <w:rFonts w:hint="eastAsia" w:ascii="黑体" w:hAnsi="黑体" w:eastAsia="黑体" w:cs="黑体"/>
          <w:sz w:val="28"/>
          <w:szCs w:val="28"/>
          <w:highlight w:val="none"/>
          <w:u w:val="single"/>
          <w:lang w:val="en-US" w:eastAsia="zh-CN"/>
        </w:rPr>
        <w:t xml:space="preserve">    </w:t>
      </w:r>
      <w:r>
        <w:rPr>
          <w:rFonts w:ascii="黑体" w:hAnsi="黑体" w:eastAsia="黑体" w:cs="黑体"/>
          <w:spacing w:val="2"/>
          <w:sz w:val="28"/>
          <w:szCs w:val="28"/>
          <w:highlight w:val="none"/>
        </w:rPr>
        <w:t>月</w:t>
      </w:r>
      <w:r>
        <w:rPr>
          <w:rFonts w:hint="eastAsia" w:ascii="黑体" w:hAnsi="黑体" w:eastAsia="黑体" w:cs="黑体"/>
          <w:sz w:val="28"/>
          <w:szCs w:val="28"/>
          <w:highlight w:val="none"/>
          <w:u w:val="single"/>
          <w:lang w:val="en-US" w:eastAsia="zh-CN"/>
        </w:rPr>
        <w:t xml:space="preserve">    </w:t>
      </w:r>
      <w:r>
        <w:rPr>
          <w:rFonts w:ascii="黑体" w:hAnsi="黑体" w:eastAsia="黑体" w:cs="黑体"/>
          <w:spacing w:val="2"/>
          <w:sz w:val="28"/>
          <w:szCs w:val="28"/>
          <w:highlight w:val="none"/>
        </w:rPr>
        <w:t>日</w:t>
      </w:r>
    </w:p>
    <w:p w14:paraId="50DC1B69">
      <w:pPr>
        <w:widowControl/>
        <w:jc w:val="left"/>
        <w:rPr>
          <w:rFonts w:ascii="黑体" w:hAnsi="黑体" w:eastAsia="黑体" w:cs="黑体"/>
          <w:spacing w:val="2"/>
          <w:sz w:val="28"/>
          <w:szCs w:val="28"/>
          <w:highlight w:val="none"/>
        </w:rPr>
      </w:pPr>
      <w:r>
        <w:rPr>
          <w:rFonts w:ascii="黑体" w:hAnsi="黑体" w:eastAsia="黑体" w:cs="黑体"/>
          <w:spacing w:val="2"/>
          <w:sz w:val="28"/>
          <w:szCs w:val="28"/>
          <w:highlight w:val="none"/>
        </w:rPr>
        <w:br w:type="page"/>
      </w:r>
    </w:p>
    <w:p w14:paraId="1BCBDFE3">
      <w:pPr>
        <w:pStyle w:val="4"/>
        <w:rPr>
          <w:b/>
          <w:bCs w:val="0"/>
          <w:sz w:val="44"/>
          <w:szCs w:val="44"/>
        </w:rPr>
      </w:pPr>
      <w:bookmarkStart w:id="43" w:name="_Toc12049"/>
      <w:bookmarkStart w:id="44" w:name="_Toc173857145"/>
      <w:r>
        <w:rPr>
          <w:rFonts w:hint="eastAsia"/>
          <w:b/>
          <w:bCs w:val="0"/>
          <w:sz w:val="44"/>
          <w:szCs w:val="44"/>
          <w:lang w:val="en-US" w:eastAsia="zh-CN"/>
        </w:rPr>
        <w:t xml:space="preserve">第一部分  </w:t>
      </w:r>
      <w:r>
        <w:rPr>
          <w:b/>
          <w:bCs w:val="0"/>
          <w:sz w:val="44"/>
          <w:szCs w:val="44"/>
        </w:rPr>
        <w:t>商务标部分</w:t>
      </w:r>
      <w:r>
        <w:rPr>
          <w:rFonts w:hint="eastAsia"/>
          <w:b/>
          <w:bCs w:val="0"/>
          <w:sz w:val="44"/>
          <w:szCs w:val="44"/>
          <w:lang w:eastAsia="zh-CN"/>
        </w:rPr>
        <w:t>（</w:t>
      </w:r>
      <w:r>
        <w:rPr>
          <w:rFonts w:hint="eastAsia"/>
          <w:b/>
          <w:bCs w:val="0"/>
          <w:sz w:val="44"/>
          <w:szCs w:val="44"/>
          <w:lang w:val="en-US" w:eastAsia="zh-CN"/>
        </w:rPr>
        <w:t>明标</w:t>
      </w:r>
      <w:r>
        <w:rPr>
          <w:rFonts w:hint="eastAsia"/>
          <w:b/>
          <w:bCs w:val="0"/>
          <w:sz w:val="44"/>
          <w:szCs w:val="44"/>
          <w:lang w:eastAsia="zh-CN"/>
        </w:rPr>
        <w:t>）</w:t>
      </w:r>
      <w:bookmarkEnd w:id="43"/>
    </w:p>
    <w:p w14:paraId="1DC886A6">
      <w:pPr>
        <w:bidi w:val="0"/>
        <w:rPr>
          <w:rFonts w:hint="eastAsia"/>
        </w:rPr>
      </w:pPr>
    </w:p>
    <w:p w14:paraId="0596A09D">
      <w:pPr>
        <w:spacing w:line="540" w:lineRule="exact"/>
        <w:jc w:val="center"/>
        <w:outlineLvl w:val="1"/>
        <w:rPr>
          <w:rFonts w:ascii="宋体" w:hAnsi="宋体" w:eastAsia="宋体" w:cs="宋体"/>
          <w:b/>
          <w:sz w:val="32"/>
          <w:szCs w:val="24"/>
          <w:highlight w:val="none"/>
        </w:rPr>
      </w:pPr>
      <w:bookmarkStart w:id="45" w:name="_Toc1335"/>
      <w:bookmarkStart w:id="46" w:name="_Toc11087"/>
      <w:r>
        <w:rPr>
          <w:rFonts w:hint="eastAsia" w:ascii="宋体" w:hAnsi="宋体" w:eastAsia="宋体" w:cs="宋体"/>
          <w:b/>
          <w:sz w:val="32"/>
          <w:szCs w:val="24"/>
          <w:highlight w:val="none"/>
        </w:rPr>
        <w:t>目录</w:t>
      </w:r>
      <w:bookmarkEnd w:id="44"/>
      <w:bookmarkEnd w:id="45"/>
      <w:bookmarkEnd w:id="46"/>
    </w:p>
    <w:p w14:paraId="1748B290">
      <w:pPr>
        <w:spacing w:line="5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一、投标函</w:t>
      </w:r>
    </w:p>
    <w:p w14:paraId="435ABD09">
      <w:pPr>
        <w:spacing w:line="5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二、开标一览表</w:t>
      </w:r>
    </w:p>
    <w:p w14:paraId="02F2ED0A">
      <w:pPr>
        <w:spacing w:line="5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三、法定代表人身份证明书</w:t>
      </w:r>
    </w:p>
    <w:p w14:paraId="158907F3">
      <w:pPr>
        <w:spacing w:line="5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四、法定代表人授权书</w:t>
      </w:r>
    </w:p>
    <w:p w14:paraId="16D0AF06">
      <w:pPr>
        <w:spacing w:line="5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五、投标承诺函</w:t>
      </w:r>
    </w:p>
    <w:p w14:paraId="4BCC8477">
      <w:pPr>
        <w:spacing w:line="5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六、资格证明文件部分</w:t>
      </w:r>
    </w:p>
    <w:p w14:paraId="3411C95A">
      <w:pPr>
        <w:spacing w:line="5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（一）供应商信用承诺函</w:t>
      </w:r>
    </w:p>
    <w:p w14:paraId="51070464">
      <w:pPr>
        <w:spacing w:line="5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（二）特定资格要求证明材料</w:t>
      </w:r>
    </w:p>
    <w:p w14:paraId="7A5F03D8">
      <w:pPr>
        <w:spacing w:line="540" w:lineRule="exact"/>
        <w:ind w:firstLine="480" w:firstLineChars="200"/>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七</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综合部分</w:t>
      </w:r>
    </w:p>
    <w:p w14:paraId="514457C0">
      <w:pPr>
        <w:spacing w:line="5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八</w:t>
      </w:r>
      <w:r>
        <w:rPr>
          <w:rFonts w:hint="eastAsia" w:ascii="宋体" w:hAnsi="宋体" w:eastAsia="宋体" w:cs="宋体"/>
          <w:sz w:val="24"/>
          <w:szCs w:val="24"/>
          <w:highlight w:val="none"/>
        </w:rPr>
        <w:t>、政府采购供应商质量保证承诺函</w:t>
      </w:r>
    </w:p>
    <w:p w14:paraId="02B3E6C8">
      <w:pPr>
        <w:spacing w:line="5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九</w:t>
      </w:r>
      <w:r>
        <w:rPr>
          <w:rFonts w:hint="eastAsia" w:ascii="宋体" w:hAnsi="宋体" w:eastAsia="宋体" w:cs="宋体"/>
          <w:sz w:val="24"/>
          <w:szCs w:val="24"/>
          <w:highlight w:val="none"/>
        </w:rPr>
        <w:t>、投标人认为有必要的其他材料</w:t>
      </w:r>
    </w:p>
    <w:p w14:paraId="77258E67">
      <w:pPr>
        <w:spacing w:line="540" w:lineRule="exact"/>
        <w:ind w:firstLine="480" w:firstLineChars="200"/>
        <w:rPr>
          <w:rFonts w:ascii="宋体" w:hAnsi="宋体" w:eastAsia="宋体" w:cs="宋体"/>
          <w:sz w:val="24"/>
          <w:szCs w:val="24"/>
          <w:highlight w:val="none"/>
        </w:rPr>
      </w:pPr>
    </w:p>
    <w:p w14:paraId="554B7F66">
      <w:pPr>
        <w:widowControl/>
        <w:jc w:val="left"/>
        <w:rPr>
          <w:rFonts w:ascii="宋体" w:hAnsi="宋体" w:eastAsia="宋体" w:cs="宋体"/>
          <w:bCs/>
          <w:sz w:val="24"/>
          <w:szCs w:val="32"/>
          <w:highlight w:val="none"/>
        </w:rPr>
      </w:pPr>
      <w:r>
        <w:rPr>
          <w:rFonts w:ascii="宋体" w:hAnsi="宋体" w:eastAsia="宋体" w:cs="宋体"/>
          <w:bCs/>
          <w:sz w:val="24"/>
          <w:szCs w:val="32"/>
          <w:highlight w:val="none"/>
        </w:rPr>
        <w:br w:type="page"/>
      </w:r>
    </w:p>
    <w:p w14:paraId="56A57029">
      <w:pPr>
        <w:pStyle w:val="5"/>
        <w:bidi w:val="0"/>
        <w:jc w:val="center"/>
      </w:pPr>
      <w:bookmarkStart w:id="47" w:name="_Toc4112"/>
      <w:bookmarkStart w:id="48" w:name="_Toc14074"/>
      <w:bookmarkStart w:id="49" w:name="_Toc14780"/>
      <w:bookmarkStart w:id="50" w:name="_Toc173857146"/>
      <w:bookmarkStart w:id="51" w:name="_Toc13491"/>
      <w:bookmarkStart w:id="52" w:name="_Toc17884"/>
      <w:r>
        <w:rPr>
          <w:rFonts w:hint="eastAsia"/>
        </w:rPr>
        <w:t>一、投标函</w:t>
      </w:r>
      <w:bookmarkEnd w:id="47"/>
      <w:bookmarkEnd w:id="48"/>
      <w:bookmarkEnd w:id="49"/>
      <w:bookmarkEnd w:id="50"/>
      <w:bookmarkEnd w:id="51"/>
      <w:bookmarkEnd w:id="52"/>
    </w:p>
    <w:p w14:paraId="71903470">
      <w:pPr>
        <w:snapToGrid w:val="0"/>
        <w:spacing w:line="500" w:lineRule="exact"/>
        <w:rPr>
          <w:rFonts w:ascii="宋体" w:hAnsi="宋体" w:eastAsia="宋体" w:cs="宋体"/>
          <w:sz w:val="24"/>
          <w:szCs w:val="24"/>
          <w:highlight w:val="none"/>
        </w:rPr>
      </w:pPr>
      <w:r>
        <w:rPr>
          <w:rFonts w:hint="eastAsia" w:ascii="宋体" w:hAnsi="宋体" w:eastAsia="宋体" w:cs="宋体"/>
          <w:sz w:val="24"/>
          <w:szCs w:val="24"/>
          <w:highlight w:val="none"/>
          <w:u w:val="single"/>
        </w:rPr>
        <w:t>济源市人民医院</w:t>
      </w:r>
      <w:r>
        <w:rPr>
          <w:rFonts w:hint="eastAsia" w:ascii="宋体" w:hAnsi="宋体" w:eastAsia="宋体" w:cs="宋体"/>
          <w:sz w:val="24"/>
          <w:szCs w:val="24"/>
          <w:highlight w:val="none"/>
        </w:rPr>
        <w:t>：</w:t>
      </w:r>
    </w:p>
    <w:p w14:paraId="4A834DA7">
      <w:pPr>
        <w:snapToGrid w:val="0"/>
        <w:spacing w:line="50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经研究，我方决定参加</w:t>
      </w:r>
      <w:r>
        <w:rPr>
          <w:rFonts w:hint="eastAsia" w:ascii="宋体" w:hAnsi="宋体" w:eastAsia="宋体" w:cs="宋体"/>
          <w:sz w:val="24"/>
          <w:szCs w:val="24"/>
          <w:highlight w:val="none"/>
          <w:u w:val="single"/>
          <w:lang w:eastAsia="zh-CN"/>
        </w:rPr>
        <w:t>济源市人民医院保安服务采购项目</w:t>
      </w:r>
      <w:r>
        <w:rPr>
          <w:rFonts w:hint="eastAsia" w:ascii="宋体" w:hAnsi="宋体" w:eastAsia="宋体" w:cs="宋体"/>
          <w:sz w:val="24"/>
          <w:szCs w:val="24"/>
          <w:highlight w:val="none"/>
        </w:rPr>
        <w:t>采购活动并提交投标文件。为此，我方郑重声明以下诸点，并负法律责任。</w:t>
      </w:r>
    </w:p>
    <w:p w14:paraId="0563FF08">
      <w:pPr>
        <w:snapToGrid w:val="0"/>
        <w:spacing w:line="50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1、按招标文件规定的各项要求，我单位经研究招标文件后，</w:t>
      </w:r>
      <w:r>
        <w:rPr>
          <w:rFonts w:hint="eastAsia" w:ascii="宋体" w:hAnsi="宋体" w:eastAsia="宋体" w:cs="宋体"/>
          <w:b/>
          <w:bCs/>
          <w:sz w:val="24"/>
          <w:szCs w:val="24"/>
          <w:highlight w:val="none"/>
        </w:rPr>
        <w:t>愿以</w:t>
      </w:r>
      <w:r>
        <w:rPr>
          <w:rFonts w:hint="eastAsia" w:ascii="宋体" w:hAnsi="宋体" w:eastAsia="宋体" w:cs="宋体"/>
          <w:b/>
          <w:bCs/>
          <w:sz w:val="24"/>
          <w:szCs w:val="24"/>
          <w:highlight w:val="none"/>
          <w:u w:val="single"/>
        </w:rPr>
        <w:t>人民币</w:t>
      </w:r>
      <w:r>
        <w:rPr>
          <w:rFonts w:hint="eastAsia" w:ascii="宋体" w:hAnsi="宋体" w:eastAsia="宋体" w:cs="宋体"/>
          <w:b/>
          <w:bCs/>
          <w:sz w:val="24"/>
          <w:szCs w:val="24"/>
          <w:highlight w:val="none"/>
          <w:u w:val="single"/>
          <w:lang w:val="en-US" w:eastAsia="zh-CN"/>
        </w:rPr>
        <w:t xml:space="preserve">   </w:t>
      </w:r>
      <w:r>
        <w:rPr>
          <w:rFonts w:hint="eastAsia" w:ascii="宋体" w:hAnsi="宋体" w:eastAsia="宋体" w:cs="宋体"/>
          <w:sz w:val="24"/>
          <w:szCs w:val="24"/>
          <w:highlight w:val="none"/>
          <w:u w:val="single"/>
        </w:rPr>
        <w:t>(大写)</w:t>
      </w:r>
      <w:r>
        <w:rPr>
          <w:rFonts w:hint="eastAsia" w:ascii="宋体" w:hAnsi="宋体" w:eastAsia="宋体" w:cs="宋体"/>
          <w:sz w:val="24"/>
          <w:szCs w:val="24"/>
          <w:highlight w:val="none"/>
        </w:rPr>
        <w:t>（小写：</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）的总报价，按招标文件的要求提供本次采购范围内的全部货物和服务。</w:t>
      </w:r>
    </w:p>
    <w:p w14:paraId="1C2EAB83">
      <w:pPr>
        <w:snapToGrid w:val="0"/>
        <w:spacing w:line="50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2、投标文件有效期为提交投标文件截止之日起</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日历天，我方承诺在投标有效期内不修改、撤销投标文件。</w:t>
      </w:r>
    </w:p>
    <w:p w14:paraId="248EF054">
      <w:pPr>
        <w:snapToGrid w:val="0"/>
        <w:spacing w:line="50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3、如果我方的投标文件被接受，我们将履行招标文件中规定的每一项要求，并按我们投标文件中的承诺按期、按质、按量提供货物和服务。</w:t>
      </w:r>
    </w:p>
    <w:p w14:paraId="5F16B81D">
      <w:pPr>
        <w:snapToGrid w:val="0"/>
        <w:spacing w:line="50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4、我方愿按招标文件“投标人须知”规定向采购代理机构足额交纳采购代理服务费。</w:t>
      </w:r>
    </w:p>
    <w:p w14:paraId="1691F7DD">
      <w:pPr>
        <w:snapToGrid w:val="0"/>
        <w:spacing w:line="50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5、我方愿按《中华人民共和国民法典》履行自己的全部责任。</w:t>
      </w:r>
    </w:p>
    <w:p w14:paraId="28FCC82E">
      <w:pPr>
        <w:snapToGrid w:val="0"/>
        <w:spacing w:line="50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6、我们同意按招标文件规定遵守贵单位有关采购的各项规定。</w:t>
      </w:r>
    </w:p>
    <w:p w14:paraId="1CA98FAC">
      <w:pPr>
        <w:snapToGrid w:val="0"/>
        <w:spacing w:line="50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7、我方若未成为中标人，贵单位有权不做任何解释。</w:t>
      </w:r>
    </w:p>
    <w:p w14:paraId="50195DC3">
      <w:pPr>
        <w:spacing w:line="50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地址：</w:t>
      </w:r>
    </w:p>
    <w:p w14:paraId="1F4A9C9A">
      <w:pPr>
        <w:spacing w:line="50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邮政编码：</w:t>
      </w:r>
    </w:p>
    <w:p w14:paraId="2975CF59">
      <w:pPr>
        <w:snapToGrid w:val="0"/>
        <w:spacing w:line="50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电话：</w:t>
      </w:r>
    </w:p>
    <w:p w14:paraId="6AB665DB">
      <w:pPr>
        <w:snapToGrid w:val="0"/>
        <w:spacing w:line="500" w:lineRule="exact"/>
        <w:ind w:firstLine="480" w:firstLineChars="200"/>
        <w:rPr>
          <w:rFonts w:ascii="宋体" w:hAnsi="宋体" w:eastAsia="宋体" w:cs="宋体"/>
          <w:sz w:val="24"/>
          <w:szCs w:val="24"/>
          <w:highlight w:val="none"/>
        </w:rPr>
      </w:pPr>
    </w:p>
    <w:p w14:paraId="677AC64C">
      <w:pPr>
        <w:snapToGrid w:val="0"/>
        <w:spacing w:line="500" w:lineRule="exact"/>
        <w:ind w:firstLine="480" w:firstLineChars="200"/>
        <w:rPr>
          <w:rFonts w:ascii="宋体" w:hAnsi="宋体" w:eastAsia="宋体" w:cs="宋体"/>
          <w:sz w:val="24"/>
          <w:szCs w:val="24"/>
          <w:highlight w:val="none"/>
        </w:rPr>
      </w:pPr>
    </w:p>
    <w:p w14:paraId="4391CE1B">
      <w:pPr>
        <w:spacing w:line="500" w:lineRule="exact"/>
        <w:ind w:firstLine="3360" w:firstLineChars="1400"/>
        <w:rPr>
          <w:rFonts w:hint="eastAsia" w:ascii="宋体" w:hAnsi="宋体" w:eastAsia="宋体" w:cs="宋体"/>
          <w:sz w:val="24"/>
          <w:szCs w:val="24"/>
          <w:highlight w:val="none"/>
          <w:u w:val="single"/>
          <w:lang w:val="en-US" w:eastAsia="zh-CN"/>
        </w:rPr>
      </w:pPr>
      <w:r>
        <w:rPr>
          <w:rFonts w:hint="eastAsia" w:ascii="宋体" w:hAnsi="宋体" w:eastAsia="宋体" w:cs="宋体"/>
          <w:sz w:val="24"/>
          <w:szCs w:val="24"/>
          <w:highlight w:val="none"/>
        </w:rPr>
        <w:t>供应商单位全称（签章）：</w:t>
      </w:r>
      <w:r>
        <w:rPr>
          <w:rFonts w:hint="eastAsia" w:ascii="宋体" w:hAnsi="宋体" w:eastAsia="宋体" w:cs="宋体"/>
          <w:sz w:val="24"/>
          <w:szCs w:val="24"/>
          <w:highlight w:val="none"/>
          <w:u w:val="single"/>
          <w:lang w:val="en-US" w:eastAsia="zh-CN"/>
        </w:rPr>
        <w:t xml:space="preserve">            </w:t>
      </w:r>
    </w:p>
    <w:p w14:paraId="6CF6F079">
      <w:pPr>
        <w:spacing w:line="500" w:lineRule="exact"/>
        <w:ind w:firstLine="3360" w:firstLineChars="1400"/>
        <w:rPr>
          <w:rFonts w:hint="default" w:ascii="宋体" w:hAnsi="宋体" w:eastAsia="宋体" w:cs="宋体"/>
          <w:sz w:val="24"/>
          <w:szCs w:val="24"/>
          <w:highlight w:val="none"/>
          <w:u w:val="single"/>
          <w:lang w:val="en-US" w:eastAsia="zh-CN"/>
        </w:rPr>
      </w:pPr>
      <w:r>
        <w:rPr>
          <w:rFonts w:hint="eastAsia" w:ascii="宋体" w:hAnsi="宋体" w:eastAsia="宋体" w:cs="宋体"/>
          <w:sz w:val="24"/>
          <w:szCs w:val="24"/>
          <w:highlight w:val="none"/>
        </w:rPr>
        <w:t>法定代表人（签章）：</w:t>
      </w:r>
      <w:r>
        <w:rPr>
          <w:rFonts w:hint="eastAsia" w:ascii="宋体" w:hAnsi="宋体" w:eastAsia="宋体" w:cs="宋体"/>
          <w:sz w:val="24"/>
          <w:szCs w:val="24"/>
          <w:highlight w:val="none"/>
          <w:u w:val="single"/>
          <w:lang w:val="en-US" w:eastAsia="zh-CN"/>
        </w:rPr>
        <w:t xml:space="preserve">                </w:t>
      </w:r>
    </w:p>
    <w:p w14:paraId="46278D07">
      <w:pPr>
        <w:snapToGrid w:val="0"/>
        <w:spacing w:line="500" w:lineRule="exact"/>
        <w:ind w:firstLine="480" w:firstLineChars="200"/>
        <w:jc w:val="right"/>
        <w:rPr>
          <w:rFonts w:ascii="宋体" w:hAnsi="宋体" w:eastAsia="宋体" w:cs="宋体"/>
          <w:sz w:val="24"/>
          <w:szCs w:val="24"/>
          <w:highlight w:val="none"/>
        </w:rPr>
      </w:pPr>
      <w:r>
        <w:rPr>
          <w:rFonts w:hint="eastAsia" w:ascii="宋体" w:hAnsi="宋体" w:eastAsia="宋体" w:cs="宋体"/>
          <w:sz w:val="24"/>
          <w:szCs w:val="24"/>
          <w:highlight w:val="none"/>
        </w:rPr>
        <w:t>日期：</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日</w:t>
      </w:r>
    </w:p>
    <w:p w14:paraId="690EBC32">
      <w:pPr>
        <w:widowControl/>
        <w:jc w:val="left"/>
        <w:rPr>
          <w:rFonts w:ascii="宋体" w:hAnsi="宋体" w:eastAsia="宋体" w:cs="宋体"/>
          <w:sz w:val="24"/>
          <w:szCs w:val="24"/>
          <w:highlight w:val="none"/>
        </w:rPr>
      </w:pPr>
      <w:r>
        <w:rPr>
          <w:rFonts w:ascii="宋体" w:hAnsi="宋体" w:eastAsia="宋体" w:cs="宋体"/>
          <w:sz w:val="24"/>
          <w:szCs w:val="24"/>
          <w:highlight w:val="none"/>
        </w:rPr>
        <w:br w:type="page"/>
      </w:r>
    </w:p>
    <w:p w14:paraId="15F7A9BD">
      <w:pPr>
        <w:pStyle w:val="5"/>
        <w:bidi w:val="0"/>
      </w:pPr>
      <w:bookmarkStart w:id="53" w:name="_Toc989"/>
      <w:r>
        <w:t>二、报价部分</w:t>
      </w:r>
      <w:bookmarkEnd w:id="53"/>
    </w:p>
    <w:p w14:paraId="261C5592">
      <w:pPr>
        <w:bidi w:val="0"/>
        <w:jc w:val="center"/>
        <w:rPr>
          <w:b/>
          <w:bCs/>
          <w:sz w:val="30"/>
          <w:szCs w:val="30"/>
        </w:rPr>
      </w:pPr>
      <w:r>
        <w:rPr>
          <w:b/>
          <w:bCs/>
          <w:sz w:val="30"/>
          <w:szCs w:val="30"/>
        </w:rPr>
        <w:t>（一）开标一览表</w:t>
      </w:r>
    </w:p>
    <w:p w14:paraId="7EBDC9BE">
      <w:pPr>
        <w:snapToGrid w:val="0"/>
        <w:spacing w:line="500" w:lineRule="exact"/>
        <w:rPr>
          <w:rFonts w:hint="eastAsia" w:ascii="宋体" w:hAnsi="宋体" w:eastAsia="宋体" w:cs="宋体"/>
          <w:bCs/>
          <w:sz w:val="24"/>
          <w:szCs w:val="32"/>
          <w:highlight w:val="none"/>
          <w:lang w:eastAsia="zh-CN"/>
        </w:rPr>
      </w:pPr>
      <w:r>
        <w:rPr>
          <w:rFonts w:hint="eastAsia" w:ascii="宋体" w:hAnsi="宋体" w:eastAsia="宋体" w:cs="宋体"/>
          <w:bCs/>
          <w:sz w:val="24"/>
          <w:szCs w:val="32"/>
          <w:highlight w:val="none"/>
        </w:rPr>
        <w:t>项目名称：</w:t>
      </w:r>
      <w:r>
        <w:rPr>
          <w:rFonts w:hint="eastAsia" w:ascii="宋体" w:hAnsi="宋体" w:eastAsia="宋体" w:cs="宋体"/>
          <w:bCs/>
          <w:sz w:val="24"/>
          <w:szCs w:val="32"/>
          <w:highlight w:val="none"/>
          <w:lang w:eastAsia="zh-CN"/>
        </w:rPr>
        <w:t>济源市人民医院保安服务采购项目</w:t>
      </w:r>
    </w:p>
    <w:p w14:paraId="5F32C2AD">
      <w:pPr>
        <w:snapToGrid w:val="0"/>
        <w:spacing w:line="500" w:lineRule="exact"/>
        <w:rPr>
          <w:rFonts w:ascii="宋体" w:hAnsi="宋体" w:eastAsia="宋体" w:cs="宋体"/>
          <w:bCs/>
          <w:sz w:val="24"/>
          <w:szCs w:val="32"/>
          <w:highlight w:val="none"/>
        </w:rPr>
      </w:pPr>
      <w:r>
        <w:rPr>
          <w:rFonts w:hint="eastAsia" w:ascii="宋体" w:hAnsi="宋体" w:eastAsia="宋体" w:cs="宋体"/>
          <w:bCs/>
          <w:sz w:val="24"/>
          <w:szCs w:val="32"/>
          <w:highlight w:val="none"/>
        </w:rPr>
        <w:t>项目编号：济源采购-202</w:t>
      </w:r>
      <w:r>
        <w:rPr>
          <w:rFonts w:hint="eastAsia" w:ascii="宋体" w:hAnsi="宋体" w:eastAsia="宋体" w:cs="宋体"/>
          <w:bCs/>
          <w:sz w:val="24"/>
          <w:szCs w:val="32"/>
          <w:highlight w:val="none"/>
          <w:lang w:val="en-US" w:eastAsia="zh-CN"/>
        </w:rPr>
        <w:t xml:space="preserve">6-101                               </w:t>
      </w:r>
      <w:r>
        <w:rPr>
          <w:rFonts w:hint="eastAsia" w:ascii="宋体" w:hAnsi="宋体" w:eastAsia="宋体" w:cs="宋体"/>
          <w:bCs/>
          <w:sz w:val="24"/>
          <w:szCs w:val="32"/>
          <w:highlight w:val="none"/>
        </w:rPr>
        <w:t>单位：人民币(元)</w:t>
      </w:r>
    </w:p>
    <w:tbl>
      <w:tblPr>
        <w:tblStyle w:val="45"/>
        <w:tblpPr w:leftFromText="180" w:rightFromText="180" w:vertAnchor="text" w:horzAnchor="page" w:tblpX="1441" w:tblpY="135"/>
        <w:tblOverlap w:val="never"/>
        <w:tblW w:w="9259"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3042"/>
        <w:gridCol w:w="6217"/>
      </w:tblGrid>
      <w:tr w14:paraId="6B13CAA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165" w:hRule="atLeast"/>
        </w:trPr>
        <w:tc>
          <w:tcPr>
            <w:tcW w:w="3042" w:type="dxa"/>
            <w:tcBorders>
              <w:tl2br w:val="nil"/>
              <w:tr2bl w:val="nil"/>
            </w:tcBorders>
            <w:vAlign w:val="center"/>
          </w:tcPr>
          <w:p w14:paraId="7607D8FB">
            <w:pPr>
              <w:adjustRightInd w:val="0"/>
              <w:snapToGrid w:val="0"/>
              <w:spacing w:line="500" w:lineRule="exact"/>
              <w:jc w:val="center"/>
              <w:rPr>
                <w:rFonts w:ascii="宋体" w:hAnsi="宋体" w:eastAsia="宋体" w:cs="宋体"/>
                <w:kern w:val="0"/>
                <w:sz w:val="24"/>
                <w:szCs w:val="24"/>
                <w:highlight w:val="none"/>
              </w:rPr>
            </w:pPr>
            <w:r>
              <w:rPr>
                <w:rFonts w:ascii="宋体" w:hAnsi="宋体" w:eastAsia="宋体" w:cs="宋体"/>
                <w:spacing w:val="-2"/>
                <w:kern w:val="0"/>
                <w:sz w:val="24"/>
                <w:szCs w:val="24"/>
                <w:highlight w:val="none"/>
              </w:rPr>
              <w:t>投标人名称</w:t>
            </w:r>
          </w:p>
        </w:tc>
        <w:tc>
          <w:tcPr>
            <w:tcW w:w="6217" w:type="dxa"/>
            <w:tcBorders>
              <w:tl2br w:val="nil"/>
              <w:tr2bl w:val="nil"/>
            </w:tcBorders>
            <w:vAlign w:val="center"/>
          </w:tcPr>
          <w:p w14:paraId="36785C47">
            <w:pPr>
              <w:jc w:val="center"/>
              <w:rPr>
                <w:rFonts w:ascii="Times New Roman" w:hAnsi="Times New Roman" w:eastAsia="宋体" w:cs="Times New Roman"/>
                <w:kern w:val="0"/>
                <w:sz w:val="20"/>
                <w:szCs w:val="20"/>
                <w:highlight w:val="none"/>
              </w:rPr>
            </w:pPr>
          </w:p>
        </w:tc>
      </w:tr>
      <w:tr w14:paraId="75045CE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137" w:hRule="atLeast"/>
        </w:trPr>
        <w:tc>
          <w:tcPr>
            <w:tcW w:w="3042" w:type="dxa"/>
            <w:vMerge w:val="restart"/>
            <w:tcBorders>
              <w:tl2br w:val="nil"/>
              <w:tr2bl w:val="nil"/>
            </w:tcBorders>
            <w:vAlign w:val="center"/>
          </w:tcPr>
          <w:p w14:paraId="78800C00">
            <w:pPr>
              <w:adjustRightInd w:val="0"/>
              <w:snapToGrid w:val="0"/>
              <w:spacing w:line="500" w:lineRule="exact"/>
              <w:jc w:val="center"/>
              <w:rPr>
                <w:rFonts w:ascii="宋体" w:hAnsi="宋体" w:eastAsia="宋体" w:cs="宋体"/>
                <w:kern w:val="0"/>
                <w:sz w:val="24"/>
                <w:szCs w:val="24"/>
                <w:highlight w:val="none"/>
              </w:rPr>
            </w:pPr>
            <w:r>
              <w:rPr>
                <w:rFonts w:ascii="宋体" w:hAnsi="宋体" w:eastAsia="宋体" w:cs="宋体"/>
                <w:spacing w:val="-4"/>
                <w:kern w:val="0"/>
                <w:sz w:val="24"/>
                <w:szCs w:val="24"/>
                <w:highlight w:val="none"/>
              </w:rPr>
              <w:t>投</w:t>
            </w:r>
            <w:r>
              <w:rPr>
                <w:rFonts w:ascii="宋体" w:hAnsi="宋体" w:eastAsia="宋体" w:cs="宋体"/>
                <w:spacing w:val="-2"/>
                <w:kern w:val="0"/>
                <w:sz w:val="24"/>
                <w:szCs w:val="24"/>
                <w:highlight w:val="none"/>
              </w:rPr>
              <w:t>标报价</w:t>
            </w:r>
          </w:p>
        </w:tc>
        <w:tc>
          <w:tcPr>
            <w:tcW w:w="6217" w:type="dxa"/>
            <w:tcBorders>
              <w:tl2br w:val="nil"/>
              <w:tr2bl w:val="nil"/>
            </w:tcBorders>
            <w:vAlign w:val="center"/>
          </w:tcPr>
          <w:p w14:paraId="7C69B41B">
            <w:pPr>
              <w:spacing w:before="224" w:line="221" w:lineRule="auto"/>
              <w:ind w:left="115"/>
              <w:rPr>
                <w:rFonts w:hint="eastAsia" w:ascii="宋体" w:hAnsi="宋体" w:eastAsia="宋体" w:cs="宋体"/>
                <w:kern w:val="0"/>
                <w:sz w:val="24"/>
                <w:szCs w:val="24"/>
                <w:highlight w:val="none"/>
                <w:lang w:eastAsia="zh-CN"/>
              </w:rPr>
            </w:pPr>
            <w:r>
              <w:rPr>
                <w:rFonts w:ascii="宋体" w:hAnsi="宋体" w:eastAsia="宋体" w:cs="宋体"/>
                <w:spacing w:val="-5"/>
                <w:kern w:val="0"/>
                <w:sz w:val="24"/>
                <w:szCs w:val="24"/>
                <w:highlight w:val="none"/>
              </w:rPr>
              <w:t>小写：</w:t>
            </w:r>
          </w:p>
        </w:tc>
      </w:tr>
      <w:tr w14:paraId="2A5054A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137" w:hRule="atLeast"/>
        </w:trPr>
        <w:tc>
          <w:tcPr>
            <w:tcW w:w="3042" w:type="dxa"/>
            <w:vMerge w:val="continue"/>
            <w:tcBorders>
              <w:tl2br w:val="nil"/>
              <w:tr2bl w:val="nil"/>
            </w:tcBorders>
            <w:vAlign w:val="center"/>
          </w:tcPr>
          <w:p w14:paraId="0291D2EF">
            <w:pPr>
              <w:adjustRightInd w:val="0"/>
              <w:snapToGrid w:val="0"/>
              <w:spacing w:line="500" w:lineRule="exact"/>
              <w:jc w:val="center"/>
              <w:rPr>
                <w:rFonts w:ascii="Times New Roman" w:hAnsi="Times New Roman" w:eastAsia="宋体" w:cs="Times New Roman"/>
                <w:kern w:val="0"/>
                <w:sz w:val="20"/>
                <w:szCs w:val="20"/>
                <w:highlight w:val="none"/>
              </w:rPr>
            </w:pPr>
          </w:p>
        </w:tc>
        <w:tc>
          <w:tcPr>
            <w:tcW w:w="6217" w:type="dxa"/>
            <w:tcBorders>
              <w:tl2br w:val="nil"/>
              <w:tr2bl w:val="nil"/>
            </w:tcBorders>
            <w:vAlign w:val="center"/>
          </w:tcPr>
          <w:p w14:paraId="1A740CDA">
            <w:pPr>
              <w:spacing w:before="224" w:line="221" w:lineRule="auto"/>
              <w:ind w:left="111"/>
              <w:rPr>
                <w:rFonts w:hint="eastAsia" w:ascii="宋体" w:hAnsi="宋体" w:eastAsia="宋体" w:cs="宋体"/>
                <w:kern w:val="0"/>
                <w:sz w:val="24"/>
                <w:szCs w:val="24"/>
                <w:highlight w:val="none"/>
                <w:lang w:eastAsia="zh-CN"/>
              </w:rPr>
            </w:pPr>
            <w:r>
              <w:rPr>
                <w:rFonts w:ascii="宋体" w:hAnsi="宋体" w:eastAsia="宋体" w:cs="宋体"/>
                <w:spacing w:val="-5"/>
                <w:kern w:val="0"/>
                <w:sz w:val="24"/>
                <w:szCs w:val="24"/>
                <w:highlight w:val="none"/>
              </w:rPr>
              <w:t>大写：</w:t>
            </w:r>
          </w:p>
        </w:tc>
      </w:tr>
      <w:tr w14:paraId="62E31E1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137" w:hRule="atLeast"/>
        </w:trPr>
        <w:tc>
          <w:tcPr>
            <w:tcW w:w="3042" w:type="dxa"/>
            <w:tcBorders>
              <w:tl2br w:val="nil"/>
              <w:tr2bl w:val="nil"/>
            </w:tcBorders>
            <w:vAlign w:val="center"/>
          </w:tcPr>
          <w:p w14:paraId="3B03E4A2">
            <w:pPr>
              <w:adjustRightInd w:val="0"/>
              <w:snapToGrid w:val="0"/>
              <w:spacing w:line="500" w:lineRule="exact"/>
              <w:jc w:val="center"/>
              <w:rPr>
                <w:rFonts w:hint="eastAsia" w:ascii="宋体" w:hAnsi="宋体" w:eastAsia="宋体" w:cs="宋体"/>
                <w:spacing w:val="12"/>
                <w:kern w:val="0"/>
                <w:sz w:val="24"/>
                <w:szCs w:val="24"/>
                <w:highlight w:val="none"/>
              </w:rPr>
            </w:pPr>
            <w:r>
              <w:rPr>
                <w:rFonts w:hint="eastAsia" w:ascii="宋体" w:hAnsi="宋体" w:eastAsia="宋体" w:cs="宋体"/>
                <w:spacing w:val="12"/>
                <w:kern w:val="0"/>
                <w:sz w:val="24"/>
                <w:szCs w:val="24"/>
                <w:highlight w:val="none"/>
              </w:rPr>
              <w:t>合同履行期限</w:t>
            </w:r>
          </w:p>
        </w:tc>
        <w:tc>
          <w:tcPr>
            <w:tcW w:w="6217" w:type="dxa"/>
            <w:tcBorders>
              <w:tl2br w:val="nil"/>
              <w:tr2bl w:val="nil"/>
            </w:tcBorders>
            <w:vAlign w:val="center"/>
          </w:tcPr>
          <w:p w14:paraId="4C1303F2">
            <w:pPr>
              <w:spacing w:before="225" w:line="217" w:lineRule="auto"/>
              <w:jc w:val="center"/>
              <w:rPr>
                <w:rFonts w:ascii="宋体" w:hAnsi="宋体" w:eastAsia="宋体" w:cs="宋体"/>
                <w:kern w:val="0"/>
                <w:sz w:val="24"/>
                <w:szCs w:val="24"/>
                <w:highlight w:val="none"/>
              </w:rPr>
            </w:pPr>
          </w:p>
        </w:tc>
      </w:tr>
      <w:tr w14:paraId="0AB80F4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137" w:hRule="atLeast"/>
        </w:trPr>
        <w:tc>
          <w:tcPr>
            <w:tcW w:w="3042" w:type="dxa"/>
            <w:tcBorders>
              <w:tl2br w:val="nil"/>
              <w:tr2bl w:val="nil"/>
            </w:tcBorders>
            <w:vAlign w:val="center"/>
          </w:tcPr>
          <w:p w14:paraId="576A1F3C">
            <w:pPr>
              <w:adjustRightInd w:val="0"/>
              <w:snapToGrid w:val="0"/>
              <w:spacing w:line="500" w:lineRule="exact"/>
              <w:jc w:val="center"/>
              <w:rPr>
                <w:rFonts w:hint="eastAsia" w:ascii="宋体" w:hAnsi="宋体" w:eastAsia="宋体" w:cs="宋体"/>
                <w:spacing w:val="12"/>
                <w:kern w:val="0"/>
                <w:sz w:val="24"/>
                <w:szCs w:val="24"/>
                <w:highlight w:val="none"/>
              </w:rPr>
            </w:pPr>
            <w:r>
              <w:rPr>
                <w:rFonts w:hint="eastAsia" w:ascii="宋体" w:hAnsi="宋体" w:eastAsia="宋体" w:cs="宋体"/>
                <w:spacing w:val="12"/>
                <w:kern w:val="0"/>
                <w:sz w:val="24"/>
                <w:szCs w:val="24"/>
                <w:highlight w:val="none"/>
                <w:lang w:val="en-US" w:eastAsia="zh-CN"/>
              </w:rPr>
              <w:t>服务标准</w:t>
            </w:r>
          </w:p>
        </w:tc>
        <w:tc>
          <w:tcPr>
            <w:tcW w:w="6217" w:type="dxa"/>
            <w:tcBorders>
              <w:tl2br w:val="nil"/>
              <w:tr2bl w:val="nil"/>
            </w:tcBorders>
            <w:vAlign w:val="center"/>
          </w:tcPr>
          <w:p w14:paraId="789999F3">
            <w:pPr>
              <w:spacing w:before="227" w:line="220" w:lineRule="auto"/>
              <w:jc w:val="center"/>
              <w:rPr>
                <w:rFonts w:ascii="宋体" w:hAnsi="宋体" w:eastAsia="宋体" w:cs="宋体"/>
                <w:kern w:val="0"/>
                <w:sz w:val="24"/>
                <w:szCs w:val="24"/>
                <w:highlight w:val="none"/>
              </w:rPr>
            </w:pPr>
          </w:p>
        </w:tc>
      </w:tr>
      <w:tr w14:paraId="6A3D0AF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137" w:hRule="atLeast"/>
        </w:trPr>
        <w:tc>
          <w:tcPr>
            <w:tcW w:w="3042" w:type="dxa"/>
            <w:tcBorders>
              <w:tl2br w:val="nil"/>
              <w:tr2bl w:val="nil"/>
            </w:tcBorders>
            <w:vAlign w:val="center"/>
          </w:tcPr>
          <w:p w14:paraId="57412D67">
            <w:pPr>
              <w:adjustRightInd w:val="0"/>
              <w:snapToGrid w:val="0"/>
              <w:spacing w:line="500" w:lineRule="exact"/>
              <w:jc w:val="center"/>
              <w:rPr>
                <w:rFonts w:hint="eastAsia" w:ascii="宋体" w:hAnsi="宋体" w:eastAsia="宋体" w:cs="宋体"/>
                <w:spacing w:val="12"/>
                <w:kern w:val="0"/>
                <w:sz w:val="24"/>
                <w:szCs w:val="24"/>
                <w:highlight w:val="none"/>
              </w:rPr>
            </w:pPr>
            <w:r>
              <w:rPr>
                <w:rFonts w:hint="eastAsia" w:ascii="宋体" w:hAnsi="宋体" w:eastAsia="宋体" w:cs="宋体"/>
                <w:spacing w:val="12"/>
                <w:kern w:val="0"/>
                <w:sz w:val="24"/>
                <w:szCs w:val="24"/>
                <w:highlight w:val="none"/>
              </w:rPr>
              <w:t>投标有效期</w:t>
            </w:r>
          </w:p>
        </w:tc>
        <w:tc>
          <w:tcPr>
            <w:tcW w:w="6217" w:type="dxa"/>
            <w:tcBorders>
              <w:tl2br w:val="nil"/>
              <w:tr2bl w:val="nil"/>
            </w:tcBorders>
            <w:vAlign w:val="center"/>
          </w:tcPr>
          <w:p w14:paraId="7D16F67B">
            <w:pPr>
              <w:spacing w:before="227" w:line="220" w:lineRule="auto"/>
              <w:jc w:val="center"/>
              <w:rPr>
                <w:rFonts w:ascii="宋体" w:hAnsi="宋体" w:eastAsia="宋体" w:cs="宋体"/>
                <w:kern w:val="0"/>
                <w:sz w:val="24"/>
                <w:szCs w:val="24"/>
                <w:highlight w:val="none"/>
              </w:rPr>
            </w:pPr>
          </w:p>
        </w:tc>
      </w:tr>
      <w:tr w14:paraId="417EADC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137" w:hRule="atLeast"/>
        </w:trPr>
        <w:tc>
          <w:tcPr>
            <w:tcW w:w="3042" w:type="dxa"/>
            <w:tcBorders>
              <w:tl2br w:val="nil"/>
              <w:tr2bl w:val="nil"/>
            </w:tcBorders>
            <w:vAlign w:val="center"/>
          </w:tcPr>
          <w:p w14:paraId="0990C026">
            <w:pPr>
              <w:adjustRightInd w:val="0"/>
              <w:snapToGrid w:val="0"/>
              <w:spacing w:line="500" w:lineRule="exact"/>
              <w:jc w:val="center"/>
              <w:rPr>
                <w:rFonts w:hint="default" w:ascii="宋体" w:hAnsi="宋体" w:eastAsia="宋体" w:cs="宋体"/>
                <w:spacing w:val="12"/>
                <w:kern w:val="0"/>
                <w:sz w:val="24"/>
                <w:szCs w:val="24"/>
                <w:highlight w:val="none"/>
                <w:lang w:val="en-US" w:eastAsia="zh-CN"/>
              </w:rPr>
            </w:pPr>
            <w:r>
              <w:rPr>
                <w:rFonts w:hint="eastAsia" w:ascii="宋体" w:hAnsi="宋体" w:eastAsia="宋体" w:cs="宋体"/>
                <w:spacing w:val="12"/>
                <w:kern w:val="0"/>
                <w:sz w:val="24"/>
                <w:szCs w:val="24"/>
                <w:highlight w:val="none"/>
                <w:lang w:val="en-US" w:eastAsia="zh-CN"/>
              </w:rPr>
              <w:t>项目需求</w:t>
            </w:r>
          </w:p>
        </w:tc>
        <w:tc>
          <w:tcPr>
            <w:tcW w:w="6217" w:type="dxa"/>
            <w:tcBorders>
              <w:tl2br w:val="nil"/>
              <w:tr2bl w:val="nil"/>
            </w:tcBorders>
            <w:vAlign w:val="center"/>
          </w:tcPr>
          <w:p w14:paraId="73B9AAD0">
            <w:pPr>
              <w:adjustRightInd w:val="0"/>
              <w:snapToGrid w:val="0"/>
              <w:spacing w:line="500" w:lineRule="exact"/>
              <w:jc w:val="center"/>
              <w:rPr>
                <w:rFonts w:hint="default" w:ascii="宋体" w:hAnsi="宋体" w:eastAsia="宋体" w:cs="宋体"/>
                <w:spacing w:val="12"/>
                <w:kern w:val="0"/>
                <w:sz w:val="24"/>
                <w:szCs w:val="24"/>
                <w:highlight w:val="none"/>
                <w:lang w:val="en-US" w:eastAsia="zh-CN"/>
              </w:rPr>
            </w:pPr>
            <w:r>
              <w:rPr>
                <w:rFonts w:hint="eastAsia" w:ascii="宋体" w:hAnsi="宋体" w:eastAsia="宋体" w:cs="宋体"/>
                <w:spacing w:val="12"/>
                <w:w w:val="100"/>
                <w:kern w:val="0"/>
                <w:sz w:val="24"/>
                <w:szCs w:val="24"/>
                <w:highlight w:val="none"/>
                <w:lang w:val="en-US" w:eastAsia="zh-CN"/>
              </w:rPr>
              <w:t>完全响应招标文件“第四部分项目要求”中各项内容。</w:t>
            </w:r>
          </w:p>
        </w:tc>
      </w:tr>
      <w:tr w14:paraId="50F3AC2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67" w:hRule="atLeast"/>
        </w:trPr>
        <w:tc>
          <w:tcPr>
            <w:tcW w:w="3042" w:type="dxa"/>
            <w:tcBorders>
              <w:tl2br w:val="nil"/>
              <w:tr2bl w:val="nil"/>
            </w:tcBorders>
            <w:vAlign w:val="center"/>
          </w:tcPr>
          <w:p w14:paraId="0FCE6051">
            <w:pPr>
              <w:adjustRightInd w:val="0"/>
              <w:snapToGrid w:val="0"/>
              <w:spacing w:line="500" w:lineRule="exact"/>
              <w:jc w:val="center"/>
              <w:rPr>
                <w:rFonts w:ascii="宋体" w:hAnsi="宋体" w:eastAsia="宋体" w:cs="宋体"/>
                <w:kern w:val="0"/>
                <w:sz w:val="23"/>
                <w:szCs w:val="23"/>
                <w:highlight w:val="none"/>
              </w:rPr>
            </w:pPr>
            <w:r>
              <w:rPr>
                <w:rFonts w:ascii="宋体" w:hAnsi="宋体" w:eastAsia="宋体" w:cs="宋体"/>
                <w:spacing w:val="8"/>
                <w:kern w:val="0"/>
                <w:sz w:val="24"/>
                <w:szCs w:val="24"/>
                <w:highlight w:val="none"/>
              </w:rPr>
              <w:t>备注</w:t>
            </w:r>
          </w:p>
        </w:tc>
        <w:tc>
          <w:tcPr>
            <w:tcW w:w="6217" w:type="dxa"/>
            <w:tcBorders>
              <w:tl2br w:val="nil"/>
              <w:tr2bl w:val="nil"/>
            </w:tcBorders>
            <w:vAlign w:val="center"/>
          </w:tcPr>
          <w:p w14:paraId="527992FE">
            <w:pPr>
              <w:jc w:val="center"/>
              <w:rPr>
                <w:rFonts w:ascii="Times New Roman" w:hAnsi="Times New Roman" w:eastAsia="宋体" w:cs="Times New Roman"/>
                <w:kern w:val="0"/>
                <w:sz w:val="20"/>
                <w:szCs w:val="20"/>
                <w:highlight w:val="none"/>
              </w:rPr>
            </w:pPr>
          </w:p>
        </w:tc>
      </w:tr>
    </w:tbl>
    <w:p w14:paraId="4C054FB1">
      <w:pPr>
        <w:spacing w:line="500" w:lineRule="exact"/>
        <w:ind w:firstLine="3360" w:firstLineChars="1400"/>
        <w:rPr>
          <w:rFonts w:hint="eastAsia" w:ascii="宋体" w:hAnsi="宋体" w:eastAsia="宋体" w:cs="宋体"/>
          <w:sz w:val="24"/>
          <w:szCs w:val="24"/>
          <w:highlight w:val="none"/>
          <w:u w:val="single"/>
          <w:lang w:val="en-US" w:eastAsia="zh-CN"/>
        </w:rPr>
      </w:pPr>
      <w:r>
        <w:rPr>
          <w:rFonts w:hint="eastAsia" w:ascii="宋体" w:hAnsi="宋体" w:eastAsia="宋体" w:cs="宋体"/>
          <w:sz w:val="24"/>
          <w:szCs w:val="24"/>
          <w:highlight w:val="none"/>
        </w:rPr>
        <w:t>供应商单位全称（签章）：</w:t>
      </w:r>
      <w:r>
        <w:rPr>
          <w:rFonts w:hint="eastAsia" w:ascii="宋体" w:hAnsi="宋体" w:eastAsia="宋体" w:cs="宋体"/>
          <w:sz w:val="24"/>
          <w:szCs w:val="24"/>
          <w:highlight w:val="none"/>
          <w:u w:val="single"/>
          <w:lang w:val="en-US" w:eastAsia="zh-CN"/>
        </w:rPr>
        <w:t xml:space="preserve">            </w:t>
      </w:r>
    </w:p>
    <w:p w14:paraId="555BB331">
      <w:pPr>
        <w:spacing w:line="500" w:lineRule="exact"/>
        <w:ind w:firstLine="3360" w:firstLineChars="1400"/>
        <w:rPr>
          <w:rFonts w:hint="default" w:ascii="宋体" w:hAnsi="宋体" w:eastAsia="宋体" w:cs="宋体"/>
          <w:sz w:val="24"/>
          <w:szCs w:val="24"/>
          <w:highlight w:val="none"/>
          <w:u w:val="single"/>
          <w:lang w:val="en-US" w:eastAsia="zh-CN"/>
        </w:rPr>
      </w:pPr>
      <w:r>
        <w:rPr>
          <w:rFonts w:hint="eastAsia" w:ascii="宋体" w:hAnsi="宋体" w:eastAsia="宋体" w:cs="宋体"/>
          <w:sz w:val="24"/>
          <w:szCs w:val="24"/>
          <w:highlight w:val="none"/>
        </w:rPr>
        <w:t>法定代表人（签章）：</w:t>
      </w:r>
      <w:r>
        <w:rPr>
          <w:rFonts w:hint="eastAsia" w:ascii="宋体" w:hAnsi="宋体" w:eastAsia="宋体" w:cs="宋体"/>
          <w:sz w:val="24"/>
          <w:szCs w:val="24"/>
          <w:highlight w:val="none"/>
          <w:u w:val="single"/>
          <w:lang w:val="en-US" w:eastAsia="zh-CN"/>
        </w:rPr>
        <w:t xml:space="preserve">                </w:t>
      </w:r>
    </w:p>
    <w:p w14:paraId="2A788E5E">
      <w:pPr>
        <w:snapToGrid w:val="0"/>
        <w:spacing w:line="500" w:lineRule="exact"/>
        <w:ind w:firstLine="480" w:firstLineChars="200"/>
        <w:jc w:val="right"/>
        <w:rPr>
          <w:rFonts w:ascii="宋体" w:hAnsi="宋体" w:eastAsia="宋体" w:cs="宋体"/>
          <w:sz w:val="24"/>
          <w:szCs w:val="24"/>
          <w:highlight w:val="none"/>
        </w:rPr>
      </w:pPr>
      <w:r>
        <w:rPr>
          <w:rFonts w:hint="eastAsia" w:ascii="宋体" w:hAnsi="宋体" w:eastAsia="宋体" w:cs="宋体"/>
          <w:sz w:val="24"/>
          <w:szCs w:val="24"/>
          <w:highlight w:val="none"/>
        </w:rPr>
        <w:t>日期：</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日</w:t>
      </w:r>
    </w:p>
    <w:p w14:paraId="5D607241">
      <w:pPr>
        <w:widowControl/>
        <w:jc w:val="left"/>
        <w:rPr>
          <w:rFonts w:ascii="宋体" w:hAnsi="宋体" w:eastAsia="宋体" w:cs="宋体"/>
          <w:sz w:val="24"/>
          <w:szCs w:val="24"/>
          <w:highlight w:val="none"/>
        </w:rPr>
      </w:pPr>
      <w:r>
        <w:rPr>
          <w:rFonts w:ascii="宋体" w:hAnsi="宋体" w:eastAsia="宋体" w:cs="宋体"/>
          <w:sz w:val="24"/>
          <w:szCs w:val="24"/>
          <w:highlight w:val="none"/>
        </w:rPr>
        <w:br w:type="page"/>
      </w:r>
    </w:p>
    <w:p w14:paraId="262903B8">
      <w:pPr>
        <w:spacing w:before="98" w:line="219" w:lineRule="auto"/>
        <w:ind w:left="3378"/>
        <w:rPr>
          <w:rFonts w:ascii="宋体" w:hAnsi="宋体" w:eastAsia="宋体" w:cs="宋体"/>
          <w:sz w:val="30"/>
          <w:szCs w:val="30"/>
        </w:rPr>
      </w:pPr>
      <w:bookmarkStart w:id="54" w:name="_Toc18066"/>
      <w:bookmarkStart w:id="55" w:name="_Toc21955"/>
      <w:bookmarkStart w:id="56" w:name="_Toc6722"/>
      <w:bookmarkStart w:id="57" w:name="_Toc27915"/>
      <w:bookmarkStart w:id="58" w:name="_Toc173857150"/>
      <w:r>
        <w:rPr>
          <w:rFonts w:ascii="宋体" w:hAnsi="宋体" w:eastAsia="宋体" w:cs="宋体"/>
          <w:b/>
          <w:bCs/>
          <w:spacing w:val="-6"/>
          <w:sz w:val="30"/>
          <w:szCs w:val="30"/>
        </w:rPr>
        <w:t>（二）报价明细表</w:t>
      </w:r>
    </w:p>
    <w:p w14:paraId="48BEB964">
      <w:pPr>
        <w:spacing w:before="231" w:line="221" w:lineRule="auto"/>
        <w:ind w:left="33"/>
        <w:rPr>
          <w:rFonts w:hint="eastAsia" w:ascii="宋体" w:hAnsi="宋体" w:eastAsia="宋体" w:cs="宋体"/>
          <w:sz w:val="24"/>
          <w:szCs w:val="24"/>
          <w:lang w:eastAsia="zh-CN"/>
        </w:rPr>
      </w:pPr>
      <w:r>
        <w:rPr>
          <w:rFonts w:ascii="宋体" w:hAnsi="宋体" w:eastAsia="宋体" w:cs="宋体"/>
          <w:spacing w:val="-3"/>
          <w:sz w:val="24"/>
          <w:szCs w:val="24"/>
        </w:rPr>
        <w:t>项目名称：</w:t>
      </w:r>
    </w:p>
    <w:p w14:paraId="77C94B5B">
      <w:pPr>
        <w:spacing w:before="178" w:line="220" w:lineRule="auto"/>
        <w:ind w:left="33"/>
        <w:rPr>
          <w:rFonts w:hint="eastAsia" w:ascii="宋体" w:hAnsi="宋体" w:eastAsia="宋体" w:cs="宋体"/>
          <w:sz w:val="24"/>
          <w:szCs w:val="24"/>
          <w:lang w:eastAsia="zh-CN"/>
        </w:rPr>
      </w:pPr>
      <w:r>
        <w:rPr>
          <w:rFonts w:ascii="宋体" w:hAnsi="宋体" w:eastAsia="宋体" w:cs="宋体"/>
          <w:spacing w:val="-3"/>
          <w:sz w:val="24"/>
          <w:szCs w:val="24"/>
        </w:rPr>
        <w:t>项目编号：</w:t>
      </w:r>
    </w:p>
    <w:p w14:paraId="358DA57A">
      <w:pPr>
        <w:spacing w:before="179" w:line="221" w:lineRule="auto"/>
        <w:ind w:left="7111"/>
        <w:rPr>
          <w:rFonts w:ascii="宋体" w:hAnsi="宋体" w:eastAsia="宋体" w:cs="宋体"/>
          <w:sz w:val="24"/>
          <w:szCs w:val="24"/>
        </w:rPr>
      </w:pPr>
      <w:r>
        <w:rPr>
          <w:rFonts w:ascii="宋体" w:hAnsi="宋体" w:eastAsia="宋体" w:cs="宋体"/>
          <w:b/>
          <w:bCs/>
          <w:spacing w:val="-6"/>
          <w:sz w:val="24"/>
          <w:szCs w:val="24"/>
        </w:rPr>
        <w:t>单位：元</w:t>
      </w:r>
    </w:p>
    <w:p w14:paraId="11ED7BFB">
      <w:pPr>
        <w:spacing w:line="146" w:lineRule="exact"/>
      </w:pPr>
    </w:p>
    <w:tbl>
      <w:tblPr>
        <w:tblStyle w:val="45"/>
        <w:tblW w:w="9089"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71"/>
        <w:gridCol w:w="2824"/>
        <w:gridCol w:w="2870"/>
        <w:gridCol w:w="2424"/>
      </w:tblGrid>
      <w:tr w14:paraId="4E25EA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1" w:hRule="atLeast"/>
        </w:trPr>
        <w:tc>
          <w:tcPr>
            <w:tcW w:w="971" w:type="dxa"/>
            <w:tcBorders>
              <w:top w:val="single" w:color="000000" w:sz="10" w:space="0"/>
              <w:left w:val="single" w:color="000000" w:sz="10" w:space="0"/>
            </w:tcBorders>
            <w:vAlign w:val="top"/>
          </w:tcPr>
          <w:p w14:paraId="64B982BE">
            <w:pPr>
              <w:spacing w:before="208" w:line="222" w:lineRule="auto"/>
              <w:ind w:left="236"/>
              <w:rPr>
                <w:rFonts w:ascii="宋体" w:hAnsi="宋体" w:eastAsia="宋体" w:cs="宋体"/>
                <w:sz w:val="24"/>
                <w:szCs w:val="24"/>
              </w:rPr>
            </w:pPr>
            <w:r>
              <w:rPr>
                <w:rFonts w:ascii="宋体" w:hAnsi="宋体" w:eastAsia="宋体" w:cs="宋体"/>
                <w:spacing w:val="-5"/>
                <w:sz w:val="24"/>
                <w:szCs w:val="24"/>
              </w:rPr>
              <w:t>序号</w:t>
            </w:r>
          </w:p>
        </w:tc>
        <w:tc>
          <w:tcPr>
            <w:tcW w:w="2824" w:type="dxa"/>
            <w:tcBorders>
              <w:top w:val="single" w:color="000000" w:sz="10" w:space="0"/>
            </w:tcBorders>
            <w:vAlign w:val="top"/>
          </w:tcPr>
          <w:p w14:paraId="2ACE63D1">
            <w:pPr>
              <w:spacing w:before="208" w:line="220" w:lineRule="auto"/>
              <w:ind w:left="693"/>
              <w:rPr>
                <w:rFonts w:ascii="宋体" w:hAnsi="宋体" w:eastAsia="宋体" w:cs="宋体"/>
                <w:sz w:val="24"/>
                <w:szCs w:val="24"/>
              </w:rPr>
            </w:pPr>
            <w:r>
              <w:rPr>
                <w:rFonts w:ascii="宋体" w:hAnsi="宋体" w:eastAsia="宋体" w:cs="宋体"/>
                <w:spacing w:val="-3"/>
                <w:sz w:val="24"/>
                <w:szCs w:val="24"/>
              </w:rPr>
              <w:t>项目费用类型</w:t>
            </w:r>
          </w:p>
        </w:tc>
        <w:tc>
          <w:tcPr>
            <w:tcW w:w="2870" w:type="dxa"/>
            <w:tcBorders>
              <w:top w:val="single" w:color="000000" w:sz="10" w:space="0"/>
            </w:tcBorders>
            <w:vAlign w:val="top"/>
          </w:tcPr>
          <w:p w14:paraId="24A6C1B8">
            <w:pPr>
              <w:spacing w:before="208" w:line="220" w:lineRule="auto"/>
              <w:ind w:left="975"/>
              <w:rPr>
                <w:rFonts w:ascii="宋体" w:hAnsi="宋体" w:eastAsia="宋体" w:cs="宋体"/>
                <w:sz w:val="24"/>
                <w:szCs w:val="24"/>
              </w:rPr>
            </w:pPr>
            <w:r>
              <w:rPr>
                <w:rFonts w:ascii="宋体" w:hAnsi="宋体" w:eastAsia="宋体" w:cs="宋体"/>
                <w:spacing w:val="-6"/>
                <w:sz w:val="24"/>
                <w:szCs w:val="24"/>
              </w:rPr>
              <w:t>费用说明</w:t>
            </w:r>
          </w:p>
        </w:tc>
        <w:tc>
          <w:tcPr>
            <w:tcW w:w="2424" w:type="dxa"/>
            <w:tcBorders>
              <w:top w:val="single" w:color="000000" w:sz="10" w:space="0"/>
              <w:right w:val="single" w:color="000000" w:sz="10" w:space="0"/>
            </w:tcBorders>
            <w:vAlign w:val="top"/>
          </w:tcPr>
          <w:p w14:paraId="7D725316">
            <w:pPr>
              <w:spacing w:before="208" w:line="222" w:lineRule="auto"/>
              <w:ind w:left="980"/>
              <w:rPr>
                <w:rFonts w:ascii="宋体" w:hAnsi="宋体" w:eastAsia="宋体" w:cs="宋体"/>
                <w:sz w:val="24"/>
                <w:szCs w:val="24"/>
              </w:rPr>
            </w:pPr>
            <w:r>
              <w:rPr>
                <w:rFonts w:ascii="宋体" w:hAnsi="宋体" w:eastAsia="宋体" w:cs="宋体"/>
                <w:spacing w:val="-6"/>
                <w:sz w:val="24"/>
                <w:szCs w:val="24"/>
              </w:rPr>
              <w:t>合计</w:t>
            </w:r>
          </w:p>
        </w:tc>
      </w:tr>
      <w:tr w14:paraId="495CF8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trPr>
        <w:tc>
          <w:tcPr>
            <w:tcW w:w="971" w:type="dxa"/>
            <w:tcBorders>
              <w:left w:val="single" w:color="000000" w:sz="10" w:space="0"/>
            </w:tcBorders>
            <w:vAlign w:val="top"/>
          </w:tcPr>
          <w:p w14:paraId="1345C1F7">
            <w:pPr>
              <w:spacing w:before="204" w:line="242" w:lineRule="auto"/>
              <w:ind w:left="435"/>
              <w:rPr>
                <w:rFonts w:ascii="宋体" w:hAnsi="宋体" w:eastAsia="宋体" w:cs="宋体"/>
                <w:sz w:val="24"/>
                <w:szCs w:val="24"/>
              </w:rPr>
            </w:pPr>
            <w:r>
              <w:rPr>
                <w:rFonts w:ascii="宋体" w:hAnsi="宋体" w:eastAsia="宋体" w:cs="宋体"/>
                <w:sz w:val="24"/>
                <w:szCs w:val="24"/>
              </w:rPr>
              <w:t>1</w:t>
            </w:r>
          </w:p>
        </w:tc>
        <w:tc>
          <w:tcPr>
            <w:tcW w:w="2824" w:type="dxa"/>
            <w:vAlign w:val="top"/>
          </w:tcPr>
          <w:p w14:paraId="18FE5139">
            <w:pPr>
              <w:pStyle w:val="48"/>
            </w:pPr>
          </w:p>
        </w:tc>
        <w:tc>
          <w:tcPr>
            <w:tcW w:w="2870" w:type="dxa"/>
            <w:vAlign w:val="top"/>
          </w:tcPr>
          <w:p w14:paraId="098DC5CE">
            <w:pPr>
              <w:pStyle w:val="48"/>
            </w:pPr>
          </w:p>
        </w:tc>
        <w:tc>
          <w:tcPr>
            <w:tcW w:w="2424" w:type="dxa"/>
            <w:tcBorders>
              <w:right w:val="single" w:color="000000" w:sz="10" w:space="0"/>
            </w:tcBorders>
            <w:vAlign w:val="top"/>
          </w:tcPr>
          <w:p w14:paraId="43FBB8FF">
            <w:pPr>
              <w:pStyle w:val="48"/>
            </w:pPr>
          </w:p>
        </w:tc>
      </w:tr>
      <w:tr w14:paraId="6BB8D6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971" w:type="dxa"/>
            <w:tcBorders>
              <w:left w:val="single" w:color="000000" w:sz="10" w:space="0"/>
            </w:tcBorders>
            <w:vAlign w:val="top"/>
          </w:tcPr>
          <w:p w14:paraId="0452BA26">
            <w:pPr>
              <w:spacing w:before="208" w:line="242" w:lineRule="auto"/>
              <w:ind w:left="420"/>
              <w:rPr>
                <w:rFonts w:ascii="宋体" w:hAnsi="宋体" w:eastAsia="宋体" w:cs="宋体"/>
                <w:sz w:val="24"/>
                <w:szCs w:val="24"/>
              </w:rPr>
            </w:pPr>
            <w:r>
              <w:rPr>
                <w:rFonts w:ascii="宋体" w:hAnsi="宋体" w:eastAsia="宋体" w:cs="宋体"/>
                <w:sz w:val="24"/>
                <w:szCs w:val="24"/>
              </w:rPr>
              <w:t>2</w:t>
            </w:r>
          </w:p>
        </w:tc>
        <w:tc>
          <w:tcPr>
            <w:tcW w:w="2824" w:type="dxa"/>
            <w:vAlign w:val="top"/>
          </w:tcPr>
          <w:p w14:paraId="4BC55E4A">
            <w:pPr>
              <w:pStyle w:val="48"/>
            </w:pPr>
          </w:p>
        </w:tc>
        <w:tc>
          <w:tcPr>
            <w:tcW w:w="2870" w:type="dxa"/>
            <w:vAlign w:val="top"/>
          </w:tcPr>
          <w:p w14:paraId="07D2E375">
            <w:pPr>
              <w:pStyle w:val="48"/>
            </w:pPr>
          </w:p>
        </w:tc>
        <w:tc>
          <w:tcPr>
            <w:tcW w:w="2424" w:type="dxa"/>
            <w:tcBorders>
              <w:right w:val="single" w:color="000000" w:sz="10" w:space="0"/>
            </w:tcBorders>
            <w:vAlign w:val="top"/>
          </w:tcPr>
          <w:p w14:paraId="530BB020">
            <w:pPr>
              <w:pStyle w:val="48"/>
            </w:pPr>
          </w:p>
        </w:tc>
      </w:tr>
      <w:tr w14:paraId="7BA32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trPr>
        <w:tc>
          <w:tcPr>
            <w:tcW w:w="971" w:type="dxa"/>
            <w:tcBorders>
              <w:left w:val="single" w:color="000000" w:sz="10" w:space="0"/>
            </w:tcBorders>
            <w:vAlign w:val="top"/>
          </w:tcPr>
          <w:p w14:paraId="4CB56A95">
            <w:pPr>
              <w:spacing w:before="212"/>
              <w:ind w:left="422"/>
              <w:rPr>
                <w:rFonts w:ascii="宋体" w:hAnsi="宋体" w:eastAsia="宋体" w:cs="宋体"/>
                <w:sz w:val="24"/>
                <w:szCs w:val="24"/>
              </w:rPr>
            </w:pPr>
            <w:r>
              <w:rPr>
                <w:rFonts w:ascii="宋体" w:hAnsi="宋体" w:eastAsia="宋体" w:cs="宋体"/>
                <w:sz w:val="24"/>
                <w:szCs w:val="24"/>
              </w:rPr>
              <w:t>3</w:t>
            </w:r>
          </w:p>
        </w:tc>
        <w:tc>
          <w:tcPr>
            <w:tcW w:w="2824" w:type="dxa"/>
            <w:vAlign w:val="top"/>
          </w:tcPr>
          <w:p w14:paraId="777D00B2">
            <w:pPr>
              <w:pStyle w:val="48"/>
            </w:pPr>
          </w:p>
        </w:tc>
        <w:tc>
          <w:tcPr>
            <w:tcW w:w="2870" w:type="dxa"/>
            <w:vAlign w:val="top"/>
          </w:tcPr>
          <w:p w14:paraId="3F81D588">
            <w:pPr>
              <w:pStyle w:val="48"/>
            </w:pPr>
          </w:p>
        </w:tc>
        <w:tc>
          <w:tcPr>
            <w:tcW w:w="2424" w:type="dxa"/>
            <w:tcBorders>
              <w:right w:val="single" w:color="000000" w:sz="10" w:space="0"/>
            </w:tcBorders>
            <w:vAlign w:val="top"/>
          </w:tcPr>
          <w:p w14:paraId="425309F1">
            <w:pPr>
              <w:pStyle w:val="48"/>
            </w:pPr>
          </w:p>
        </w:tc>
      </w:tr>
      <w:tr w14:paraId="79E01E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trPr>
        <w:tc>
          <w:tcPr>
            <w:tcW w:w="971" w:type="dxa"/>
            <w:tcBorders>
              <w:left w:val="single" w:color="000000" w:sz="10" w:space="0"/>
            </w:tcBorders>
            <w:vAlign w:val="top"/>
          </w:tcPr>
          <w:p w14:paraId="7BC91E6A">
            <w:pPr>
              <w:spacing w:before="216" w:line="242" w:lineRule="auto"/>
              <w:ind w:left="416"/>
              <w:rPr>
                <w:rFonts w:ascii="宋体" w:hAnsi="宋体" w:eastAsia="宋体" w:cs="宋体"/>
                <w:sz w:val="24"/>
                <w:szCs w:val="24"/>
              </w:rPr>
            </w:pPr>
            <w:r>
              <w:rPr>
                <w:rFonts w:ascii="宋体" w:hAnsi="宋体" w:eastAsia="宋体" w:cs="宋体"/>
                <w:sz w:val="24"/>
                <w:szCs w:val="24"/>
              </w:rPr>
              <w:t>4</w:t>
            </w:r>
          </w:p>
        </w:tc>
        <w:tc>
          <w:tcPr>
            <w:tcW w:w="2824" w:type="dxa"/>
            <w:vAlign w:val="top"/>
          </w:tcPr>
          <w:p w14:paraId="184149B2">
            <w:pPr>
              <w:pStyle w:val="48"/>
            </w:pPr>
          </w:p>
        </w:tc>
        <w:tc>
          <w:tcPr>
            <w:tcW w:w="2870" w:type="dxa"/>
            <w:vAlign w:val="top"/>
          </w:tcPr>
          <w:p w14:paraId="5E8F215E">
            <w:pPr>
              <w:pStyle w:val="48"/>
            </w:pPr>
          </w:p>
        </w:tc>
        <w:tc>
          <w:tcPr>
            <w:tcW w:w="2424" w:type="dxa"/>
            <w:tcBorders>
              <w:right w:val="single" w:color="000000" w:sz="10" w:space="0"/>
            </w:tcBorders>
            <w:vAlign w:val="top"/>
          </w:tcPr>
          <w:p w14:paraId="144FA479">
            <w:pPr>
              <w:pStyle w:val="48"/>
            </w:pPr>
          </w:p>
        </w:tc>
      </w:tr>
      <w:tr w14:paraId="038246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trPr>
        <w:tc>
          <w:tcPr>
            <w:tcW w:w="971" w:type="dxa"/>
            <w:tcBorders>
              <w:left w:val="single" w:color="000000" w:sz="10" w:space="0"/>
            </w:tcBorders>
            <w:vAlign w:val="top"/>
          </w:tcPr>
          <w:p w14:paraId="0098BFB5">
            <w:pPr>
              <w:spacing w:before="221"/>
              <w:ind w:left="422"/>
              <w:rPr>
                <w:rFonts w:ascii="宋体" w:hAnsi="宋体" w:eastAsia="宋体" w:cs="宋体"/>
                <w:sz w:val="24"/>
                <w:szCs w:val="24"/>
              </w:rPr>
            </w:pPr>
            <w:r>
              <w:rPr>
                <w:rFonts w:ascii="宋体" w:hAnsi="宋体" w:eastAsia="宋体" w:cs="宋体"/>
                <w:sz w:val="24"/>
                <w:szCs w:val="24"/>
              </w:rPr>
              <w:t>5</w:t>
            </w:r>
          </w:p>
        </w:tc>
        <w:tc>
          <w:tcPr>
            <w:tcW w:w="2824" w:type="dxa"/>
            <w:vAlign w:val="top"/>
          </w:tcPr>
          <w:p w14:paraId="3E45C031">
            <w:pPr>
              <w:pStyle w:val="48"/>
            </w:pPr>
          </w:p>
        </w:tc>
        <w:tc>
          <w:tcPr>
            <w:tcW w:w="2870" w:type="dxa"/>
            <w:vAlign w:val="top"/>
          </w:tcPr>
          <w:p w14:paraId="4AD53463">
            <w:pPr>
              <w:pStyle w:val="48"/>
            </w:pPr>
          </w:p>
        </w:tc>
        <w:tc>
          <w:tcPr>
            <w:tcW w:w="2424" w:type="dxa"/>
            <w:tcBorders>
              <w:right w:val="single" w:color="000000" w:sz="10" w:space="0"/>
            </w:tcBorders>
            <w:vAlign w:val="top"/>
          </w:tcPr>
          <w:p w14:paraId="7581900B">
            <w:pPr>
              <w:pStyle w:val="48"/>
            </w:pPr>
          </w:p>
        </w:tc>
      </w:tr>
      <w:tr w14:paraId="4852C7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5" w:hRule="atLeast"/>
        </w:trPr>
        <w:tc>
          <w:tcPr>
            <w:tcW w:w="971" w:type="dxa"/>
            <w:tcBorders>
              <w:left w:val="single" w:color="000000" w:sz="10" w:space="0"/>
              <w:bottom w:val="single" w:color="000000" w:sz="10" w:space="0"/>
            </w:tcBorders>
            <w:vAlign w:val="top"/>
          </w:tcPr>
          <w:p w14:paraId="6BE69692">
            <w:pPr>
              <w:spacing w:before="224" w:line="222" w:lineRule="auto"/>
              <w:ind w:left="238"/>
              <w:rPr>
                <w:rFonts w:ascii="宋体" w:hAnsi="宋体" w:eastAsia="宋体" w:cs="宋体"/>
                <w:sz w:val="24"/>
                <w:szCs w:val="24"/>
              </w:rPr>
            </w:pPr>
            <w:r>
              <w:rPr>
                <w:rFonts w:ascii="宋体" w:hAnsi="宋体" w:eastAsia="宋体" w:cs="宋体"/>
                <w:spacing w:val="-6"/>
                <w:sz w:val="24"/>
                <w:szCs w:val="24"/>
              </w:rPr>
              <w:t>合计</w:t>
            </w:r>
          </w:p>
        </w:tc>
        <w:tc>
          <w:tcPr>
            <w:tcW w:w="5694" w:type="dxa"/>
            <w:gridSpan w:val="2"/>
            <w:tcBorders>
              <w:bottom w:val="single" w:color="000000" w:sz="10" w:space="0"/>
            </w:tcBorders>
            <w:vAlign w:val="top"/>
          </w:tcPr>
          <w:p w14:paraId="3A94BF34">
            <w:pPr>
              <w:spacing w:before="224" w:line="221" w:lineRule="auto"/>
              <w:ind w:firstLine="230" w:firstLineChars="100"/>
              <w:rPr>
                <w:rFonts w:ascii="宋体" w:hAnsi="宋体" w:eastAsia="宋体" w:cs="宋体"/>
                <w:sz w:val="24"/>
                <w:szCs w:val="24"/>
              </w:rPr>
            </w:pPr>
            <w:r>
              <w:rPr>
                <w:rFonts w:ascii="宋体" w:hAnsi="宋体" w:eastAsia="宋体" w:cs="宋体"/>
                <w:spacing w:val="-5"/>
                <w:sz w:val="24"/>
                <w:szCs w:val="24"/>
              </w:rPr>
              <w:t>大写：</w:t>
            </w:r>
          </w:p>
        </w:tc>
        <w:tc>
          <w:tcPr>
            <w:tcW w:w="2424" w:type="dxa"/>
            <w:tcBorders>
              <w:bottom w:val="single" w:color="000000" w:sz="10" w:space="0"/>
              <w:right w:val="single" w:color="000000" w:sz="10" w:space="0"/>
            </w:tcBorders>
            <w:vAlign w:val="top"/>
          </w:tcPr>
          <w:p w14:paraId="0A0C9893">
            <w:pPr>
              <w:spacing w:before="225" w:line="222" w:lineRule="auto"/>
              <w:ind w:firstLine="228" w:firstLineChars="100"/>
              <w:rPr>
                <w:rFonts w:ascii="宋体" w:hAnsi="宋体" w:eastAsia="宋体" w:cs="宋体"/>
                <w:sz w:val="24"/>
                <w:szCs w:val="24"/>
              </w:rPr>
            </w:pPr>
            <w:r>
              <w:rPr>
                <w:rFonts w:ascii="宋体" w:hAnsi="宋体" w:eastAsia="宋体" w:cs="宋体"/>
                <w:spacing w:val="-6"/>
                <w:sz w:val="24"/>
                <w:szCs w:val="24"/>
              </w:rPr>
              <w:t>小写：</w:t>
            </w:r>
          </w:p>
        </w:tc>
      </w:tr>
    </w:tbl>
    <w:p w14:paraId="1D300332">
      <w:pPr>
        <w:bidi w:val="0"/>
      </w:pPr>
    </w:p>
    <w:p w14:paraId="102F93F7">
      <w:pPr>
        <w:bidi w:val="0"/>
        <w:rPr>
          <w:b/>
          <w:bCs/>
          <w:sz w:val="24"/>
          <w:szCs w:val="24"/>
        </w:rPr>
      </w:pPr>
      <w:r>
        <w:rPr>
          <w:b/>
          <w:bCs/>
          <w:sz w:val="24"/>
          <w:szCs w:val="24"/>
        </w:rPr>
        <w:t>注：供应商根据实际情况自行调整表格。</w:t>
      </w:r>
    </w:p>
    <w:p w14:paraId="7159AF31">
      <w:pPr>
        <w:pStyle w:val="9"/>
        <w:spacing w:line="267" w:lineRule="auto"/>
      </w:pPr>
    </w:p>
    <w:p w14:paraId="5C3F37A6">
      <w:pPr>
        <w:spacing w:line="500" w:lineRule="exact"/>
        <w:ind w:firstLine="3360" w:firstLineChars="1400"/>
        <w:rPr>
          <w:rFonts w:hint="eastAsia" w:ascii="宋体" w:hAnsi="宋体" w:eastAsia="宋体" w:cs="宋体"/>
          <w:sz w:val="24"/>
          <w:szCs w:val="24"/>
          <w:highlight w:val="none"/>
          <w:u w:val="single"/>
          <w:lang w:val="en-US" w:eastAsia="zh-CN"/>
        </w:rPr>
      </w:pPr>
      <w:r>
        <w:rPr>
          <w:rFonts w:hint="eastAsia" w:ascii="宋体" w:hAnsi="宋体" w:eastAsia="宋体" w:cs="宋体"/>
          <w:sz w:val="24"/>
          <w:szCs w:val="24"/>
          <w:highlight w:val="none"/>
        </w:rPr>
        <w:t>供应商单位全称（签章）：</w:t>
      </w:r>
      <w:r>
        <w:rPr>
          <w:rFonts w:hint="eastAsia" w:ascii="宋体" w:hAnsi="宋体" w:eastAsia="宋体" w:cs="宋体"/>
          <w:sz w:val="24"/>
          <w:szCs w:val="24"/>
          <w:highlight w:val="none"/>
          <w:u w:val="single"/>
          <w:lang w:val="en-US" w:eastAsia="zh-CN"/>
        </w:rPr>
        <w:t xml:space="preserve">            </w:t>
      </w:r>
    </w:p>
    <w:p w14:paraId="7DB81E2A">
      <w:pPr>
        <w:spacing w:line="500" w:lineRule="exact"/>
        <w:ind w:firstLine="3360" w:firstLineChars="1400"/>
        <w:rPr>
          <w:rFonts w:hint="default" w:ascii="宋体" w:hAnsi="宋体" w:eastAsia="宋体" w:cs="宋体"/>
          <w:sz w:val="24"/>
          <w:szCs w:val="24"/>
          <w:highlight w:val="none"/>
          <w:u w:val="single"/>
          <w:lang w:val="en-US" w:eastAsia="zh-CN"/>
        </w:rPr>
      </w:pPr>
      <w:r>
        <w:rPr>
          <w:rFonts w:hint="eastAsia" w:ascii="宋体" w:hAnsi="宋体" w:eastAsia="宋体" w:cs="宋体"/>
          <w:sz w:val="24"/>
          <w:szCs w:val="24"/>
          <w:highlight w:val="none"/>
        </w:rPr>
        <w:t>法定代表人（签章）：</w:t>
      </w:r>
      <w:r>
        <w:rPr>
          <w:rFonts w:hint="eastAsia" w:ascii="宋体" w:hAnsi="宋体" w:eastAsia="宋体" w:cs="宋体"/>
          <w:sz w:val="24"/>
          <w:szCs w:val="24"/>
          <w:highlight w:val="none"/>
          <w:u w:val="single"/>
          <w:lang w:val="en-US" w:eastAsia="zh-CN"/>
        </w:rPr>
        <w:t xml:space="preserve">                </w:t>
      </w:r>
    </w:p>
    <w:p w14:paraId="5844E8A7">
      <w:pPr>
        <w:snapToGrid w:val="0"/>
        <w:spacing w:line="500" w:lineRule="exact"/>
        <w:ind w:firstLine="480" w:firstLineChars="200"/>
        <w:jc w:val="right"/>
        <w:rPr>
          <w:rFonts w:ascii="宋体" w:hAnsi="宋体" w:eastAsia="宋体" w:cs="宋体"/>
          <w:sz w:val="24"/>
          <w:szCs w:val="24"/>
          <w:highlight w:val="none"/>
        </w:rPr>
      </w:pPr>
      <w:r>
        <w:rPr>
          <w:rFonts w:hint="eastAsia" w:ascii="宋体" w:hAnsi="宋体" w:eastAsia="宋体" w:cs="宋体"/>
          <w:sz w:val="24"/>
          <w:szCs w:val="24"/>
          <w:highlight w:val="none"/>
        </w:rPr>
        <w:t>日期：</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日</w:t>
      </w:r>
    </w:p>
    <w:p w14:paraId="36F13C41">
      <w:pPr>
        <w:rPr>
          <w:rFonts w:hint="eastAsia"/>
        </w:rPr>
      </w:pPr>
      <w:r>
        <w:rPr>
          <w:rFonts w:hint="eastAsia"/>
        </w:rPr>
        <w:br w:type="page"/>
      </w:r>
    </w:p>
    <w:p w14:paraId="50780728">
      <w:pPr>
        <w:rPr>
          <w:rFonts w:hint="eastAsia"/>
        </w:rPr>
      </w:pPr>
    </w:p>
    <w:p w14:paraId="4087362A">
      <w:pPr>
        <w:pStyle w:val="5"/>
        <w:bidi w:val="0"/>
      </w:pPr>
      <w:bookmarkStart w:id="59" w:name="_Toc25420"/>
      <w:r>
        <w:rPr>
          <w:rFonts w:hint="eastAsia"/>
        </w:rPr>
        <w:t>三、法定代表人身份证明</w:t>
      </w:r>
      <w:bookmarkEnd w:id="54"/>
      <w:bookmarkEnd w:id="55"/>
      <w:bookmarkEnd w:id="56"/>
      <w:r>
        <w:rPr>
          <w:rFonts w:hint="eastAsia"/>
        </w:rPr>
        <w:t>书</w:t>
      </w:r>
      <w:bookmarkEnd w:id="57"/>
      <w:bookmarkEnd w:id="58"/>
      <w:bookmarkEnd w:id="59"/>
    </w:p>
    <w:p w14:paraId="4FC86066">
      <w:pPr>
        <w:spacing w:before="91" w:line="520" w:lineRule="exact"/>
        <w:rPr>
          <w:rFonts w:ascii="宋体" w:hAnsi="宋体" w:eastAsia="宋体" w:cs="宋体"/>
          <w:spacing w:val="19"/>
          <w:sz w:val="32"/>
          <w:szCs w:val="32"/>
          <w:highlight w:val="none"/>
          <w14:textOutline w14:w="5092" w14:cap="flat" w14:cmpd="sng" w14:algn="ctr">
            <w14:solidFill>
              <w14:srgbClr w14:val="000000"/>
            </w14:solidFill>
            <w14:prstDash w14:val="solid"/>
            <w14:miter w14:val="0"/>
          </w14:textOutline>
        </w:rPr>
      </w:pPr>
    </w:p>
    <w:p w14:paraId="085A7EFB">
      <w:pPr>
        <w:tabs>
          <w:tab w:val="left" w:pos="1856"/>
        </w:tabs>
        <w:spacing w:before="91" w:line="700" w:lineRule="exact"/>
        <w:ind w:firstLine="573"/>
        <w:rPr>
          <w:rFonts w:ascii="宋体" w:hAnsi="宋体" w:eastAsia="宋体" w:cs="宋体"/>
          <w:spacing w:val="17"/>
          <w:sz w:val="24"/>
          <w:szCs w:val="24"/>
          <w:highlight w:val="none"/>
        </w:rPr>
      </w:pPr>
      <w:r>
        <w:rPr>
          <w:rFonts w:hint="eastAsia" w:ascii="宋体" w:hAnsi="宋体" w:eastAsia="宋体" w:cs="宋体"/>
          <w:sz w:val="24"/>
          <w:szCs w:val="24"/>
          <w:highlight w:val="none"/>
          <w:u w:val="single"/>
        </w:rPr>
        <w:tab/>
      </w:r>
      <w:r>
        <w:rPr>
          <w:rFonts w:hint="eastAsia" w:ascii="宋体" w:hAnsi="宋体" w:eastAsia="宋体" w:cs="宋体"/>
          <w:spacing w:val="14"/>
          <w:sz w:val="24"/>
          <w:szCs w:val="24"/>
          <w:highlight w:val="none"/>
        </w:rPr>
        <w:t>(法</w:t>
      </w:r>
      <w:r>
        <w:rPr>
          <w:rFonts w:hint="eastAsia" w:ascii="宋体" w:hAnsi="宋体" w:eastAsia="宋体" w:cs="宋体"/>
          <w:spacing w:val="12"/>
          <w:sz w:val="24"/>
          <w:szCs w:val="24"/>
          <w:highlight w:val="none"/>
        </w:rPr>
        <w:t>定</w:t>
      </w:r>
      <w:r>
        <w:rPr>
          <w:rFonts w:hint="eastAsia" w:ascii="宋体" w:hAnsi="宋体" w:eastAsia="宋体" w:cs="宋体"/>
          <w:spacing w:val="7"/>
          <w:sz w:val="24"/>
          <w:szCs w:val="24"/>
          <w:highlight w:val="none"/>
        </w:rPr>
        <w:t>代表人姓名)在我单位任(职务)，是我单位</w:t>
      </w:r>
      <w:r>
        <w:rPr>
          <w:rFonts w:hint="eastAsia" w:ascii="宋体" w:hAnsi="宋体" w:eastAsia="宋体" w:cs="宋体"/>
          <w:spacing w:val="18"/>
          <w:sz w:val="24"/>
          <w:szCs w:val="24"/>
          <w:highlight w:val="none"/>
        </w:rPr>
        <w:t>的</w:t>
      </w:r>
      <w:r>
        <w:rPr>
          <w:rFonts w:hint="eastAsia" w:ascii="宋体" w:hAnsi="宋体" w:eastAsia="宋体" w:cs="宋体"/>
          <w:spacing w:val="17"/>
          <w:sz w:val="24"/>
          <w:szCs w:val="24"/>
          <w:highlight w:val="none"/>
        </w:rPr>
        <w:t>法定代表人，特此证明。</w:t>
      </w:r>
    </w:p>
    <w:p w14:paraId="5F4D3DED">
      <w:pPr>
        <w:tabs>
          <w:tab w:val="left" w:pos="1856"/>
        </w:tabs>
        <w:spacing w:before="91" w:line="432" w:lineRule="auto"/>
        <w:ind w:left="1" w:firstLine="570"/>
        <w:rPr>
          <w:rFonts w:ascii="宋体" w:hAnsi="宋体" w:eastAsia="宋体" w:cs="宋体"/>
          <w:spacing w:val="17"/>
          <w:sz w:val="24"/>
          <w:szCs w:val="24"/>
          <w:highlight w:val="none"/>
        </w:rPr>
      </w:pPr>
    </w:p>
    <w:p w14:paraId="2E025AB0">
      <w:pPr>
        <w:spacing w:before="90" w:line="411" w:lineRule="auto"/>
        <w:ind w:firstLine="4536" w:firstLineChars="1800"/>
        <w:rPr>
          <w:rFonts w:hint="eastAsia" w:ascii="宋体" w:hAnsi="宋体" w:eastAsia="宋体" w:cs="宋体"/>
          <w:spacing w:val="6"/>
          <w:sz w:val="24"/>
          <w:szCs w:val="24"/>
          <w:highlight w:val="none"/>
          <w:u w:val="single"/>
          <w:lang w:eastAsia="zh-CN"/>
        </w:rPr>
      </w:pPr>
      <w:r>
        <w:rPr>
          <w:rFonts w:hint="eastAsia" w:ascii="宋体" w:hAnsi="宋体" w:eastAsia="宋体" w:cs="宋体"/>
          <w:spacing w:val="6"/>
          <w:sz w:val="24"/>
          <w:szCs w:val="24"/>
          <w:highlight w:val="none"/>
        </w:rPr>
        <w:t>供应商单位全称（签章）：</w:t>
      </w:r>
    </w:p>
    <w:p w14:paraId="30F953D2">
      <w:pPr>
        <w:spacing w:line="540" w:lineRule="exact"/>
        <w:ind w:firstLine="4560" w:firstLineChars="1900"/>
        <w:rPr>
          <w:rFonts w:ascii="宋体" w:hAnsi="宋体" w:eastAsia="宋体" w:cs="宋体"/>
          <w:sz w:val="24"/>
          <w:szCs w:val="24"/>
          <w:highlight w:val="none"/>
        </w:rPr>
      </w:pPr>
      <w:r>
        <w:rPr>
          <w:rFonts w:hint="eastAsia" w:ascii="宋体" w:hAnsi="宋体" w:eastAsia="宋体" w:cs="宋体"/>
          <w:sz w:val="24"/>
          <w:szCs w:val="24"/>
          <w:highlight w:val="none"/>
        </w:rPr>
        <w:t>日期：</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日</w:t>
      </w:r>
    </w:p>
    <w:p w14:paraId="22CFFB9F">
      <w:pPr>
        <w:spacing w:line="244" w:lineRule="auto"/>
        <w:rPr>
          <w:sz w:val="24"/>
          <w:szCs w:val="24"/>
          <w:highlight w:val="none"/>
        </w:rPr>
      </w:pPr>
    </w:p>
    <w:p w14:paraId="10E397FA">
      <w:pPr>
        <w:spacing w:line="244" w:lineRule="auto"/>
        <w:rPr>
          <w:sz w:val="24"/>
          <w:szCs w:val="24"/>
          <w:highlight w:val="none"/>
        </w:rPr>
      </w:pPr>
    </w:p>
    <w:p w14:paraId="02774E6C">
      <w:pPr>
        <w:snapToGrid w:val="0"/>
        <w:spacing w:line="700" w:lineRule="exact"/>
        <w:rPr>
          <w:rFonts w:ascii="宋体" w:hAnsi="宋体" w:eastAsia="宋体" w:cs="宋体"/>
          <w:spacing w:val="6"/>
          <w:sz w:val="24"/>
          <w:szCs w:val="24"/>
          <w:highlight w:val="none"/>
        </w:rPr>
      </w:pPr>
      <w:r>
        <w:rPr>
          <w:rFonts w:ascii="宋体" w:hAnsi="宋体" w:eastAsia="宋体" w:cs="宋体"/>
          <w:spacing w:val="11"/>
          <w:sz w:val="24"/>
          <w:szCs w:val="24"/>
          <w:highlight w:val="none"/>
        </w:rPr>
        <w:t>附</w:t>
      </w:r>
      <w:r>
        <w:rPr>
          <w:rFonts w:ascii="宋体" w:hAnsi="宋体" w:eastAsia="宋体" w:cs="宋体"/>
          <w:spacing w:val="6"/>
          <w:sz w:val="24"/>
          <w:szCs w:val="24"/>
          <w:highlight w:val="none"/>
        </w:rPr>
        <w:t>：法定代表人身份证</w:t>
      </w:r>
      <w:r>
        <w:rPr>
          <w:rFonts w:hint="eastAsia" w:ascii="宋体" w:hAnsi="宋体" w:eastAsia="宋体" w:cs="宋体"/>
          <w:spacing w:val="6"/>
          <w:sz w:val="24"/>
          <w:szCs w:val="24"/>
          <w:highlight w:val="none"/>
        </w:rPr>
        <w:t>正反面影</w:t>
      </w:r>
      <w:r>
        <w:rPr>
          <w:rFonts w:ascii="宋体" w:hAnsi="宋体" w:eastAsia="宋体" w:cs="宋体"/>
          <w:spacing w:val="6"/>
          <w:sz w:val="24"/>
          <w:szCs w:val="24"/>
          <w:highlight w:val="none"/>
        </w:rPr>
        <w:t>印件</w:t>
      </w:r>
      <w:r>
        <w:rPr>
          <w:rFonts w:hint="eastAsia" w:ascii="宋体" w:hAnsi="宋体" w:eastAsia="宋体" w:cs="宋体"/>
          <w:spacing w:val="6"/>
          <w:sz w:val="24"/>
          <w:szCs w:val="24"/>
          <w:highlight w:val="none"/>
        </w:rPr>
        <w:t>。</w:t>
      </w:r>
    </w:p>
    <w:p w14:paraId="24F9ACEF">
      <w:pPr>
        <w:widowControl/>
        <w:jc w:val="left"/>
        <w:rPr>
          <w:rFonts w:ascii="宋体" w:hAnsi="宋体" w:eastAsia="宋体" w:cs="宋体"/>
          <w:spacing w:val="6"/>
          <w:sz w:val="24"/>
          <w:szCs w:val="24"/>
          <w:highlight w:val="none"/>
        </w:rPr>
      </w:pPr>
      <w:r>
        <w:rPr>
          <w:rFonts w:ascii="宋体" w:hAnsi="宋体" w:eastAsia="宋体" w:cs="宋体"/>
          <w:spacing w:val="6"/>
          <w:sz w:val="24"/>
          <w:szCs w:val="24"/>
          <w:highlight w:val="none"/>
        </w:rPr>
        <w:br w:type="page"/>
      </w:r>
    </w:p>
    <w:p w14:paraId="32EF2F0E">
      <w:pPr>
        <w:pStyle w:val="5"/>
        <w:bidi w:val="0"/>
      </w:pPr>
      <w:bookmarkStart w:id="60" w:name="_Toc23903"/>
      <w:bookmarkStart w:id="61" w:name="_Toc29037"/>
      <w:bookmarkStart w:id="62" w:name="_Toc27220"/>
      <w:bookmarkStart w:id="63" w:name="_Toc173857151"/>
      <w:bookmarkStart w:id="64" w:name="_Toc1762"/>
      <w:bookmarkStart w:id="65" w:name="_Toc10378"/>
      <w:r>
        <w:rPr>
          <w:rFonts w:hint="eastAsia"/>
        </w:rPr>
        <w:t>四、法定代表人授权书</w:t>
      </w:r>
      <w:bookmarkEnd w:id="60"/>
      <w:bookmarkEnd w:id="61"/>
      <w:bookmarkEnd w:id="62"/>
      <w:bookmarkEnd w:id="63"/>
      <w:bookmarkEnd w:id="64"/>
      <w:bookmarkEnd w:id="65"/>
    </w:p>
    <w:p w14:paraId="10E4ECBA">
      <w:pPr>
        <w:jc w:val="center"/>
        <w:rPr>
          <w:rFonts w:ascii="宋体" w:hAnsi="宋体" w:eastAsia="宋体" w:cs="宋体"/>
          <w:spacing w:val="13"/>
          <w:position w:val="3"/>
          <w:sz w:val="32"/>
          <w:szCs w:val="32"/>
          <w:highlight w:val="none"/>
          <w14:textOutline w14:w="6540" w14:cap="sq" w14:cmpd="sng" w14:algn="ctr">
            <w14:solidFill>
              <w14:srgbClr w14:val="000000"/>
            </w14:solidFill>
            <w14:prstDash w14:val="solid"/>
            <w14:bevel/>
          </w14:textOutline>
        </w:rPr>
      </w:pPr>
      <w:r>
        <w:rPr>
          <w:rFonts w:hint="eastAsia" w:ascii="宋体" w:hAnsi="宋体" w:cs="宋体"/>
          <w:highlight w:val="none"/>
        </w:rPr>
        <w:t>（适用于有委托人的）</w:t>
      </w:r>
    </w:p>
    <w:p w14:paraId="4F3A8BD7">
      <w:pPr>
        <w:spacing w:line="302" w:lineRule="auto"/>
        <w:rPr>
          <w:highlight w:val="none"/>
        </w:rPr>
      </w:pPr>
    </w:p>
    <w:p w14:paraId="7C494BDB">
      <w:pPr>
        <w:spacing w:before="75" w:line="520" w:lineRule="exact"/>
        <w:ind w:firstLine="504" w:firstLineChars="200"/>
        <w:rPr>
          <w:rFonts w:ascii="宋体" w:hAnsi="宋体" w:eastAsia="宋体" w:cs="宋体"/>
          <w:spacing w:val="3"/>
          <w:sz w:val="24"/>
          <w:szCs w:val="24"/>
          <w:highlight w:val="none"/>
        </w:rPr>
      </w:pPr>
      <w:r>
        <w:rPr>
          <w:rFonts w:ascii="宋体" w:hAnsi="宋体" w:eastAsia="宋体" w:cs="宋体"/>
          <w:spacing w:val="6"/>
          <w:sz w:val="24"/>
          <w:szCs w:val="24"/>
          <w:highlight w:val="none"/>
        </w:rPr>
        <w:t>本授权委托书声明：我</w:t>
      </w:r>
      <w:r>
        <w:rPr>
          <w:rFonts w:hint="eastAsia" w:ascii="宋体" w:hAnsi="宋体" w:eastAsia="宋体" w:cs="宋体"/>
          <w:spacing w:val="6"/>
          <w:sz w:val="24"/>
          <w:szCs w:val="24"/>
          <w:highlight w:val="none"/>
          <w:u w:val="single"/>
          <w:lang w:val="en-US" w:eastAsia="zh-CN"/>
        </w:rPr>
        <w:t xml:space="preserve">  </w:t>
      </w:r>
      <w:r>
        <w:rPr>
          <w:rFonts w:ascii="宋体" w:hAnsi="宋体" w:eastAsia="宋体" w:cs="宋体"/>
          <w:spacing w:val="6"/>
          <w:sz w:val="24"/>
          <w:szCs w:val="24"/>
          <w:highlight w:val="none"/>
          <w:u w:val="single"/>
        </w:rPr>
        <w:t>(姓名)</w:t>
      </w:r>
      <w:r>
        <w:rPr>
          <w:rFonts w:hint="eastAsia" w:ascii="宋体" w:hAnsi="宋体" w:eastAsia="宋体" w:cs="宋体"/>
          <w:spacing w:val="6"/>
          <w:sz w:val="24"/>
          <w:szCs w:val="24"/>
          <w:highlight w:val="none"/>
          <w:u w:val="single"/>
          <w:lang w:val="en-US" w:eastAsia="zh-CN"/>
        </w:rPr>
        <w:t xml:space="preserve">  </w:t>
      </w:r>
      <w:r>
        <w:rPr>
          <w:rFonts w:ascii="宋体" w:hAnsi="宋体" w:eastAsia="宋体" w:cs="宋体"/>
          <w:spacing w:val="6"/>
          <w:sz w:val="24"/>
          <w:szCs w:val="24"/>
          <w:highlight w:val="none"/>
        </w:rPr>
        <w:t>系</w:t>
      </w:r>
      <w:r>
        <w:rPr>
          <w:rFonts w:hint="eastAsia" w:ascii="宋体" w:hAnsi="宋体" w:eastAsia="宋体" w:cs="宋体"/>
          <w:spacing w:val="6"/>
          <w:sz w:val="24"/>
          <w:szCs w:val="24"/>
          <w:highlight w:val="none"/>
          <w:u w:val="single"/>
          <w:lang w:val="en-US" w:eastAsia="zh-CN"/>
        </w:rPr>
        <w:t xml:space="preserve">  </w:t>
      </w:r>
      <w:r>
        <w:rPr>
          <w:rFonts w:ascii="宋体" w:hAnsi="宋体" w:eastAsia="宋体" w:cs="宋体"/>
          <w:spacing w:val="6"/>
          <w:sz w:val="24"/>
          <w:szCs w:val="24"/>
          <w:highlight w:val="none"/>
          <w:u w:val="single"/>
        </w:rPr>
        <w:t>(单位名称)</w:t>
      </w:r>
      <w:r>
        <w:rPr>
          <w:rFonts w:hint="eastAsia" w:ascii="宋体" w:hAnsi="宋体" w:eastAsia="宋体" w:cs="宋体"/>
          <w:spacing w:val="6"/>
          <w:sz w:val="24"/>
          <w:szCs w:val="24"/>
          <w:highlight w:val="none"/>
          <w:u w:val="single"/>
          <w:lang w:val="en-US" w:eastAsia="zh-CN"/>
        </w:rPr>
        <w:t xml:space="preserve">  </w:t>
      </w:r>
      <w:r>
        <w:rPr>
          <w:rFonts w:ascii="宋体" w:hAnsi="宋体" w:eastAsia="宋体" w:cs="宋体"/>
          <w:spacing w:val="6"/>
          <w:sz w:val="24"/>
          <w:szCs w:val="24"/>
          <w:highlight w:val="none"/>
        </w:rPr>
        <w:t>的法定代</w:t>
      </w:r>
      <w:r>
        <w:rPr>
          <w:rFonts w:ascii="宋体" w:hAnsi="宋体" w:eastAsia="宋体" w:cs="宋体"/>
          <w:spacing w:val="5"/>
          <w:sz w:val="24"/>
          <w:szCs w:val="24"/>
          <w:highlight w:val="none"/>
        </w:rPr>
        <w:t>表</w:t>
      </w:r>
      <w:r>
        <w:rPr>
          <w:rFonts w:ascii="宋体" w:hAnsi="宋体" w:eastAsia="宋体" w:cs="宋体"/>
          <w:spacing w:val="12"/>
          <w:sz w:val="24"/>
          <w:szCs w:val="24"/>
          <w:highlight w:val="none"/>
        </w:rPr>
        <w:t>人，现授权</w:t>
      </w:r>
      <w:r>
        <w:rPr>
          <w:rFonts w:ascii="宋体" w:hAnsi="宋体" w:eastAsia="宋体" w:cs="宋体"/>
          <w:spacing w:val="9"/>
          <w:sz w:val="24"/>
          <w:szCs w:val="24"/>
          <w:highlight w:val="none"/>
        </w:rPr>
        <w:t>委</w:t>
      </w:r>
      <w:r>
        <w:rPr>
          <w:rFonts w:ascii="宋体" w:hAnsi="宋体" w:eastAsia="宋体" w:cs="宋体"/>
          <w:spacing w:val="6"/>
          <w:sz w:val="24"/>
          <w:szCs w:val="24"/>
          <w:highlight w:val="none"/>
        </w:rPr>
        <w:t>托</w:t>
      </w:r>
      <w:r>
        <w:rPr>
          <w:rFonts w:hint="eastAsia" w:ascii="宋体" w:hAnsi="宋体" w:eastAsia="宋体" w:cs="宋体"/>
          <w:spacing w:val="6"/>
          <w:sz w:val="24"/>
          <w:szCs w:val="24"/>
          <w:highlight w:val="none"/>
          <w:u w:val="single"/>
          <w:lang w:val="en-US" w:eastAsia="zh-CN"/>
        </w:rPr>
        <w:t xml:space="preserve">  </w:t>
      </w:r>
      <w:r>
        <w:rPr>
          <w:rFonts w:ascii="宋体" w:hAnsi="宋体" w:eastAsia="宋体" w:cs="宋体"/>
          <w:spacing w:val="6"/>
          <w:sz w:val="24"/>
          <w:szCs w:val="24"/>
          <w:highlight w:val="none"/>
          <w:u w:val="single"/>
        </w:rPr>
        <w:t>(单位名称)的(姓名、职务)</w:t>
      </w:r>
      <w:r>
        <w:rPr>
          <w:rFonts w:hint="eastAsia" w:ascii="宋体" w:hAnsi="宋体" w:eastAsia="宋体" w:cs="宋体"/>
          <w:spacing w:val="6"/>
          <w:sz w:val="24"/>
          <w:szCs w:val="24"/>
          <w:highlight w:val="none"/>
          <w:u w:val="single"/>
          <w:lang w:val="en-US" w:eastAsia="zh-CN"/>
        </w:rPr>
        <w:t xml:space="preserve">  </w:t>
      </w:r>
      <w:r>
        <w:rPr>
          <w:rFonts w:ascii="宋体" w:hAnsi="宋体" w:eastAsia="宋体" w:cs="宋体"/>
          <w:spacing w:val="6"/>
          <w:sz w:val="24"/>
          <w:szCs w:val="24"/>
          <w:highlight w:val="none"/>
        </w:rPr>
        <w:t>为我单</w:t>
      </w:r>
      <w:r>
        <w:rPr>
          <w:rFonts w:ascii="宋体" w:hAnsi="宋体" w:eastAsia="宋体" w:cs="宋体"/>
          <w:spacing w:val="13"/>
          <w:sz w:val="24"/>
          <w:szCs w:val="24"/>
          <w:highlight w:val="none"/>
        </w:rPr>
        <w:t>位</w:t>
      </w:r>
      <w:r>
        <w:rPr>
          <w:rFonts w:ascii="宋体" w:hAnsi="宋体" w:eastAsia="宋体" w:cs="宋体"/>
          <w:spacing w:val="8"/>
          <w:sz w:val="24"/>
          <w:szCs w:val="24"/>
          <w:highlight w:val="none"/>
        </w:rPr>
        <w:t>授权</w:t>
      </w:r>
      <w:r>
        <w:rPr>
          <w:rFonts w:hint="eastAsia" w:ascii="宋体" w:hAnsi="宋体" w:eastAsia="宋体" w:cs="宋体"/>
          <w:spacing w:val="8"/>
          <w:sz w:val="24"/>
          <w:szCs w:val="24"/>
          <w:highlight w:val="none"/>
        </w:rPr>
        <w:t>代表</w:t>
      </w:r>
      <w:r>
        <w:rPr>
          <w:rFonts w:ascii="宋体" w:hAnsi="宋体" w:eastAsia="宋体" w:cs="宋体"/>
          <w:spacing w:val="8"/>
          <w:sz w:val="24"/>
          <w:szCs w:val="24"/>
          <w:highlight w:val="none"/>
        </w:rPr>
        <w:t>，以本单位的名义参加</w:t>
      </w:r>
      <w:r>
        <w:rPr>
          <w:rFonts w:hint="eastAsia" w:ascii="宋体" w:hAnsi="宋体" w:eastAsia="宋体" w:cs="宋体"/>
          <w:spacing w:val="8"/>
          <w:sz w:val="24"/>
          <w:szCs w:val="24"/>
          <w:highlight w:val="none"/>
          <w:u w:val="single"/>
        </w:rPr>
        <w:t>（项目名称）</w:t>
      </w:r>
      <w:r>
        <w:rPr>
          <w:rFonts w:ascii="宋体" w:hAnsi="宋体" w:eastAsia="宋体" w:cs="宋体"/>
          <w:spacing w:val="-1"/>
          <w:sz w:val="24"/>
          <w:szCs w:val="24"/>
          <w:highlight w:val="none"/>
          <w:u w:val="single"/>
        </w:rPr>
        <w:t>（项目编号：</w:t>
      </w:r>
      <w:r>
        <w:rPr>
          <w:rFonts w:ascii="宋体" w:hAnsi="宋体" w:eastAsia="宋体" w:cs="宋体"/>
          <w:spacing w:val="-1"/>
          <w:sz w:val="24"/>
          <w:szCs w:val="24"/>
          <w:highlight w:val="none"/>
        </w:rPr>
        <w:t>）</w:t>
      </w:r>
      <w:r>
        <w:rPr>
          <w:rFonts w:ascii="宋体" w:hAnsi="宋体" w:eastAsia="宋体" w:cs="宋体"/>
          <w:spacing w:val="3"/>
          <w:sz w:val="24"/>
          <w:szCs w:val="24"/>
          <w:highlight w:val="none"/>
        </w:rPr>
        <w:t>的采购活动。授权</w:t>
      </w:r>
      <w:r>
        <w:rPr>
          <w:rFonts w:hint="eastAsia" w:ascii="宋体" w:hAnsi="宋体" w:eastAsia="宋体" w:cs="宋体"/>
          <w:spacing w:val="3"/>
          <w:sz w:val="24"/>
          <w:szCs w:val="24"/>
          <w:highlight w:val="none"/>
        </w:rPr>
        <w:t>代表</w:t>
      </w:r>
      <w:r>
        <w:rPr>
          <w:rFonts w:ascii="宋体" w:hAnsi="宋体" w:eastAsia="宋体" w:cs="宋体"/>
          <w:spacing w:val="3"/>
          <w:sz w:val="24"/>
          <w:szCs w:val="24"/>
          <w:highlight w:val="none"/>
        </w:rPr>
        <w:t>在采购活动过程中所签署的一切文件</w:t>
      </w:r>
      <w:r>
        <w:rPr>
          <w:rFonts w:ascii="宋体" w:hAnsi="宋体" w:eastAsia="宋体" w:cs="宋体"/>
          <w:spacing w:val="9"/>
          <w:sz w:val="24"/>
          <w:szCs w:val="24"/>
          <w:highlight w:val="none"/>
        </w:rPr>
        <w:t>和处理与之有关的一切事务，我均予以承认。</w:t>
      </w:r>
    </w:p>
    <w:p w14:paraId="1D6203C9">
      <w:pPr>
        <w:pStyle w:val="53"/>
        <w:spacing w:line="520" w:lineRule="exact"/>
        <w:ind w:firstLine="492" w:firstLineChars="200"/>
        <w:rPr>
          <w:rFonts w:ascii="宋体" w:hAnsi="宋体" w:eastAsia="宋体" w:cs="宋体"/>
          <w:spacing w:val="3"/>
          <w:szCs w:val="24"/>
          <w:highlight w:val="none"/>
        </w:rPr>
      </w:pPr>
      <w:r>
        <w:rPr>
          <w:rFonts w:hint="eastAsia" w:ascii="宋体" w:hAnsi="宋体" w:eastAsia="宋体" w:cs="宋体"/>
          <w:spacing w:val="3"/>
          <w:szCs w:val="24"/>
          <w:highlight w:val="none"/>
        </w:rPr>
        <w:t>授权代表无转委托权。</w:t>
      </w:r>
    </w:p>
    <w:p w14:paraId="663DDA0E">
      <w:pPr>
        <w:pStyle w:val="53"/>
        <w:spacing w:line="520" w:lineRule="exact"/>
        <w:ind w:firstLine="492" w:firstLineChars="200"/>
        <w:rPr>
          <w:rFonts w:ascii="宋体" w:hAnsi="宋体" w:eastAsia="宋体" w:cs="宋体"/>
          <w:spacing w:val="3"/>
          <w:szCs w:val="24"/>
          <w:highlight w:val="none"/>
        </w:rPr>
      </w:pPr>
      <w:r>
        <w:rPr>
          <w:rFonts w:hint="eastAsia" w:ascii="宋体" w:hAnsi="宋体" w:eastAsia="宋体" w:cs="宋体"/>
          <w:spacing w:val="3"/>
          <w:szCs w:val="24"/>
          <w:highlight w:val="none"/>
        </w:rPr>
        <w:t>本授权书于年月日生效，特此声明。</w:t>
      </w:r>
    </w:p>
    <w:p w14:paraId="24966EE1">
      <w:pPr>
        <w:spacing w:line="520" w:lineRule="exact"/>
        <w:rPr>
          <w:rFonts w:ascii="宋体" w:hAnsi="宋体" w:eastAsia="宋体" w:cs="宋体"/>
          <w:sz w:val="24"/>
          <w:szCs w:val="24"/>
          <w:highlight w:val="none"/>
        </w:rPr>
      </w:pPr>
    </w:p>
    <w:p w14:paraId="62A0677A">
      <w:pPr>
        <w:spacing w:line="520" w:lineRule="exact"/>
        <w:rPr>
          <w:sz w:val="24"/>
          <w:szCs w:val="24"/>
          <w:highlight w:val="none"/>
        </w:rPr>
      </w:pPr>
    </w:p>
    <w:p w14:paraId="190F6962">
      <w:pPr>
        <w:spacing w:line="520" w:lineRule="exact"/>
        <w:rPr>
          <w:sz w:val="24"/>
          <w:szCs w:val="24"/>
          <w:highlight w:val="none"/>
        </w:rPr>
      </w:pPr>
    </w:p>
    <w:p w14:paraId="0C60BC61">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宋体" w:hAnsi="宋体" w:eastAsia="宋体" w:cs="宋体"/>
          <w:spacing w:val="3"/>
          <w:sz w:val="24"/>
          <w:szCs w:val="24"/>
          <w:highlight w:val="none"/>
          <w:lang w:val="en-US" w:eastAsia="zh-CN"/>
        </w:rPr>
      </w:pPr>
      <w:r>
        <w:rPr>
          <w:rFonts w:hint="eastAsia" w:ascii="宋体" w:hAnsi="宋体" w:eastAsia="宋体" w:cs="宋体"/>
          <w:b/>
          <w:bCs/>
          <w:color w:val="auto"/>
          <w:kern w:val="2"/>
          <w:sz w:val="24"/>
          <w:szCs w:val="24"/>
          <w:highlight w:val="none"/>
          <w:lang w:val="en-US" w:eastAsia="zh-CN" w:bidi="ar-SA"/>
        </w:rPr>
        <w:t>附：</w:t>
      </w:r>
      <w:r>
        <w:rPr>
          <w:rFonts w:hint="eastAsia" w:ascii="宋体" w:hAnsi="宋体" w:eastAsia="宋体" w:cs="宋体"/>
          <w:b w:val="0"/>
          <w:bCs w:val="0"/>
          <w:color w:val="auto"/>
          <w:kern w:val="2"/>
          <w:sz w:val="24"/>
          <w:szCs w:val="24"/>
          <w:highlight w:val="none"/>
          <w:lang w:val="en-US" w:eastAsia="zh-CN" w:bidi="ar-SA"/>
        </w:rPr>
        <w:t>法定代表人身份证复印件和授权代表身份证复印件</w:t>
      </w:r>
    </w:p>
    <w:p w14:paraId="3F3E61F4">
      <w:pPr>
        <w:pStyle w:val="41"/>
        <w:rPr>
          <w:rFonts w:hint="eastAsia" w:ascii="宋体" w:hAnsi="宋体" w:eastAsia="宋体" w:cs="宋体"/>
          <w:spacing w:val="3"/>
          <w:sz w:val="24"/>
          <w:szCs w:val="24"/>
          <w:highlight w:val="none"/>
          <w:lang w:val="en-US" w:eastAsia="zh-CN"/>
        </w:rPr>
      </w:pPr>
    </w:p>
    <w:p w14:paraId="6BC3BD9E">
      <w:pPr>
        <w:pStyle w:val="41"/>
        <w:rPr>
          <w:rFonts w:hint="eastAsia" w:ascii="宋体" w:hAnsi="宋体" w:eastAsia="宋体" w:cs="宋体"/>
          <w:spacing w:val="3"/>
          <w:sz w:val="24"/>
          <w:szCs w:val="24"/>
          <w:highlight w:val="none"/>
          <w:lang w:val="en-US" w:eastAsia="zh-CN"/>
        </w:rPr>
      </w:pPr>
    </w:p>
    <w:p w14:paraId="4457F5D3">
      <w:pPr>
        <w:pStyle w:val="41"/>
        <w:rPr>
          <w:rFonts w:hint="eastAsia" w:ascii="宋体" w:hAnsi="宋体" w:eastAsia="宋体" w:cs="宋体"/>
          <w:spacing w:val="3"/>
          <w:sz w:val="24"/>
          <w:szCs w:val="24"/>
          <w:highlight w:val="none"/>
          <w:lang w:val="en-US" w:eastAsia="zh-CN"/>
        </w:rPr>
      </w:pPr>
    </w:p>
    <w:p w14:paraId="57E627AD">
      <w:pPr>
        <w:pStyle w:val="41"/>
        <w:rPr>
          <w:rFonts w:hint="eastAsia" w:ascii="宋体" w:hAnsi="宋体" w:eastAsia="宋体" w:cs="宋体"/>
          <w:spacing w:val="3"/>
          <w:sz w:val="24"/>
          <w:szCs w:val="24"/>
          <w:highlight w:val="none"/>
          <w:lang w:val="en-US" w:eastAsia="zh-CN"/>
        </w:rPr>
      </w:pPr>
    </w:p>
    <w:p w14:paraId="6E181349">
      <w:pPr>
        <w:pStyle w:val="41"/>
        <w:rPr>
          <w:rFonts w:hint="eastAsia" w:ascii="宋体" w:hAnsi="宋体" w:eastAsia="宋体" w:cs="宋体"/>
          <w:spacing w:val="3"/>
          <w:sz w:val="24"/>
          <w:szCs w:val="24"/>
          <w:highlight w:val="none"/>
          <w:lang w:val="en-US" w:eastAsia="zh-CN"/>
        </w:rPr>
      </w:pPr>
    </w:p>
    <w:p w14:paraId="2DD20680">
      <w:pPr>
        <w:pStyle w:val="41"/>
        <w:rPr>
          <w:rFonts w:hint="eastAsia" w:ascii="宋体" w:hAnsi="宋体" w:eastAsia="宋体" w:cs="宋体"/>
          <w:spacing w:val="3"/>
          <w:sz w:val="24"/>
          <w:szCs w:val="24"/>
          <w:highlight w:val="none"/>
          <w:lang w:val="en-US" w:eastAsia="zh-CN"/>
        </w:rPr>
      </w:pPr>
    </w:p>
    <w:p w14:paraId="04D8E885">
      <w:pPr>
        <w:spacing w:line="500" w:lineRule="exact"/>
        <w:ind w:firstLine="3360" w:firstLineChars="1400"/>
        <w:rPr>
          <w:rFonts w:hint="eastAsia" w:ascii="宋体" w:hAnsi="宋体" w:eastAsia="宋体" w:cs="宋体"/>
          <w:sz w:val="24"/>
          <w:szCs w:val="24"/>
          <w:highlight w:val="none"/>
          <w:u w:val="single"/>
          <w:lang w:val="en-US" w:eastAsia="zh-CN"/>
        </w:rPr>
      </w:pPr>
      <w:r>
        <w:rPr>
          <w:rFonts w:hint="eastAsia" w:ascii="宋体" w:hAnsi="宋体" w:eastAsia="宋体" w:cs="宋体"/>
          <w:sz w:val="24"/>
          <w:szCs w:val="24"/>
          <w:highlight w:val="none"/>
        </w:rPr>
        <w:t>供应商单位全称（签章）：</w:t>
      </w:r>
      <w:r>
        <w:rPr>
          <w:rFonts w:hint="eastAsia" w:ascii="宋体" w:hAnsi="宋体" w:eastAsia="宋体" w:cs="宋体"/>
          <w:sz w:val="24"/>
          <w:szCs w:val="24"/>
          <w:highlight w:val="none"/>
          <w:u w:val="single"/>
          <w:lang w:val="en-US" w:eastAsia="zh-CN"/>
        </w:rPr>
        <w:t xml:space="preserve">                </w:t>
      </w:r>
    </w:p>
    <w:p w14:paraId="77967A37">
      <w:pPr>
        <w:spacing w:line="500" w:lineRule="exact"/>
        <w:ind w:firstLine="3360" w:firstLineChars="1400"/>
        <w:rPr>
          <w:rFonts w:hint="default" w:ascii="宋体" w:hAnsi="宋体" w:eastAsia="宋体" w:cs="宋体"/>
          <w:sz w:val="24"/>
          <w:szCs w:val="24"/>
          <w:highlight w:val="none"/>
          <w:u w:val="single"/>
          <w:lang w:val="en-US" w:eastAsia="zh-CN"/>
        </w:rPr>
      </w:pPr>
      <w:r>
        <w:rPr>
          <w:rFonts w:hint="eastAsia" w:ascii="宋体" w:hAnsi="宋体" w:eastAsia="宋体" w:cs="宋体"/>
          <w:sz w:val="24"/>
          <w:szCs w:val="24"/>
          <w:highlight w:val="none"/>
        </w:rPr>
        <w:t>法定代表人（签章）：</w:t>
      </w:r>
      <w:r>
        <w:rPr>
          <w:rFonts w:hint="eastAsia" w:ascii="宋体" w:hAnsi="宋体" w:eastAsia="宋体" w:cs="宋体"/>
          <w:sz w:val="24"/>
          <w:szCs w:val="24"/>
          <w:highlight w:val="none"/>
          <w:u w:val="single"/>
          <w:lang w:val="en-US" w:eastAsia="zh-CN"/>
        </w:rPr>
        <w:t xml:space="preserve">                    </w:t>
      </w:r>
    </w:p>
    <w:p w14:paraId="23828CC8">
      <w:pPr>
        <w:snapToGrid w:val="0"/>
        <w:spacing w:line="500" w:lineRule="exact"/>
        <w:ind w:firstLine="480" w:firstLineChars="200"/>
        <w:jc w:val="right"/>
        <w:rPr>
          <w:rFonts w:ascii="宋体" w:hAnsi="宋体" w:eastAsia="宋体" w:cs="宋体"/>
          <w:sz w:val="24"/>
          <w:szCs w:val="24"/>
          <w:highlight w:val="none"/>
        </w:rPr>
      </w:pPr>
      <w:r>
        <w:rPr>
          <w:rFonts w:hint="eastAsia" w:ascii="宋体" w:hAnsi="宋体" w:eastAsia="宋体" w:cs="宋体"/>
          <w:sz w:val="24"/>
          <w:szCs w:val="24"/>
          <w:highlight w:val="none"/>
        </w:rPr>
        <w:t>日期：</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日</w:t>
      </w:r>
    </w:p>
    <w:p w14:paraId="40E8A899">
      <w:pPr>
        <w:widowControl/>
        <w:jc w:val="left"/>
        <w:rPr>
          <w:rFonts w:ascii="宋体" w:hAnsi="宋体" w:eastAsia="宋体" w:cs="宋体"/>
          <w:sz w:val="24"/>
          <w:szCs w:val="24"/>
          <w:highlight w:val="none"/>
        </w:rPr>
      </w:pPr>
      <w:r>
        <w:rPr>
          <w:rFonts w:ascii="宋体" w:hAnsi="宋体" w:eastAsia="宋体" w:cs="宋体"/>
          <w:sz w:val="24"/>
          <w:szCs w:val="24"/>
          <w:highlight w:val="none"/>
        </w:rPr>
        <w:br w:type="page"/>
      </w:r>
    </w:p>
    <w:p w14:paraId="4957A6D0">
      <w:pPr>
        <w:pStyle w:val="5"/>
        <w:bidi w:val="0"/>
      </w:pPr>
      <w:bookmarkStart w:id="66" w:name="_Toc173857152"/>
      <w:bookmarkStart w:id="67" w:name="_Toc8760"/>
      <w:bookmarkStart w:id="68" w:name="_Toc18457"/>
      <w:bookmarkStart w:id="69" w:name="_Toc16472"/>
      <w:bookmarkStart w:id="70" w:name="_Toc25388"/>
      <w:bookmarkStart w:id="71" w:name="_Toc18477"/>
      <w:r>
        <w:rPr>
          <w:rFonts w:hint="eastAsia"/>
        </w:rPr>
        <w:t>五、投标承诺函</w:t>
      </w:r>
      <w:bookmarkEnd w:id="66"/>
      <w:bookmarkEnd w:id="67"/>
      <w:bookmarkEnd w:id="68"/>
      <w:bookmarkEnd w:id="69"/>
      <w:bookmarkEnd w:id="70"/>
      <w:bookmarkEnd w:id="71"/>
    </w:p>
    <w:p w14:paraId="6956AAAA">
      <w:pPr>
        <w:snapToGrid w:val="0"/>
        <w:spacing w:line="500" w:lineRule="exact"/>
        <w:rPr>
          <w:rFonts w:hint="eastAsia" w:ascii="宋体" w:hAnsi="宋体" w:eastAsia="宋体" w:cs="宋体"/>
          <w:bCs/>
          <w:sz w:val="24"/>
          <w:szCs w:val="32"/>
          <w:highlight w:val="none"/>
          <w:lang w:eastAsia="zh-CN"/>
        </w:rPr>
      </w:pPr>
      <w:r>
        <w:rPr>
          <w:rFonts w:hint="eastAsia" w:ascii="宋体" w:hAnsi="宋体" w:eastAsia="宋体" w:cs="宋体"/>
          <w:bCs/>
          <w:sz w:val="24"/>
          <w:szCs w:val="32"/>
          <w:highlight w:val="none"/>
        </w:rPr>
        <w:t>致：</w:t>
      </w:r>
      <w:r>
        <w:rPr>
          <w:rFonts w:hint="eastAsia" w:ascii="宋体" w:hAnsi="宋体" w:eastAsia="宋体" w:cs="宋体"/>
          <w:bCs/>
          <w:sz w:val="24"/>
          <w:szCs w:val="32"/>
          <w:highlight w:val="none"/>
          <w:u w:val="single"/>
        </w:rPr>
        <w:t>济源市人民医院</w:t>
      </w:r>
    </w:p>
    <w:p w14:paraId="343E1EB8">
      <w:pPr>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根据法律法规及招标文件相关规定，我方</w:t>
      </w:r>
      <w:r>
        <w:rPr>
          <w:rFonts w:hint="eastAsia" w:ascii="宋体" w:hAnsi="宋体" w:eastAsia="宋体" w:cs="宋体"/>
          <w:bCs/>
          <w:sz w:val="24"/>
          <w:szCs w:val="32"/>
          <w:highlight w:val="none"/>
          <w:u w:val="single"/>
        </w:rPr>
        <w:t>(单位名称)</w:t>
      </w:r>
      <w:r>
        <w:rPr>
          <w:rFonts w:hint="eastAsia" w:ascii="宋体" w:hAnsi="宋体" w:eastAsia="宋体" w:cs="宋体"/>
          <w:bCs/>
          <w:sz w:val="24"/>
          <w:szCs w:val="32"/>
          <w:highlight w:val="none"/>
        </w:rPr>
        <w:t>在参加</w:t>
      </w:r>
      <w:r>
        <w:rPr>
          <w:rFonts w:hint="eastAsia" w:ascii="宋体" w:hAnsi="宋体" w:eastAsia="宋体" w:cs="宋体"/>
          <w:bCs/>
          <w:sz w:val="24"/>
          <w:szCs w:val="32"/>
          <w:highlight w:val="none"/>
          <w:u w:val="single"/>
        </w:rPr>
        <w:t>(项目名称)</w:t>
      </w:r>
      <w:r>
        <w:rPr>
          <w:rFonts w:hint="eastAsia" w:ascii="宋体" w:hAnsi="宋体" w:eastAsia="宋体" w:cs="宋体"/>
          <w:bCs/>
          <w:sz w:val="24"/>
          <w:szCs w:val="32"/>
          <w:highlight w:val="none"/>
        </w:rPr>
        <w:t>项目编号为的采购活动中，以投标承诺函的方式向贵方提供如下承诺：</w:t>
      </w:r>
    </w:p>
    <w:p w14:paraId="70501911">
      <w:pPr>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（1）承诺严格遵守《中华人民共和国政府采购法》等相关法律法规规定；</w:t>
      </w:r>
    </w:p>
    <w:p w14:paraId="2EA251E2">
      <w:pPr>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2）承诺在诚信库入库及参与政府采购活动中所提供的全部资料真实有效，如有虚假资料情况，将主动放弃中标权利，并承担由此给采购人造成的法律责任及经济损失。如有违反，采购人有权随时单方面提出解除合同，且不需做任何经济补偿、赔偿；</w:t>
      </w:r>
    </w:p>
    <w:p w14:paraId="7AE512B9">
      <w:pPr>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（3）承诺如我方中标，保证严格按照招标文件、投标文件、附件等资料内容履行相关义务，保证货物和服务质量符合贵单位的采购需求，否则，将承担相应法律责任。</w:t>
      </w:r>
    </w:p>
    <w:p w14:paraId="3B62CF94">
      <w:pPr>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我方有以下违法行为的，采购人有权取消我方中标资格，且我方自愿接受采购人按法律法规及招标文件规定给予的相应处罚：如由财政部门列入不良行为记录名单，禁止参加政府采购活动、承担相应法律责任等，并纳入统一的信用信息平台。</w:t>
      </w:r>
    </w:p>
    <w:p w14:paraId="0209056F">
      <w:pPr>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（1）在招标文件规定的投标有效期内未经采购人书面许可撤回投标文件的；</w:t>
      </w:r>
    </w:p>
    <w:p w14:paraId="3176E9C3">
      <w:pPr>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（2）中标后未在招标文件规定的时间内领取中标通知书或领取中标通知书后无正当理由拒不与采购人签订采购合同的；</w:t>
      </w:r>
    </w:p>
    <w:p w14:paraId="4FF4FF16">
      <w:pPr>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（3）在诚信库入库、参与投标过程中提供虚假材料、恶意串通、捏造事实或者以非法手段取得证明材料进行质疑、投诉的；</w:t>
      </w:r>
    </w:p>
    <w:p w14:paraId="74EF57CF">
      <w:pPr>
        <w:snapToGrid w:val="0"/>
        <w:spacing w:line="500" w:lineRule="exact"/>
        <w:ind w:firstLine="480" w:firstLineChars="200"/>
        <w:rPr>
          <w:rFonts w:ascii="宋体" w:hAnsi="宋体" w:eastAsia="宋体" w:cs="宋体"/>
          <w:bCs/>
          <w:sz w:val="24"/>
          <w:szCs w:val="32"/>
          <w:highlight w:val="none"/>
        </w:rPr>
      </w:pPr>
      <w:r>
        <w:rPr>
          <w:rFonts w:hint="eastAsia" w:ascii="宋体" w:hAnsi="宋体" w:eastAsia="宋体" w:cs="宋体"/>
          <w:bCs/>
          <w:sz w:val="24"/>
          <w:szCs w:val="32"/>
          <w:highlight w:val="none"/>
        </w:rPr>
        <w:t>（4）违反法律法规及招标文件规定的其他情形。</w:t>
      </w:r>
    </w:p>
    <w:p w14:paraId="1D49C265">
      <w:pPr>
        <w:snapToGrid w:val="0"/>
        <w:spacing w:line="500" w:lineRule="exact"/>
        <w:ind w:firstLine="480" w:firstLineChars="200"/>
        <w:rPr>
          <w:rFonts w:ascii="宋体" w:hAnsi="宋体" w:eastAsia="宋体" w:cs="宋体"/>
          <w:bCs/>
          <w:sz w:val="24"/>
          <w:szCs w:val="32"/>
          <w:highlight w:val="none"/>
        </w:rPr>
      </w:pPr>
    </w:p>
    <w:p w14:paraId="5FE4E735">
      <w:pPr>
        <w:spacing w:line="500" w:lineRule="exact"/>
        <w:ind w:firstLine="3360" w:firstLineChars="1400"/>
        <w:rPr>
          <w:rFonts w:hint="eastAsia" w:ascii="宋体" w:hAnsi="宋体" w:eastAsia="宋体" w:cs="宋体"/>
          <w:sz w:val="24"/>
          <w:szCs w:val="24"/>
          <w:highlight w:val="none"/>
          <w:u w:val="single"/>
          <w:lang w:val="en-US" w:eastAsia="zh-CN"/>
        </w:rPr>
      </w:pPr>
      <w:r>
        <w:rPr>
          <w:rFonts w:hint="eastAsia" w:ascii="宋体" w:hAnsi="宋体" w:eastAsia="宋体" w:cs="宋体"/>
          <w:sz w:val="24"/>
          <w:szCs w:val="24"/>
          <w:highlight w:val="none"/>
        </w:rPr>
        <w:t>供应商单位全称（签章）：</w:t>
      </w:r>
      <w:r>
        <w:rPr>
          <w:rFonts w:hint="eastAsia" w:ascii="宋体" w:hAnsi="宋体" w:eastAsia="宋体" w:cs="宋体"/>
          <w:sz w:val="24"/>
          <w:szCs w:val="24"/>
          <w:highlight w:val="none"/>
          <w:u w:val="single"/>
          <w:lang w:val="en-US" w:eastAsia="zh-CN"/>
        </w:rPr>
        <w:t xml:space="preserve">            </w:t>
      </w:r>
    </w:p>
    <w:p w14:paraId="015DA9C0">
      <w:pPr>
        <w:spacing w:line="500" w:lineRule="exact"/>
        <w:ind w:firstLine="3360" w:firstLineChars="1400"/>
        <w:rPr>
          <w:rFonts w:hint="default" w:ascii="宋体" w:hAnsi="宋体" w:eastAsia="宋体" w:cs="宋体"/>
          <w:sz w:val="24"/>
          <w:szCs w:val="24"/>
          <w:highlight w:val="none"/>
          <w:u w:val="single"/>
          <w:lang w:val="en-US" w:eastAsia="zh-CN"/>
        </w:rPr>
      </w:pPr>
      <w:r>
        <w:rPr>
          <w:rFonts w:hint="eastAsia" w:ascii="宋体" w:hAnsi="宋体" w:eastAsia="宋体" w:cs="宋体"/>
          <w:sz w:val="24"/>
          <w:szCs w:val="24"/>
          <w:highlight w:val="none"/>
        </w:rPr>
        <w:t>法定代表人（签章）：</w:t>
      </w:r>
      <w:r>
        <w:rPr>
          <w:rFonts w:hint="eastAsia" w:ascii="宋体" w:hAnsi="宋体" w:eastAsia="宋体" w:cs="宋体"/>
          <w:sz w:val="24"/>
          <w:szCs w:val="24"/>
          <w:highlight w:val="none"/>
          <w:u w:val="single"/>
          <w:lang w:val="en-US" w:eastAsia="zh-CN"/>
        </w:rPr>
        <w:t xml:space="preserve">                </w:t>
      </w:r>
    </w:p>
    <w:p w14:paraId="56FF2EFA">
      <w:pPr>
        <w:snapToGrid w:val="0"/>
        <w:spacing w:line="500" w:lineRule="exact"/>
        <w:ind w:firstLine="480" w:firstLineChars="200"/>
        <w:jc w:val="right"/>
        <w:rPr>
          <w:rFonts w:ascii="宋体" w:hAnsi="宋体" w:eastAsia="宋体" w:cs="宋体"/>
          <w:sz w:val="24"/>
          <w:szCs w:val="24"/>
          <w:highlight w:val="none"/>
        </w:rPr>
      </w:pPr>
      <w:r>
        <w:rPr>
          <w:rFonts w:hint="eastAsia" w:ascii="宋体" w:hAnsi="宋体" w:eastAsia="宋体" w:cs="宋体"/>
          <w:sz w:val="24"/>
          <w:szCs w:val="24"/>
          <w:highlight w:val="none"/>
        </w:rPr>
        <w:t>日期：</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日</w:t>
      </w:r>
    </w:p>
    <w:p w14:paraId="5E50EA90">
      <w:pPr>
        <w:widowControl/>
        <w:jc w:val="left"/>
        <w:rPr>
          <w:rFonts w:ascii="宋体" w:hAnsi="宋体" w:eastAsia="宋体" w:cs="宋体"/>
          <w:bCs/>
          <w:sz w:val="24"/>
          <w:szCs w:val="32"/>
          <w:highlight w:val="none"/>
        </w:rPr>
      </w:pPr>
      <w:r>
        <w:rPr>
          <w:rFonts w:ascii="宋体" w:hAnsi="宋体" w:eastAsia="宋体" w:cs="宋体"/>
          <w:bCs/>
          <w:sz w:val="24"/>
          <w:szCs w:val="32"/>
          <w:highlight w:val="none"/>
        </w:rPr>
        <w:br w:type="page"/>
      </w:r>
    </w:p>
    <w:p w14:paraId="6758CC6A">
      <w:pPr>
        <w:pStyle w:val="5"/>
        <w:bidi w:val="0"/>
      </w:pPr>
      <w:bookmarkStart w:id="72" w:name="_Toc27955"/>
      <w:bookmarkStart w:id="73" w:name="_Toc12469"/>
      <w:bookmarkStart w:id="74" w:name="_Toc17468"/>
      <w:bookmarkStart w:id="75" w:name="_Toc173857153"/>
      <w:bookmarkStart w:id="76" w:name="_Toc19825"/>
      <w:bookmarkStart w:id="77" w:name="_Toc28118"/>
      <w:r>
        <w:rPr>
          <w:rFonts w:hint="eastAsia"/>
        </w:rPr>
        <w:t>六、资格证明文件部分</w:t>
      </w:r>
      <w:bookmarkEnd w:id="72"/>
      <w:bookmarkEnd w:id="73"/>
      <w:bookmarkEnd w:id="74"/>
      <w:bookmarkEnd w:id="75"/>
      <w:bookmarkEnd w:id="76"/>
      <w:bookmarkEnd w:id="77"/>
    </w:p>
    <w:p w14:paraId="4CDA36A2">
      <w:pPr>
        <w:bidi w:val="0"/>
        <w:jc w:val="center"/>
        <w:rPr>
          <w:b/>
          <w:bCs/>
          <w:sz w:val="28"/>
          <w:szCs w:val="28"/>
        </w:rPr>
      </w:pPr>
      <w:bookmarkStart w:id="78" w:name="_Toc3215"/>
      <w:bookmarkStart w:id="79" w:name="_Toc30749"/>
      <w:bookmarkStart w:id="80" w:name="_Toc173857154"/>
      <w:bookmarkStart w:id="81" w:name="_Toc5334"/>
      <w:bookmarkStart w:id="82" w:name="_Toc9019"/>
      <w:r>
        <w:rPr>
          <w:rFonts w:hint="eastAsia"/>
          <w:b/>
          <w:bCs/>
          <w:sz w:val="28"/>
          <w:szCs w:val="28"/>
        </w:rPr>
        <w:t>（一）供应商信用承诺函</w:t>
      </w:r>
      <w:bookmarkEnd w:id="78"/>
      <w:bookmarkEnd w:id="79"/>
      <w:bookmarkEnd w:id="80"/>
      <w:bookmarkEnd w:id="81"/>
      <w:bookmarkEnd w:id="82"/>
    </w:p>
    <w:p w14:paraId="5E63B8D3">
      <w:pPr>
        <w:spacing w:line="540" w:lineRule="exact"/>
        <w:ind w:firstLine="480" w:firstLineChars="200"/>
        <w:rPr>
          <w:rFonts w:hint="eastAsia" w:ascii="宋体" w:hAnsi="宋体" w:eastAsia="宋体" w:cs="宋体"/>
          <w:sz w:val="24"/>
          <w:szCs w:val="24"/>
          <w:highlight w:val="none"/>
          <w:u w:val="single"/>
          <w:lang w:eastAsia="zh-CN"/>
        </w:rPr>
      </w:pPr>
      <w:r>
        <w:rPr>
          <w:rFonts w:hint="eastAsia" w:ascii="宋体" w:hAnsi="宋体" w:eastAsia="宋体" w:cs="宋体"/>
          <w:sz w:val="24"/>
          <w:szCs w:val="24"/>
          <w:highlight w:val="none"/>
        </w:rPr>
        <w:t>致(采购人或采购代理机构)：</w:t>
      </w:r>
    </w:p>
    <w:p w14:paraId="4A16D3C1">
      <w:pPr>
        <w:spacing w:line="540" w:lineRule="exact"/>
        <w:ind w:firstLine="480" w:firstLineChars="200"/>
        <w:rPr>
          <w:rFonts w:hint="eastAsia" w:ascii="宋体" w:hAnsi="宋体" w:eastAsia="宋体" w:cs="宋体"/>
          <w:sz w:val="24"/>
          <w:szCs w:val="24"/>
          <w:highlight w:val="none"/>
          <w:u w:val="single"/>
          <w:lang w:eastAsia="zh-CN"/>
        </w:rPr>
      </w:pPr>
      <w:r>
        <w:rPr>
          <w:rFonts w:hint="eastAsia" w:ascii="宋体" w:hAnsi="宋体" w:eastAsia="宋体" w:cs="宋体"/>
          <w:sz w:val="24"/>
          <w:szCs w:val="24"/>
          <w:highlight w:val="none"/>
        </w:rPr>
        <w:t>单位名称(自然人姓名)：</w:t>
      </w:r>
    </w:p>
    <w:p w14:paraId="6CEC53F8">
      <w:pPr>
        <w:spacing w:line="540" w:lineRule="exact"/>
        <w:ind w:firstLine="480" w:firstLineChars="200"/>
        <w:rPr>
          <w:rFonts w:hint="eastAsia" w:ascii="宋体" w:hAnsi="宋体" w:eastAsia="宋体" w:cs="宋体"/>
          <w:sz w:val="24"/>
          <w:szCs w:val="24"/>
          <w:highlight w:val="none"/>
          <w:u w:val="single"/>
          <w:lang w:eastAsia="zh-CN"/>
        </w:rPr>
      </w:pPr>
      <w:r>
        <w:rPr>
          <w:rFonts w:hint="eastAsia" w:ascii="宋体" w:hAnsi="宋体" w:eastAsia="宋体" w:cs="宋体"/>
          <w:sz w:val="24"/>
          <w:szCs w:val="24"/>
          <w:highlight w:val="none"/>
        </w:rPr>
        <w:t>统一社会信用代码(身份证号码)：</w:t>
      </w:r>
    </w:p>
    <w:p w14:paraId="3B3AEB55">
      <w:pPr>
        <w:spacing w:line="540" w:lineRule="exact"/>
        <w:ind w:firstLine="480" w:firstLineChars="200"/>
        <w:rPr>
          <w:rFonts w:hint="eastAsia" w:ascii="宋体" w:hAnsi="宋体" w:eastAsia="宋体" w:cs="宋体"/>
          <w:sz w:val="24"/>
          <w:szCs w:val="24"/>
          <w:highlight w:val="none"/>
          <w:u w:val="single"/>
          <w:lang w:eastAsia="zh-CN"/>
        </w:rPr>
      </w:pPr>
      <w:r>
        <w:rPr>
          <w:rFonts w:hint="eastAsia" w:ascii="宋体" w:hAnsi="宋体" w:eastAsia="宋体" w:cs="宋体"/>
          <w:sz w:val="24"/>
          <w:szCs w:val="24"/>
          <w:highlight w:val="none"/>
        </w:rPr>
        <w:t>法定代表人(负责人)：</w:t>
      </w:r>
    </w:p>
    <w:p w14:paraId="20D6B689">
      <w:pPr>
        <w:spacing w:line="540" w:lineRule="exact"/>
        <w:ind w:firstLine="480" w:firstLineChars="200"/>
        <w:rPr>
          <w:rFonts w:hint="eastAsia" w:ascii="宋体" w:hAnsi="宋体" w:eastAsia="宋体" w:cs="宋体"/>
          <w:sz w:val="24"/>
          <w:szCs w:val="24"/>
          <w:highlight w:val="none"/>
          <w:u w:val="single"/>
          <w:lang w:eastAsia="zh-CN"/>
        </w:rPr>
      </w:pPr>
      <w:r>
        <w:rPr>
          <w:rFonts w:hint="eastAsia" w:ascii="宋体" w:hAnsi="宋体" w:eastAsia="宋体" w:cs="宋体"/>
          <w:sz w:val="24"/>
          <w:szCs w:val="24"/>
          <w:highlight w:val="none"/>
        </w:rPr>
        <w:t>联系地址和电话：</w:t>
      </w:r>
    </w:p>
    <w:p w14:paraId="27715F96">
      <w:pPr>
        <w:spacing w:line="5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为维护公平竞争、规范有序的市场秩序，营造诚实守信的信用环境，共同推进社会信用体系建设，树立企业诚信守法形象，本企业对项目政府采购活动郑重承诺如下：</w:t>
      </w:r>
    </w:p>
    <w:p w14:paraId="6FB01B9C">
      <w:pPr>
        <w:spacing w:line="5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招标文件、本人承诺书的条件：</w:t>
      </w:r>
    </w:p>
    <w:p w14:paraId="4400D6CC">
      <w:pPr>
        <w:spacing w:line="5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(一)具有独立承担民事责任的能力；</w:t>
      </w:r>
    </w:p>
    <w:p w14:paraId="095BB2FD">
      <w:pPr>
        <w:spacing w:line="5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(二)具有良好的商业信誉和健全的财务会计制度；</w:t>
      </w:r>
    </w:p>
    <w:p w14:paraId="170EC8F2">
      <w:pPr>
        <w:spacing w:line="5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(三)具有履行合同所必需的设备和专业技术能力；</w:t>
      </w:r>
    </w:p>
    <w:p w14:paraId="7C019DC1">
      <w:pPr>
        <w:spacing w:line="5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(四)有依法缴纳税收和社会保障资金的良好记录；</w:t>
      </w:r>
    </w:p>
    <w:p w14:paraId="2D07D570">
      <w:pPr>
        <w:spacing w:line="5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(五)参加政府采购活动前三年内，在经营活动中没有重大违法记录；</w:t>
      </w:r>
    </w:p>
    <w:p w14:paraId="501E76B2">
      <w:pPr>
        <w:spacing w:line="5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(六)未被列入经营异常名录或者严重违法失信名单、失信被执行人、重大税收违法案件当事人名单、政府采购严重违法失信行为记录名单；</w:t>
      </w:r>
    </w:p>
    <w:p w14:paraId="72F72F6F">
      <w:pPr>
        <w:spacing w:line="5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(七)未被相关监管部门作出行政处罚且尚在处罚有效期内；</w:t>
      </w:r>
    </w:p>
    <w:p w14:paraId="6B3D80DF">
      <w:pPr>
        <w:spacing w:line="5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(八)未曾作出虚假采购承诺；</w:t>
      </w:r>
    </w:p>
    <w:p w14:paraId="479B7F7C">
      <w:pPr>
        <w:spacing w:line="5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(九)符合法律、行政法规规定的其他条件。</w:t>
      </w:r>
    </w:p>
    <w:p w14:paraId="3DBB950E">
      <w:pPr>
        <w:spacing w:line="5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二、我单位(本人)保证上述承诺事项的真实性。如有弄虚作假或其他违法违规行为，自愿按照规定将违背承诺行为作为失信行为记录到社会信用信息平台，并视同为“提供虚假材料谋取中标、成交”自愿接受政府采购监督管理部门处罚。</w:t>
      </w:r>
    </w:p>
    <w:p w14:paraId="255E1421">
      <w:pPr>
        <w:spacing w:line="540" w:lineRule="exact"/>
        <w:ind w:firstLine="3360" w:firstLineChars="1400"/>
        <w:rPr>
          <w:rFonts w:ascii="宋体" w:hAnsi="宋体" w:eastAsia="宋体" w:cs="宋体"/>
          <w:sz w:val="24"/>
          <w:szCs w:val="24"/>
          <w:highlight w:val="none"/>
        </w:rPr>
      </w:pPr>
    </w:p>
    <w:p w14:paraId="2C04BCD9">
      <w:pPr>
        <w:adjustRightInd w:val="0"/>
        <w:snapToGrid w:val="0"/>
        <w:spacing w:line="500" w:lineRule="exact"/>
        <w:ind w:firstLine="480" w:firstLineChars="200"/>
        <w:rPr>
          <w:rFonts w:hint="eastAsia" w:ascii="宋体" w:hAnsi="宋体" w:eastAsiaTheme="minorEastAsia"/>
          <w:sz w:val="24"/>
          <w:highlight w:val="none"/>
          <w:lang w:eastAsia="zh-CN"/>
        </w:rPr>
      </w:pPr>
      <w:r>
        <w:rPr>
          <w:rFonts w:hint="eastAsia" w:ascii="宋体" w:hAnsi="宋体"/>
          <w:sz w:val="24"/>
          <w:highlight w:val="none"/>
        </w:rPr>
        <w:t>供应商（签章）：</w:t>
      </w:r>
      <w:r>
        <w:rPr>
          <w:rFonts w:hint="eastAsia" w:ascii="宋体" w:hAnsi="宋体"/>
          <w:sz w:val="24"/>
          <w:highlight w:val="none"/>
          <w:u w:val="single"/>
          <w:lang w:val="en-US" w:eastAsia="zh-CN"/>
        </w:rPr>
        <w:t xml:space="preserve">              </w:t>
      </w:r>
    </w:p>
    <w:p w14:paraId="3F4639FC">
      <w:pPr>
        <w:adjustRightInd w:val="0"/>
        <w:snapToGrid w:val="0"/>
        <w:spacing w:line="500" w:lineRule="exact"/>
        <w:ind w:firstLine="480" w:firstLineChars="200"/>
        <w:rPr>
          <w:rFonts w:ascii="宋体" w:hAnsi="宋体"/>
          <w:sz w:val="24"/>
          <w:highlight w:val="none"/>
        </w:rPr>
      </w:pPr>
      <w:r>
        <w:rPr>
          <w:rFonts w:hint="eastAsia" w:ascii="宋体" w:hAnsi="宋体"/>
          <w:sz w:val="24"/>
          <w:highlight w:val="none"/>
        </w:rPr>
        <w:t>法定代表人、负责人、本人、或授权代表：（签章）</w:t>
      </w:r>
      <w:r>
        <w:rPr>
          <w:rFonts w:hint="eastAsia" w:ascii="宋体" w:hAnsi="宋体"/>
          <w:sz w:val="24"/>
          <w:highlight w:val="none"/>
          <w:u w:val="single"/>
          <w:lang w:val="en-US" w:eastAsia="zh-CN"/>
        </w:rPr>
        <w:t xml:space="preserve">       </w:t>
      </w:r>
    </w:p>
    <w:p w14:paraId="2B9B0AF4">
      <w:pPr>
        <w:wordWrap w:val="0"/>
        <w:spacing w:line="540" w:lineRule="exact"/>
        <w:ind w:firstLine="480" w:firstLineChars="200"/>
        <w:jc w:val="right"/>
        <w:rPr>
          <w:rFonts w:ascii="宋体" w:hAnsi="宋体"/>
          <w:sz w:val="24"/>
          <w:highlight w:val="none"/>
        </w:rPr>
      </w:pPr>
      <w:r>
        <w:rPr>
          <w:rFonts w:hint="eastAsia" w:ascii="宋体" w:hAnsi="宋体"/>
          <w:sz w:val="24"/>
          <w:highlight w:val="none"/>
        </w:rPr>
        <w:t>日期：</w:t>
      </w:r>
      <w:r>
        <w:rPr>
          <w:rFonts w:hint="eastAsia" w:ascii="宋体" w:hAnsi="宋体"/>
          <w:sz w:val="24"/>
          <w:highlight w:val="none"/>
          <w:lang w:val="en-US" w:eastAsia="zh-CN"/>
        </w:rPr>
        <w:t xml:space="preserve">   </w:t>
      </w:r>
      <w:r>
        <w:rPr>
          <w:rFonts w:hint="eastAsia" w:ascii="宋体" w:hAnsi="宋体"/>
          <w:sz w:val="24"/>
          <w:highlight w:val="none"/>
        </w:rPr>
        <w:t>年</w:t>
      </w:r>
      <w:r>
        <w:rPr>
          <w:rFonts w:hint="eastAsia" w:ascii="宋体" w:hAnsi="宋体"/>
          <w:sz w:val="24"/>
          <w:highlight w:val="none"/>
          <w:lang w:val="en-US" w:eastAsia="zh-CN"/>
        </w:rPr>
        <w:t xml:space="preserve">   </w:t>
      </w:r>
      <w:r>
        <w:rPr>
          <w:rFonts w:hint="eastAsia" w:ascii="宋体" w:hAnsi="宋体"/>
          <w:sz w:val="24"/>
          <w:highlight w:val="none"/>
        </w:rPr>
        <w:t>月</w:t>
      </w:r>
      <w:r>
        <w:rPr>
          <w:rFonts w:hint="eastAsia" w:ascii="宋体" w:hAnsi="宋体"/>
          <w:sz w:val="24"/>
          <w:highlight w:val="none"/>
          <w:lang w:val="en-US" w:eastAsia="zh-CN"/>
        </w:rPr>
        <w:t xml:space="preserve">  </w:t>
      </w:r>
      <w:r>
        <w:rPr>
          <w:rFonts w:hint="eastAsia" w:ascii="宋体" w:hAnsi="宋体"/>
          <w:sz w:val="24"/>
          <w:highlight w:val="none"/>
        </w:rPr>
        <w:t>日</w:t>
      </w:r>
    </w:p>
    <w:p w14:paraId="331E3612">
      <w:pPr>
        <w:adjustRightInd w:val="0"/>
        <w:snapToGrid w:val="0"/>
        <w:spacing w:line="500" w:lineRule="exact"/>
        <w:ind w:firstLine="482" w:firstLineChars="200"/>
        <w:jc w:val="left"/>
        <w:rPr>
          <w:rFonts w:hint="eastAsia" w:ascii="宋体" w:hAnsi="宋体" w:eastAsia="宋体" w:cs="宋体"/>
          <w:b/>
          <w:sz w:val="24"/>
          <w:szCs w:val="24"/>
          <w:highlight w:val="none"/>
        </w:rPr>
      </w:pPr>
    </w:p>
    <w:p w14:paraId="389F44CB">
      <w:pPr>
        <w:adjustRightInd w:val="0"/>
        <w:snapToGrid w:val="0"/>
        <w:spacing w:line="500" w:lineRule="exact"/>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rPr>
        <w:t>注</w:t>
      </w:r>
      <w:r>
        <w:rPr>
          <w:rFonts w:hint="eastAsia" w:ascii="宋体" w:hAnsi="宋体" w:eastAsia="宋体" w:cs="宋体"/>
          <w:b/>
          <w:sz w:val="24"/>
          <w:szCs w:val="24"/>
          <w:highlight w:val="none"/>
          <w:lang w:eastAsia="zh-CN"/>
        </w:rPr>
        <w:t>：</w:t>
      </w:r>
      <w:r>
        <w:rPr>
          <w:rFonts w:hint="eastAsia" w:ascii="宋体" w:hAnsi="宋体" w:eastAsia="宋体" w:cs="宋体"/>
          <w:b/>
          <w:sz w:val="24"/>
          <w:szCs w:val="24"/>
          <w:highlight w:val="none"/>
        </w:rPr>
        <w:t>1.供应商须在投标文件中按此模板提供供应商信用承诺函、未提供视为未实质性响应招标文件要求，按无效响应处理。</w:t>
      </w:r>
    </w:p>
    <w:p w14:paraId="0DA52E7A">
      <w:pPr>
        <w:spacing w:line="540" w:lineRule="exact"/>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rPr>
        <w:t>2.供应商的法定代表人或者授权代表的签字或盖章应真实、有效，如由授权代表签字或盖章的，应提供“法定代表人授权书”。</w:t>
      </w:r>
    </w:p>
    <w:p w14:paraId="7C0BF39B">
      <w:pPr>
        <w:widowControl/>
        <w:jc w:val="left"/>
        <w:rPr>
          <w:rFonts w:ascii="宋体" w:hAnsi="宋体" w:eastAsia="宋体" w:cs="宋体"/>
          <w:bCs/>
          <w:sz w:val="24"/>
          <w:szCs w:val="32"/>
          <w:highlight w:val="none"/>
        </w:rPr>
      </w:pPr>
      <w:r>
        <w:rPr>
          <w:rFonts w:ascii="宋体" w:hAnsi="宋体" w:eastAsia="宋体" w:cs="宋体"/>
          <w:bCs/>
          <w:sz w:val="24"/>
          <w:szCs w:val="32"/>
          <w:highlight w:val="none"/>
        </w:rPr>
        <w:br w:type="page"/>
      </w:r>
    </w:p>
    <w:p w14:paraId="49E13A3F">
      <w:pPr>
        <w:keepNext w:val="0"/>
        <w:keepLines w:val="0"/>
        <w:pageBreakBefore w:val="0"/>
        <w:widowControl w:val="0"/>
        <w:kinsoku/>
        <w:wordWrap w:val="0"/>
        <w:overflowPunct/>
        <w:topLinePunct/>
        <w:autoSpaceDE/>
        <w:autoSpaceDN/>
        <w:bidi w:val="0"/>
        <w:adjustRightInd/>
        <w:snapToGrid/>
        <w:spacing w:line="360" w:lineRule="auto"/>
        <w:ind w:left="0" w:right="0" w:firstLine="622" w:firstLineChars="200"/>
        <w:textAlignment w:val="auto"/>
        <w:rPr>
          <w:rFonts w:ascii="宋体" w:hAnsi="宋体" w:eastAsia="宋体" w:cs="宋体"/>
          <w:b/>
          <w:bCs/>
          <w:sz w:val="28"/>
          <w:szCs w:val="28"/>
        </w:rPr>
      </w:pPr>
      <w:bookmarkStart w:id="83" w:name="_Toc173857155"/>
      <w:bookmarkStart w:id="84" w:name="_Toc26701"/>
      <w:bookmarkStart w:id="85" w:name="_Toc30343"/>
      <w:bookmarkStart w:id="86" w:name="_Toc5266"/>
      <w:bookmarkStart w:id="87" w:name="_Toc14266"/>
      <w:r>
        <w:rPr>
          <w:rFonts w:ascii="宋体" w:hAnsi="宋体" w:eastAsia="宋体" w:cs="宋体"/>
          <w:b/>
          <w:bCs/>
          <w:spacing w:val="15"/>
          <w:sz w:val="28"/>
          <w:szCs w:val="28"/>
        </w:rPr>
        <w:t>（二）本项目专门面向中小企业采购，须提供中</w:t>
      </w:r>
      <w:r>
        <w:rPr>
          <w:rFonts w:ascii="宋体" w:hAnsi="宋体" w:eastAsia="宋体" w:cs="宋体"/>
          <w:b/>
          <w:bCs/>
          <w:spacing w:val="14"/>
          <w:sz w:val="28"/>
          <w:szCs w:val="28"/>
        </w:rPr>
        <w:t>小企业声明函或者残疾人</w:t>
      </w:r>
      <w:r>
        <w:rPr>
          <w:rFonts w:ascii="宋体" w:hAnsi="宋体" w:eastAsia="宋体" w:cs="宋体"/>
          <w:b/>
          <w:bCs/>
          <w:spacing w:val="17"/>
          <w:sz w:val="28"/>
          <w:szCs w:val="28"/>
        </w:rPr>
        <w:t>福利性单位声明函或者监狱企业证明材料。</w:t>
      </w:r>
    </w:p>
    <w:p w14:paraId="5FC5793C">
      <w:pPr>
        <w:keepNext w:val="0"/>
        <w:keepLines w:val="0"/>
        <w:pageBreakBefore w:val="0"/>
        <w:widowControl w:val="0"/>
        <w:kinsoku/>
        <w:wordWrap w:val="0"/>
        <w:overflowPunct/>
        <w:topLinePunct/>
        <w:autoSpaceDE/>
        <w:autoSpaceDN/>
        <w:bidi w:val="0"/>
        <w:adjustRightInd/>
        <w:snapToGrid/>
        <w:spacing w:line="360" w:lineRule="auto"/>
        <w:ind w:left="0" w:right="0" w:firstLine="516" w:firstLineChars="200"/>
        <w:textAlignment w:val="auto"/>
        <w:rPr>
          <w:rFonts w:ascii="宋体" w:hAnsi="宋体" w:eastAsia="宋体" w:cs="宋体"/>
          <w:spacing w:val="9"/>
          <w:sz w:val="24"/>
          <w:szCs w:val="24"/>
        </w:rPr>
      </w:pPr>
    </w:p>
    <w:p w14:paraId="137096AE">
      <w:pPr>
        <w:bidi w:val="0"/>
        <w:spacing w:line="360" w:lineRule="auto"/>
        <w:rPr>
          <w:rFonts w:hint="eastAsia" w:ascii="宋体" w:hAnsi="宋体" w:eastAsia="宋体" w:cs="宋体"/>
          <w:sz w:val="24"/>
          <w:szCs w:val="24"/>
        </w:rPr>
      </w:pPr>
      <w:r>
        <w:rPr>
          <w:rFonts w:hint="eastAsia" w:ascii="宋体" w:hAnsi="宋体" w:eastAsia="宋体" w:cs="宋体"/>
          <w:sz w:val="24"/>
          <w:szCs w:val="24"/>
        </w:rPr>
        <w:t>1.财库﹝2020﹞46号文件：中小企业声明函（见附件1）</w:t>
      </w:r>
    </w:p>
    <w:p w14:paraId="40BBCFB0">
      <w:pPr>
        <w:bidi w:val="0"/>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.财库〔2017〕141号文件：残疾人福利性单位声明函（见附件2）；</w:t>
      </w:r>
    </w:p>
    <w:p w14:paraId="546F9A24">
      <w:pPr>
        <w:bidi w:val="0"/>
        <w:spacing w:line="360" w:lineRule="auto"/>
        <w:rPr>
          <w:rFonts w:hint="eastAsia" w:ascii="宋体" w:hAnsi="宋体" w:eastAsia="宋体" w:cs="宋体"/>
          <w:sz w:val="24"/>
          <w:szCs w:val="24"/>
        </w:rPr>
        <w:sectPr>
          <w:footerReference r:id="rId7" w:type="default"/>
          <w:pgSz w:w="11906" w:h="16838"/>
          <w:pgMar w:top="1429" w:right="1497" w:bottom="1417" w:left="1480" w:header="0" w:footer="975" w:gutter="0"/>
          <w:pgNumType w:fmt="decimal"/>
          <w:cols w:space="0" w:num="1"/>
          <w:rtlGutter w:val="0"/>
          <w:docGrid w:linePitch="0" w:charSpace="0"/>
        </w:sectPr>
      </w:pPr>
      <w:r>
        <w:rPr>
          <w:rFonts w:hint="eastAsia" w:ascii="宋体" w:hAnsi="宋体" w:eastAsia="宋体" w:cs="宋体"/>
          <w:sz w:val="24"/>
          <w:szCs w:val="24"/>
          <w:lang w:val="en-US" w:eastAsia="zh-CN"/>
        </w:rPr>
        <w:t>3</w:t>
      </w:r>
      <w:r>
        <w:rPr>
          <w:rFonts w:hint="eastAsia" w:ascii="宋体" w:hAnsi="宋体" w:eastAsia="宋体" w:cs="宋体"/>
          <w:sz w:val="24"/>
          <w:szCs w:val="24"/>
        </w:rPr>
        <w:t>.财库〔2014〕68号文件：视同小微企业享受价格折扣的监狱企业提供省级以上监狱管理局、戒毒管理局（含新疆建设兵团）出具的属于监狱企业的证明文件（见附件</w:t>
      </w:r>
      <w:r>
        <w:rPr>
          <w:rFonts w:hint="eastAsia" w:ascii="宋体" w:hAnsi="宋体" w:eastAsia="宋体" w:cs="宋体"/>
          <w:sz w:val="24"/>
          <w:szCs w:val="24"/>
          <w:lang w:val="en-US" w:eastAsia="zh-CN"/>
        </w:rPr>
        <w:t>3</w:t>
      </w:r>
      <w:r>
        <w:rPr>
          <w:rFonts w:hint="eastAsia" w:ascii="宋体" w:hAnsi="宋体" w:eastAsia="宋体" w:cs="宋体"/>
          <w:sz w:val="24"/>
          <w:szCs w:val="24"/>
        </w:rPr>
        <w:t>）</w:t>
      </w:r>
    </w:p>
    <w:p w14:paraId="60BC1370">
      <w:pPr>
        <w:spacing w:before="70" w:line="220" w:lineRule="auto"/>
        <w:ind w:left="24"/>
        <w:rPr>
          <w:rFonts w:ascii="宋体" w:hAnsi="宋体" w:eastAsia="宋体" w:cs="宋体"/>
          <w:sz w:val="28"/>
          <w:szCs w:val="28"/>
        </w:rPr>
      </w:pPr>
      <w:r>
        <w:rPr>
          <w:rFonts w:ascii="宋体" w:hAnsi="宋体" w:eastAsia="宋体" w:cs="宋体"/>
          <w:b/>
          <w:bCs/>
          <w:spacing w:val="-14"/>
          <w:sz w:val="28"/>
          <w:szCs w:val="28"/>
        </w:rPr>
        <w:t>附件1</w:t>
      </w:r>
    </w:p>
    <w:p w14:paraId="3A2128C3">
      <w:pPr>
        <w:pStyle w:val="9"/>
        <w:spacing w:line="271" w:lineRule="auto"/>
        <w:rPr>
          <w:sz w:val="28"/>
          <w:szCs w:val="28"/>
        </w:rPr>
      </w:pPr>
    </w:p>
    <w:p w14:paraId="1D5E4950">
      <w:pPr>
        <w:spacing w:before="100" w:line="225" w:lineRule="auto"/>
        <w:ind w:left="3708"/>
        <w:rPr>
          <w:rFonts w:ascii="宋体" w:hAnsi="宋体" w:eastAsia="宋体" w:cs="宋体"/>
          <w:sz w:val="28"/>
          <w:szCs w:val="28"/>
        </w:rPr>
      </w:pPr>
      <w:r>
        <w:rPr>
          <w:rFonts w:ascii="宋体" w:hAnsi="宋体" w:eastAsia="宋体" w:cs="宋体"/>
          <w:b/>
          <w:bCs/>
          <w:spacing w:val="1"/>
          <w:sz w:val="28"/>
          <w:szCs w:val="28"/>
        </w:rPr>
        <w:t>中小企业声明函</w:t>
      </w:r>
    </w:p>
    <w:p w14:paraId="5DC5E291">
      <w:pPr>
        <w:pStyle w:val="9"/>
        <w:spacing w:line="307" w:lineRule="auto"/>
      </w:pPr>
    </w:p>
    <w:p w14:paraId="1D7254DB">
      <w:pPr>
        <w:spacing w:before="78" w:line="360" w:lineRule="auto"/>
        <w:ind w:left="1" w:right="95" w:firstLine="480"/>
        <w:jc w:val="both"/>
        <w:rPr>
          <w:rFonts w:ascii="宋体" w:hAnsi="宋体" w:eastAsia="宋体" w:cs="宋体"/>
          <w:sz w:val="24"/>
          <w:szCs w:val="24"/>
        </w:rPr>
      </w:pPr>
      <w:r>
        <w:rPr>
          <w:rFonts w:ascii="宋体" w:hAnsi="宋体" w:eastAsia="宋体" w:cs="宋体"/>
          <w:sz w:val="24"/>
          <w:szCs w:val="24"/>
        </w:rPr>
        <w:t>本公司（联合体）郑重声明，根据《政府采购促进中</w:t>
      </w:r>
      <w:r>
        <w:rPr>
          <w:rFonts w:ascii="宋体" w:hAnsi="宋体" w:eastAsia="宋体" w:cs="宋体"/>
          <w:spacing w:val="-1"/>
          <w:sz w:val="24"/>
          <w:szCs w:val="24"/>
        </w:rPr>
        <w:t>小企业发展管理办法》（财</w:t>
      </w:r>
      <w:r>
        <w:rPr>
          <w:rFonts w:ascii="宋体" w:hAnsi="宋体" w:eastAsia="宋体" w:cs="宋体"/>
          <w:spacing w:val="-3"/>
          <w:sz w:val="24"/>
          <w:szCs w:val="24"/>
        </w:rPr>
        <w:t>库[</w:t>
      </w:r>
      <w:r>
        <w:fldChar w:fldCharType="begin"/>
      </w:r>
      <w:r>
        <w:instrText xml:space="preserve"> HYPERLINK \l "bookmark14" </w:instrText>
      </w:r>
      <w:r>
        <w:fldChar w:fldCharType="separate"/>
      </w:r>
      <w:r>
        <w:rPr>
          <w:rFonts w:ascii="宋体" w:hAnsi="宋体" w:eastAsia="宋体" w:cs="宋体"/>
          <w:spacing w:val="-3"/>
          <w:sz w:val="24"/>
          <w:szCs w:val="24"/>
        </w:rPr>
        <w:t>2020</w:t>
      </w:r>
      <w:r>
        <w:rPr>
          <w:rFonts w:ascii="宋体" w:hAnsi="宋体" w:eastAsia="宋体" w:cs="宋体"/>
          <w:spacing w:val="-3"/>
          <w:sz w:val="24"/>
          <w:szCs w:val="24"/>
        </w:rPr>
        <w:fldChar w:fldCharType="end"/>
      </w:r>
      <w:r>
        <w:rPr>
          <w:rFonts w:ascii="宋体" w:hAnsi="宋体" w:eastAsia="宋体" w:cs="宋体"/>
          <w:spacing w:val="-3"/>
          <w:sz w:val="24"/>
          <w:szCs w:val="24"/>
        </w:rPr>
        <w:t>]46号）的规定，本公司（联合体）参加</w:t>
      </w:r>
      <w:r>
        <w:rPr>
          <w:rFonts w:ascii="宋体" w:hAnsi="宋体" w:eastAsia="宋体" w:cs="宋体"/>
          <w:spacing w:val="-3"/>
          <w:sz w:val="24"/>
          <w:szCs w:val="24"/>
          <w:u w:val="single" w:color="auto"/>
        </w:rPr>
        <w:t>（单位名称）</w:t>
      </w:r>
      <w:r>
        <w:rPr>
          <w:rFonts w:ascii="宋体" w:hAnsi="宋体" w:eastAsia="宋体" w:cs="宋体"/>
          <w:spacing w:val="-3"/>
          <w:sz w:val="24"/>
          <w:szCs w:val="24"/>
        </w:rPr>
        <w:t>的</w:t>
      </w:r>
      <w:r>
        <w:rPr>
          <w:rFonts w:ascii="宋体" w:hAnsi="宋体" w:eastAsia="宋体" w:cs="宋体"/>
          <w:spacing w:val="-3"/>
          <w:sz w:val="24"/>
          <w:szCs w:val="24"/>
          <w:u w:val="single" w:color="auto"/>
        </w:rPr>
        <w:t>（项目名称）</w:t>
      </w:r>
      <w:r>
        <w:rPr>
          <w:rFonts w:ascii="宋体" w:hAnsi="宋体" w:eastAsia="宋体" w:cs="宋体"/>
          <w:spacing w:val="-3"/>
          <w:sz w:val="24"/>
          <w:szCs w:val="24"/>
        </w:rPr>
        <w:t>采</w:t>
      </w:r>
      <w:r>
        <w:rPr>
          <w:rFonts w:ascii="宋体" w:hAnsi="宋体" w:eastAsia="宋体" w:cs="宋体"/>
          <w:spacing w:val="-4"/>
          <w:sz w:val="24"/>
          <w:szCs w:val="24"/>
        </w:rPr>
        <w:t>购活</w:t>
      </w:r>
      <w:r>
        <w:rPr>
          <w:rFonts w:ascii="宋体" w:hAnsi="宋体" w:eastAsia="宋体" w:cs="宋体"/>
          <w:sz w:val="24"/>
          <w:szCs w:val="24"/>
        </w:rPr>
        <w:t>动，工程的施工单位全部为符合政策要求的中小企业（或</w:t>
      </w:r>
      <w:r>
        <w:rPr>
          <w:rFonts w:ascii="宋体" w:hAnsi="宋体" w:eastAsia="宋体" w:cs="宋体"/>
          <w:spacing w:val="-1"/>
          <w:sz w:val="24"/>
          <w:szCs w:val="24"/>
        </w:rPr>
        <w:t>者：服务全部由符合政策要</w:t>
      </w:r>
      <w:r>
        <w:rPr>
          <w:rFonts w:ascii="宋体" w:hAnsi="宋体" w:eastAsia="宋体" w:cs="宋体"/>
          <w:sz w:val="24"/>
          <w:szCs w:val="24"/>
        </w:rPr>
        <w:t>求的中小企业承接）。相关企业（含联合体中的中小企业</w:t>
      </w:r>
      <w:r>
        <w:rPr>
          <w:rFonts w:ascii="宋体" w:hAnsi="宋体" w:eastAsia="宋体" w:cs="宋体"/>
          <w:spacing w:val="-1"/>
          <w:sz w:val="24"/>
          <w:szCs w:val="24"/>
        </w:rPr>
        <w:t>、签订分包意向协议的中小企业）的具体情况如下：</w:t>
      </w:r>
    </w:p>
    <w:p w14:paraId="603021D7">
      <w:pPr>
        <w:spacing w:before="72" w:line="360" w:lineRule="auto"/>
        <w:ind w:right="95" w:firstLine="498"/>
        <w:rPr>
          <w:rFonts w:ascii="宋体" w:hAnsi="宋体" w:eastAsia="宋体" w:cs="宋体"/>
          <w:sz w:val="24"/>
          <w:szCs w:val="24"/>
        </w:rPr>
      </w:pPr>
      <w:r>
        <w:rPr>
          <w:rFonts w:ascii="宋体" w:hAnsi="宋体" w:eastAsia="宋体" w:cs="宋体"/>
          <w:spacing w:val="-4"/>
          <w:sz w:val="24"/>
          <w:szCs w:val="24"/>
        </w:rPr>
        <w:t>1.</w:t>
      </w:r>
      <w:r>
        <w:rPr>
          <w:rFonts w:ascii="宋体" w:hAnsi="宋体" w:eastAsia="宋体" w:cs="宋体"/>
          <w:spacing w:val="-4"/>
          <w:sz w:val="24"/>
          <w:szCs w:val="24"/>
          <w:u w:val="single" w:color="auto"/>
        </w:rPr>
        <w:t>（标的名称</w:t>
      </w:r>
      <w:r>
        <w:rPr>
          <w:rFonts w:ascii="宋体" w:hAnsi="宋体" w:eastAsia="宋体" w:cs="宋体"/>
          <w:spacing w:val="-13"/>
          <w:sz w:val="24"/>
          <w:szCs w:val="24"/>
          <w:u w:val="single" w:color="auto"/>
        </w:rPr>
        <w:t>）</w:t>
      </w:r>
      <w:r>
        <w:rPr>
          <w:rFonts w:ascii="宋体" w:hAnsi="宋体" w:eastAsia="宋体" w:cs="宋体"/>
          <w:spacing w:val="-13"/>
          <w:sz w:val="24"/>
          <w:szCs w:val="24"/>
        </w:rPr>
        <w:t>，</w:t>
      </w:r>
      <w:r>
        <w:rPr>
          <w:rFonts w:ascii="宋体" w:hAnsi="宋体" w:eastAsia="宋体" w:cs="宋体"/>
          <w:spacing w:val="-4"/>
          <w:sz w:val="24"/>
          <w:szCs w:val="24"/>
        </w:rPr>
        <w:t>属于</w:t>
      </w:r>
      <w:r>
        <w:rPr>
          <w:rFonts w:ascii="宋体" w:hAnsi="宋体" w:eastAsia="宋体" w:cs="宋体"/>
          <w:spacing w:val="-4"/>
          <w:sz w:val="24"/>
          <w:szCs w:val="24"/>
          <w:u w:val="single" w:color="auto"/>
        </w:rPr>
        <w:t>（采购文件中明确的所属行业</w:t>
      </w:r>
      <w:r>
        <w:rPr>
          <w:rFonts w:ascii="宋体" w:hAnsi="宋体" w:eastAsia="宋体" w:cs="宋体"/>
          <w:spacing w:val="-13"/>
          <w:sz w:val="24"/>
          <w:szCs w:val="24"/>
          <w:u w:val="single" w:color="auto"/>
        </w:rPr>
        <w:t>）</w:t>
      </w:r>
      <w:r>
        <w:rPr>
          <w:rFonts w:ascii="宋体" w:hAnsi="宋体" w:eastAsia="宋体" w:cs="宋体"/>
          <w:spacing w:val="-13"/>
          <w:sz w:val="24"/>
          <w:szCs w:val="24"/>
        </w:rPr>
        <w:t>；</w:t>
      </w:r>
      <w:r>
        <w:rPr>
          <w:rFonts w:ascii="宋体" w:hAnsi="宋体" w:eastAsia="宋体" w:cs="宋体"/>
          <w:spacing w:val="-4"/>
          <w:sz w:val="24"/>
          <w:szCs w:val="24"/>
        </w:rPr>
        <w:t>承建（承接</w:t>
      </w:r>
      <w:r>
        <w:rPr>
          <w:rFonts w:ascii="宋体" w:hAnsi="宋体" w:eastAsia="宋体" w:cs="宋体"/>
          <w:spacing w:val="-5"/>
          <w:sz w:val="24"/>
          <w:szCs w:val="24"/>
        </w:rPr>
        <w:t>）企业为</w:t>
      </w:r>
      <w:r>
        <w:rPr>
          <w:rFonts w:ascii="宋体" w:hAnsi="宋体" w:eastAsia="宋体" w:cs="宋体"/>
          <w:spacing w:val="-5"/>
          <w:sz w:val="24"/>
          <w:szCs w:val="24"/>
          <w:u w:val="single" w:color="auto"/>
        </w:rPr>
        <w:t>（企</w:t>
      </w:r>
      <w:r>
        <w:rPr>
          <w:rFonts w:ascii="宋体" w:hAnsi="宋体" w:eastAsia="宋体" w:cs="宋体"/>
          <w:spacing w:val="-2"/>
          <w:sz w:val="24"/>
          <w:szCs w:val="24"/>
          <w:u w:val="single" w:color="auto"/>
        </w:rPr>
        <w:t>业名称</w:t>
      </w:r>
      <w:r>
        <w:rPr>
          <w:rFonts w:ascii="宋体" w:hAnsi="宋体" w:eastAsia="宋体" w:cs="宋体"/>
          <w:spacing w:val="-1"/>
          <w:sz w:val="24"/>
          <w:szCs w:val="24"/>
          <w:u w:val="single" w:color="auto"/>
        </w:rPr>
        <w:t>）</w:t>
      </w:r>
      <w:r>
        <w:rPr>
          <w:rFonts w:ascii="宋体" w:hAnsi="宋体" w:eastAsia="宋体" w:cs="宋体"/>
          <w:spacing w:val="-1"/>
          <w:sz w:val="24"/>
          <w:szCs w:val="24"/>
        </w:rPr>
        <w:t>，</w:t>
      </w:r>
      <w:r>
        <w:rPr>
          <w:rFonts w:ascii="宋体" w:hAnsi="宋体" w:eastAsia="宋体" w:cs="宋体"/>
          <w:spacing w:val="-2"/>
          <w:sz w:val="24"/>
          <w:szCs w:val="24"/>
        </w:rPr>
        <w:t>从业人员人，营业收入为万元，资产总额为</w:t>
      </w:r>
      <w:r>
        <w:rPr>
          <w:rFonts w:ascii="宋体" w:hAnsi="宋体" w:eastAsia="宋体" w:cs="宋体"/>
          <w:spacing w:val="-3"/>
          <w:sz w:val="24"/>
          <w:szCs w:val="24"/>
        </w:rPr>
        <w:t>万元，属于</w:t>
      </w:r>
      <w:r>
        <w:rPr>
          <w:rFonts w:ascii="宋体" w:hAnsi="宋体" w:eastAsia="宋体" w:cs="宋体"/>
          <w:spacing w:val="-3"/>
          <w:sz w:val="24"/>
          <w:szCs w:val="24"/>
          <w:u w:val="single" w:color="auto"/>
        </w:rPr>
        <w:t>（中型企</w:t>
      </w:r>
      <w:r>
        <w:rPr>
          <w:rFonts w:ascii="宋体" w:hAnsi="宋体" w:eastAsia="宋体" w:cs="宋体"/>
          <w:spacing w:val="-1"/>
          <w:sz w:val="24"/>
          <w:szCs w:val="24"/>
          <w:u w:val="single" w:color="auto"/>
        </w:rPr>
        <w:t>业、小型企业、微型企业</w:t>
      </w:r>
      <w:r>
        <w:rPr>
          <w:rFonts w:ascii="宋体" w:hAnsi="宋体" w:eastAsia="宋体" w:cs="宋体"/>
          <w:sz w:val="24"/>
          <w:szCs w:val="24"/>
          <w:u w:val="single" w:color="auto"/>
        </w:rPr>
        <w:t>）</w:t>
      </w:r>
      <w:r>
        <w:rPr>
          <w:rFonts w:ascii="宋体" w:hAnsi="宋体" w:eastAsia="宋体" w:cs="宋体"/>
          <w:sz w:val="24"/>
          <w:szCs w:val="24"/>
        </w:rPr>
        <w:t>；</w:t>
      </w:r>
    </w:p>
    <w:p w14:paraId="7DEA630E">
      <w:pPr>
        <w:spacing w:before="1" w:line="361" w:lineRule="auto"/>
        <w:ind w:right="95" w:firstLine="483"/>
        <w:rPr>
          <w:rFonts w:ascii="宋体" w:hAnsi="宋体" w:eastAsia="宋体" w:cs="宋体"/>
          <w:sz w:val="24"/>
          <w:szCs w:val="24"/>
        </w:rPr>
      </w:pPr>
      <w:r>
        <w:rPr>
          <w:rFonts w:ascii="宋体" w:hAnsi="宋体" w:eastAsia="宋体" w:cs="宋体"/>
          <w:spacing w:val="-4"/>
          <w:sz w:val="24"/>
          <w:szCs w:val="24"/>
        </w:rPr>
        <w:t>2.</w:t>
      </w:r>
      <w:r>
        <w:rPr>
          <w:rFonts w:ascii="宋体" w:hAnsi="宋体" w:eastAsia="宋体" w:cs="宋体"/>
          <w:spacing w:val="-4"/>
          <w:sz w:val="24"/>
          <w:szCs w:val="24"/>
          <w:u w:val="single" w:color="auto"/>
        </w:rPr>
        <w:t>（标的名称</w:t>
      </w:r>
      <w:r>
        <w:rPr>
          <w:rFonts w:ascii="宋体" w:hAnsi="宋体" w:eastAsia="宋体" w:cs="宋体"/>
          <w:spacing w:val="-11"/>
          <w:sz w:val="24"/>
          <w:szCs w:val="24"/>
          <w:u w:val="single" w:color="auto"/>
        </w:rPr>
        <w:t>）</w:t>
      </w:r>
      <w:r>
        <w:rPr>
          <w:rFonts w:ascii="宋体" w:hAnsi="宋体" w:eastAsia="宋体" w:cs="宋体"/>
          <w:spacing w:val="-11"/>
          <w:sz w:val="24"/>
          <w:szCs w:val="24"/>
        </w:rPr>
        <w:t>，</w:t>
      </w:r>
      <w:r>
        <w:rPr>
          <w:rFonts w:ascii="宋体" w:hAnsi="宋体" w:eastAsia="宋体" w:cs="宋体"/>
          <w:spacing w:val="-4"/>
          <w:sz w:val="24"/>
          <w:szCs w:val="24"/>
        </w:rPr>
        <w:t>属于</w:t>
      </w:r>
      <w:r>
        <w:rPr>
          <w:rFonts w:ascii="宋体" w:hAnsi="宋体" w:eastAsia="宋体" w:cs="宋体"/>
          <w:spacing w:val="-4"/>
          <w:sz w:val="24"/>
          <w:szCs w:val="24"/>
          <w:u w:val="single" w:color="auto"/>
        </w:rPr>
        <w:t>（采购文件中明确的所属行业</w:t>
      </w:r>
      <w:r>
        <w:rPr>
          <w:rFonts w:ascii="宋体" w:hAnsi="宋体" w:eastAsia="宋体" w:cs="宋体"/>
          <w:spacing w:val="-11"/>
          <w:sz w:val="24"/>
          <w:szCs w:val="24"/>
          <w:u w:val="single" w:color="auto"/>
        </w:rPr>
        <w:t>）</w:t>
      </w:r>
      <w:r>
        <w:rPr>
          <w:rFonts w:ascii="宋体" w:hAnsi="宋体" w:eastAsia="宋体" w:cs="宋体"/>
          <w:spacing w:val="-11"/>
          <w:sz w:val="24"/>
          <w:szCs w:val="24"/>
        </w:rPr>
        <w:t>；</w:t>
      </w:r>
      <w:r>
        <w:rPr>
          <w:rFonts w:ascii="宋体" w:hAnsi="宋体" w:eastAsia="宋体" w:cs="宋体"/>
          <w:spacing w:val="-4"/>
          <w:sz w:val="24"/>
          <w:szCs w:val="24"/>
        </w:rPr>
        <w:t>承建（承接）企业为</w:t>
      </w:r>
      <w:r>
        <w:rPr>
          <w:rFonts w:ascii="宋体" w:hAnsi="宋体" w:eastAsia="宋体" w:cs="宋体"/>
          <w:spacing w:val="-4"/>
          <w:sz w:val="24"/>
          <w:szCs w:val="24"/>
          <w:u w:val="single" w:color="auto"/>
        </w:rPr>
        <w:t>（企</w:t>
      </w:r>
      <w:r>
        <w:rPr>
          <w:rFonts w:ascii="宋体" w:hAnsi="宋体" w:eastAsia="宋体" w:cs="宋体"/>
          <w:spacing w:val="-2"/>
          <w:sz w:val="24"/>
          <w:szCs w:val="24"/>
          <w:u w:val="single" w:color="auto"/>
        </w:rPr>
        <w:t>业名称</w:t>
      </w:r>
      <w:r>
        <w:rPr>
          <w:rFonts w:ascii="宋体" w:hAnsi="宋体" w:eastAsia="宋体" w:cs="宋体"/>
          <w:spacing w:val="-1"/>
          <w:sz w:val="24"/>
          <w:szCs w:val="24"/>
          <w:u w:val="single" w:color="auto"/>
        </w:rPr>
        <w:t>）</w:t>
      </w:r>
      <w:r>
        <w:rPr>
          <w:rFonts w:ascii="宋体" w:hAnsi="宋体" w:eastAsia="宋体" w:cs="宋体"/>
          <w:spacing w:val="-1"/>
          <w:sz w:val="24"/>
          <w:szCs w:val="24"/>
        </w:rPr>
        <w:t>，</w:t>
      </w:r>
      <w:r>
        <w:rPr>
          <w:rFonts w:ascii="宋体" w:hAnsi="宋体" w:eastAsia="宋体" w:cs="宋体"/>
          <w:spacing w:val="-2"/>
          <w:sz w:val="24"/>
          <w:szCs w:val="24"/>
        </w:rPr>
        <w:t>从业人员人，营业收入为万元，资产总额为</w:t>
      </w:r>
      <w:r>
        <w:rPr>
          <w:rFonts w:ascii="宋体" w:hAnsi="宋体" w:eastAsia="宋体" w:cs="宋体"/>
          <w:spacing w:val="-3"/>
          <w:sz w:val="24"/>
          <w:szCs w:val="24"/>
        </w:rPr>
        <w:t>万元，属于</w:t>
      </w:r>
      <w:r>
        <w:rPr>
          <w:rFonts w:ascii="宋体" w:hAnsi="宋体" w:eastAsia="宋体" w:cs="宋体"/>
          <w:spacing w:val="-3"/>
          <w:sz w:val="24"/>
          <w:szCs w:val="24"/>
          <w:u w:val="single" w:color="auto"/>
        </w:rPr>
        <w:t>（中型企</w:t>
      </w:r>
      <w:r>
        <w:rPr>
          <w:rFonts w:ascii="宋体" w:hAnsi="宋体" w:eastAsia="宋体" w:cs="宋体"/>
          <w:spacing w:val="-1"/>
          <w:sz w:val="24"/>
          <w:szCs w:val="24"/>
          <w:u w:val="single" w:color="auto"/>
        </w:rPr>
        <w:t>业、小型企业、微型企业</w:t>
      </w:r>
      <w:r>
        <w:rPr>
          <w:rFonts w:ascii="宋体" w:hAnsi="宋体" w:eastAsia="宋体" w:cs="宋体"/>
          <w:sz w:val="24"/>
          <w:szCs w:val="24"/>
          <w:u w:val="single" w:color="auto"/>
        </w:rPr>
        <w:t>）</w:t>
      </w:r>
      <w:r>
        <w:rPr>
          <w:rFonts w:ascii="宋体" w:hAnsi="宋体" w:eastAsia="宋体" w:cs="宋体"/>
          <w:sz w:val="24"/>
          <w:szCs w:val="24"/>
        </w:rPr>
        <w:t>；</w:t>
      </w:r>
    </w:p>
    <w:p w14:paraId="5BD01459">
      <w:pPr>
        <w:spacing w:before="192" w:line="360" w:lineRule="auto"/>
        <w:ind w:right="98" w:firstLine="508"/>
        <w:rPr>
          <w:rFonts w:ascii="宋体" w:hAnsi="宋体" w:eastAsia="宋体" w:cs="宋体"/>
          <w:sz w:val="24"/>
          <w:szCs w:val="24"/>
        </w:rPr>
      </w:pPr>
      <w:r>
        <w:rPr>
          <w:rFonts w:ascii="宋体" w:hAnsi="宋体" w:eastAsia="宋体" w:cs="宋体"/>
          <w:spacing w:val="1"/>
          <w:sz w:val="24"/>
          <w:szCs w:val="24"/>
        </w:rPr>
        <w:t>以上企业，不属于大企业的分支机构，不存在控股股东为大企业的情形，也不存</w:t>
      </w:r>
      <w:r>
        <w:rPr>
          <w:rFonts w:ascii="宋体" w:hAnsi="宋体" w:eastAsia="宋体" w:cs="宋体"/>
          <w:spacing w:val="-1"/>
          <w:sz w:val="24"/>
          <w:szCs w:val="24"/>
        </w:rPr>
        <w:t>在与大企业的负责人为同一人的情形。</w:t>
      </w:r>
    </w:p>
    <w:p w14:paraId="20536C8B">
      <w:pPr>
        <w:spacing w:before="1" w:line="219" w:lineRule="auto"/>
        <w:ind w:left="481"/>
        <w:rPr>
          <w:rFonts w:ascii="宋体" w:hAnsi="宋体" w:eastAsia="宋体" w:cs="宋体"/>
          <w:sz w:val="24"/>
          <w:szCs w:val="24"/>
        </w:rPr>
      </w:pPr>
      <w:r>
        <w:rPr>
          <w:rFonts w:ascii="宋体" w:hAnsi="宋体" w:eastAsia="宋体" w:cs="宋体"/>
          <w:sz w:val="24"/>
          <w:szCs w:val="24"/>
        </w:rPr>
        <w:t>本企业对上述声明内容的真实性负责。如有虚</w:t>
      </w:r>
      <w:r>
        <w:rPr>
          <w:rFonts w:ascii="宋体" w:hAnsi="宋体" w:eastAsia="宋体" w:cs="宋体"/>
          <w:spacing w:val="-1"/>
          <w:sz w:val="24"/>
          <w:szCs w:val="24"/>
        </w:rPr>
        <w:t>假，将依法承担相应责任。</w:t>
      </w:r>
    </w:p>
    <w:p w14:paraId="6189CC26">
      <w:pPr>
        <w:pStyle w:val="9"/>
        <w:spacing w:line="284" w:lineRule="auto"/>
      </w:pPr>
    </w:p>
    <w:p w14:paraId="555E7160">
      <w:pPr>
        <w:keepNext w:val="0"/>
        <w:keepLines w:val="0"/>
        <w:pageBreakBefore w:val="0"/>
        <w:widowControl w:val="0"/>
        <w:kinsoku w:val="0"/>
        <w:wordWrap/>
        <w:overflowPunct/>
        <w:topLinePunct w:val="0"/>
        <w:autoSpaceDE w:val="0"/>
        <w:autoSpaceDN w:val="0"/>
        <w:bidi w:val="0"/>
        <w:adjustRightInd/>
        <w:snapToGrid/>
        <w:spacing w:line="500" w:lineRule="exact"/>
        <w:ind w:left="0" w:leftChars="0" w:right="0" w:rightChars="0" w:firstLine="5280" w:firstLineChars="2200"/>
        <w:jc w:val="both"/>
        <w:textAlignment w:val="auto"/>
        <w:outlineLvl w:val="9"/>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供应商名称：（签章）</w:t>
      </w:r>
      <w:r>
        <w:rPr>
          <w:rFonts w:hint="eastAsia" w:ascii="宋体" w:hAnsi="宋体" w:eastAsia="宋体" w:cs="宋体"/>
          <w:color w:val="auto"/>
          <w:kern w:val="2"/>
          <w:sz w:val="24"/>
          <w:szCs w:val="24"/>
          <w:highlight w:val="none"/>
          <w:u w:val="single"/>
          <w:lang w:val="en-US" w:eastAsia="zh-CN" w:bidi="ar-SA"/>
        </w:rPr>
        <w:t xml:space="preserve">           </w:t>
      </w:r>
    </w:p>
    <w:p w14:paraId="382D3DD0">
      <w:pPr>
        <w:keepNext w:val="0"/>
        <w:keepLines w:val="0"/>
        <w:pageBreakBefore w:val="0"/>
        <w:widowControl w:val="0"/>
        <w:kinsoku w:val="0"/>
        <w:wordWrap/>
        <w:overflowPunct/>
        <w:topLinePunct w:val="0"/>
        <w:autoSpaceDE w:val="0"/>
        <w:autoSpaceDN w:val="0"/>
        <w:bidi w:val="0"/>
        <w:adjustRightInd/>
        <w:snapToGrid/>
        <w:spacing w:line="500" w:lineRule="exact"/>
        <w:ind w:right="0" w:rightChars="0" w:firstLine="6000" w:firstLineChars="2500"/>
        <w:jc w:val="both"/>
        <w:textAlignment w:val="auto"/>
        <w:outlineLvl w:val="9"/>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日期：   年  月  日</w:t>
      </w:r>
    </w:p>
    <w:p w14:paraId="2C031F76">
      <w:pPr>
        <w:pStyle w:val="9"/>
        <w:spacing w:line="292" w:lineRule="auto"/>
      </w:pPr>
    </w:p>
    <w:p w14:paraId="405EFC17">
      <w:pPr>
        <w:spacing w:before="72" w:line="222" w:lineRule="auto"/>
        <w:ind w:left="482"/>
        <w:rPr>
          <w:rFonts w:ascii="宋体" w:hAnsi="宋体" w:eastAsia="宋体" w:cs="宋体"/>
          <w:sz w:val="22"/>
          <w:szCs w:val="22"/>
        </w:rPr>
      </w:pPr>
      <w:r>
        <w:rPr>
          <w:rFonts w:ascii="宋体" w:hAnsi="宋体" w:eastAsia="宋体" w:cs="宋体"/>
          <w:spacing w:val="3"/>
          <w:sz w:val="22"/>
          <w:szCs w:val="22"/>
        </w:rPr>
        <w:t>备注：</w:t>
      </w:r>
    </w:p>
    <w:p w14:paraId="2382A928">
      <w:pPr>
        <w:spacing w:before="1" w:line="360" w:lineRule="auto"/>
        <w:ind w:left="481"/>
        <w:rPr>
          <w:rFonts w:ascii="宋体" w:hAnsi="宋体" w:eastAsia="宋体" w:cs="宋体"/>
          <w:sz w:val="24"/>
          <w:szCs w:val="24"/>
        </w:rPr>
      </w:pPr>
      <w:r>
        <w:rPr>
          <w:rFonts w:ascii="宋体" w:hAnsi="宋体" w:eastAsia="宋体" w:cs="宋体"/>
          <w:sz w:val="24"/>
          <w:szCs w:val="24"/>
        </w:rPr>
        <w:t>1.本项目所属行业：租赁和商务服务业。</w:t>
      </w:r>
    </w:p>
    <w:p w14:paraId="0D38B03F">
      <w:pPr>
        <w:spacing w:before="1" w:line="360" w:lineRule="auto"/>
        <w:ind w:left="481"/>
        <w:rPr>
          <w:rFonts w:ascii="宋体" w:hAnsi="宋体" w:eastAsia="宋体" w:cs="宋体"/>
          <w:sz w:val="24"/>
          <w:szCs w:val="24"/>
        </w:rPr>
      </w:pPr>
      <w:r>
        <w:rPr>
          <w:rFonts w:ascii="宋体" w:hAnsi="宋体" w:eastAsia="宋体" w:cs="宋体"/>
          <w:sz w:val="24"/>
          <w:szCs w:val="24"/>
        </w:rPr>
        <w:t>2.供应商填写前请认真阅读《政府采购促进中小企业发展管理办法》（财库﹝2020﹞46号）和《工业和信息化部、国家统计局、国家发展和改革委员会、财政部关于印发中小企业划型标准规定的通知》（工信部联企业〔2011〕300号文）的相关规定。</w:t>
      </w:r>
    </w:p>
    <w:p w14:paraId="029BCCCB">
      <w:pPr>
        <w:spacing w:line="220" w:lineRule="auto"/>
        <w:rPr>
          <w:rFonts w:ascii="宋体" w:hAnsi="宋体" w:eastAsia="宋体" w:cs="宋体"/>
          <w:sz w:val="22"/>
          <w:szCs w:val="22"/>
        </w:rPr>
        <w:sectPr>
          <w:footerReference r:id="rId8" w:type="default"/>
          <w:pgSz w:w="11906" w:h="16838"/>
          <w:pgMar w:top="1429" w:right="1497" w:bottom="1417" w:left="1480" w:header="0" w:footer="975" w:gutter="0"/>
          <w:pgNumType w:fmt="decimal"/>
          <w:cols w:space="0" w:num="1"/>
          <w:rtlGutter w:val="0"/>
          <w:docGrid w:linePitch="0" w:charSpace="0"/>
        </w:sectPr>
      </w:pPr>
    </w:p>
    <w:p w14:paraId="0D35F660">
      <w:pPr>
        <w:spacing w:before="63" w:line="225" w:lineRule="auto"/>
        <w:ind w:left="28"/>
        <w:rPr>
          <w:rFonts w:ascii="宋体" w:hAnsi="宋体" w:eastAsia="宋体" w:cs="宋体"/>
          <w:sz w:val="28"/>
          <w:szCs w:val="28"/>
        </w:rPr>
      </w:pPr>
      <w:r>
        <w:rPr>
          <w:rFonts w:ascii="宋体" w:hAnsi="宋体" w:eastAsia="宋体" w:cs="宋体"/>
          <w:b/>
          <w:bCs/>
          <w:spacing w:val="-9"/>
          <w:sz w:val="28"/>
          <w:szCs w:val="28"/>
        </w:rPr>
        <w:t>附件2</w:t>
      </w:r>
    </w:p>
    <w:p w14:paraId="6BF4C0B6">
      <w:pPr>
        <w:spacing w:before="247" w:line="225" w:lineRule="auto"/>
        <w:ind w:left="2154"/>
        <w:rPr>
          <w:rFonts w:ascii="宋体" w:hAnsi="宋体" w:eastAsia="宋体" w:cs="宋体"/>
          <w:sz w:val="28"/>
          <w:szCs w:val="28"/>
        </w:rPr>
      </w:pPr>
      <w:r>
        <w:rPr>
          <w:rFonts w:ascii="宋体" w:hAnsi="宋体" w:eastAsia="宋体" w:cs="宋体"/>
          <w:b/>
          <w:bCs/>
          <w:spacing w:val="4"/>
          <w:sz w:val="28"/>
          <w:szCs w:val="28"/>
        </w:rPr>
        <w:t>残疾人福利性单位声明函（若是）</w:t>
      </w:r>
    </w:p>
    <w:p w14:paraId="5290171B">
      <w:pPr>
        <w:pStyle w:val="9"/>
        <w:spacing w:line="279" w:lineRule="auto"/>
      </w:pPr>
    </w:p>
    <w:p w14:paraId="526E8362">
      <w:pPr>
        <w:pStyle w:val="9"/>
        <w:spacing w:line="279" w:lineRule="auto"/>
      </w:pPr>
    </w:p>
    <w:p w14:paraId="637EB196">
      <w:pPr>
        <w:spacing w:before="78" w:line="360" w:lineRule="auto"/>
        <w:ind w:firstLine="481"/>
        <w:jc w:val="both"/>
        <w:rPr>
          <w:rFonts w:ascii="宋体" w:hAnsi="宋体" w:eastAsia="宋体" w:cs="宋体"/>
          <w:sz w:val="24"/>
          <w:szCs w:val="24"/>
        </w:rPr>
      </w:pPr>
      <w:r>
        <w:rPr>
          <w:rFonts w:ascii="宋体" w:hAnsi="宋体" w:eastAsia="宋体" w:cs="宋体"/>
          <w:spacing w:val="-2"/>
          <w:sz w:val="24"/>
          <w:szCs w:val="24"/>
        </w:rPr>
        <w:t>本单位郑重声明，根据《财政部民政部中国残疾人联合会</w:t>
      </w:r>
      <w:r>
        <w:rPr>
          <w:rFonts w:ascii="宋体" w:hAnsi="宋体" w:eastAsia="宋体" w:cs="宋体"/>
          <w:spacing w:val="-3"/>
          <w:sz w:val="24"/>
          <w:szCs w:val="24"/>
        </w:rPr>
        <w:t>关于促进残疾人就业</w:t>
      </w:r>
      <w:r>
        <w:rPr>
          <w:rFonts w:ascii="宋体" w:hAnsi="宋体" w:eastAsia="宋体" w:cs="宋体"/>
          <w:spacing w:val="-1"/>
          <w:sz w:val="24"/>
          <w:szCs w:val="24"/>
        </w:rPr>
        <w:t>政府采购政策的通知》（财库〔2017〕141号）的规定，本单位</w:t>
      </w:r>
      <w:r>
        <w:rPr>
          <w:rFonts w:ascii="宋体" w:hAnsi="宋体" w:eastAsia="宋体" w:cs="宋体"/>
          <w:spacing w:val="-2"/>
          <w:sz w:val="24"/>
          <w:szCs w:val="24"/>
        </w:rPr>
        <w:t>为符合条件的残疾人福利性单位，且本单位参加单位的项目采购活动提供本单位制造的货物</w:t>
      </w:r>
      <w:r>
        <w:rPr>
          <w:rFonts w:ascii="宋体" w:hAnsi="宋体" w:eastAsia="宋体" w:cs="宋体"/>
          <w:spacing w:val="-1"/>
          <w:sz w:val="24"/>
          <w:szCs w:val="24"/>
        </w:rPr>
        <w:t>（由本单位承担工程/提供服务</w:t>
      </w:r>
      <w:r>
        <w:rPr>
          <w:rFonts w:ascii="宋体" w:hAnsi="宋体" w:eastAsia="宋体" w:cs="宋体"/>
          <w:spacing w:val="-8"/>
          <w:sz w:val="24"/>
          <w:szCs w:val="24"/>
        </w:rPr>
        <w:t>），</w:t>
      </w:r>
      <w:r>
        <w:rPr>
          <w:rFonts w:ascii="宋体" w:hAnsi="宋体" w:eastAsia="宋体" w:cs="宋体"/>
          <w:spacing w:val="-1"/>
          <w:sz w:val="24"/>
          <w:szCs w:val="24"/>
        </w:rPr>
        <w:t>或者提供其他残疾人福利性单位制造的货物（不包括使用非残疾人福利性单位注册商标的货物）。</w:t>
      </w:r>
    </w:p>
    <w:p w14:paraId="758A04A3">
      <w:pPr>
        <w:spacing w:line="219" w:lineRule="auto"/>
        <w:ind w:left="481"/>
        <w:rPr>
          <w:rFonts w:ascii="宋体" w:hAnsi="宋体" w:eastAsia="宋体" w:cs="宋体"/>
          <w:sz w:val="24"/>
          <w:szCs w:val="24"/>
        </w:rPr>
      </w:pPr>
      <w:r>
        <w:rPr>
          <w:rFonts w:ascii="宋体" w:hAnsi="宋体" w:eastAsia="宋体" w:cs="宋体"/>
          <w:spacing w:val="-1"/>
          <w:sz w:val="24"/>
          <w:szCs w:val="24"/>
        </w:rPr>
        <w:t>本单位对上述声明的真实性负责。如有虚假，将依法承担相应责任。</w:t>
      </w:r>
    </w:p>
    <w:p w14:paraId="0A2B9772">
      <w:pPr>
        <w:pStyle w:val="9"/>
        <w:spacing w:line="284" w:lineRule="auto"/>
      </w:pPr>
    </w:p>
    <w:p w14:paraId="4759CE28">
      <w:pPr>
        <w:pStyle w:val="9"/>
        <w:spacing w:line="285" w:lineRule="auto"/>
      </w:pPr>
    </w:p>
    <w:p w14:paraId="18415BC8">
      <w:pPr>
        <w:keepNext w:val="0"/>
        <w:keepLines w:val="0"/>
        <w:pageBreakBefore w:val="0"/>
        <w:widowControl w:val="0"/>
        <w:kinsoku w:val="0"/>
        <w:wordWrap/>
        <w:overflowPunct/>
        <w:topLinePunct w:val="0"/>
        <w:autoSpaceDE w:val="0"/>
        <w:autoSpaceDN w:val="0"/>
        <w:bidi w:val="0"/>
        <w:adjustRightInd/>
        <w:snapToGrid/>
        <w:spacing w:line="500" w:lineRule="exact"/>
        <w:ind w:left="0" w:leftChars="0" w:right="0" w:rightChars="0" w:firstLine="5280" w:firstLineChars="2200"/>
        <w:jc w:val="both"/>
        <w:textAlignment w:val="auto"/>
        <w:outlineLvl w:val="9"/>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供应商名称：（签章）</w:t>
      </w:r>
      <w:r>
        <w:rPr>
          <w:rFonts w:hint="eastAsia" w:ascii="宋体" w:hAnsi="宋体" w:eastAsia="宋体" w:cs="宋体"/>
          <w:color w:val="auto"/>
          <w:kern w:val="2"/>
          <w:sz w:val="24"/>
          <w:szCs w:val="24"/>
          <w:highlight w:val="none"/>
          <w:u w:val="single"/>
          <w:lang w:val="en-US" w:eastAsia="zh-CN" w:bidi="ar-SA"/>
        </w:rPr>
        <w:t xml:space="preserve">           </w:t>
      </w:r>
    </w:p>
    <w:p w14:paraId="60C04B5D">
      <w:pPr>
        <w:keepNext w:val="0"/>
        <w:keepLines w:val="0"/>
        <w:pageBreakBefore w:val="0"/>
        <w:widowControl w:val="0"/>
        <w:kinsoku w:val="0"/>
        <w:wordWrap/>
        <w:overflowPunct/>
        <w:topLinePunct w:val="0"/>
        <w:autoSpaceDE w:val="0"/>
        <w:autoSpaceDN w:val="0"/>
        <w:bidi w:val="0"/>
        <w:adjustRightInd/>
        <w:snapToGrid/>
        <w:spacing w:line="500" w:lineRule="exact"/>
        <w:ind w:right="0" w:rightChars="0" w:firstLine="6000" w:firstLineChars="2500"/>
        <w:jc w:val="both"/>
        <w:textAlignment w:val="auto"/>
        <w:outlineLvl w:val="9"/>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日期：   年  月  日</w:t>
      </w:r>
    </w:p>
    <w:p w14:paraId="4B0ADA45">
      <w:pPr>
        <w:pStyle w:val="9"/>
      </w:pPr>
    </w:p>
    <w:p w14:paraId="4E11143A">
      <w:pPr>
        <w:pStyle w:val="9"/>
      </w:pPr>
    </w:p>
    <w:p w14:paraId="2AFECE5C">
      <w:pPr>
        <w:pStyle w:val="9"/>
        <w:spacing w:line="241" w:lineRule="auto"/>
      </w:pPr>
    </w:p>
    <w:p w14:paraId="21C4CB14">
      <w:pPr>
        <w:pStyle w:val="9"/>
        <w:spacing w:line="241" w:lineRule="auto"/>
      </w:pPr>
    </w:p>
    <w:p w14:paraId="69829E2D">
      <w:pPr>
        <w:pStyle w:val="9"/>
        <w:spacing w:line="241" w:lineRule="auto"/>
      </w:pPr>
    </w:p>
    <w:p w14:paraId="6C2E8EC3">
      <w:pPr>
        <w:spacing w:before="72" w:line="222" w:lineRule="auto"/>
        <w:ind w:left="2"/>
        <w:rPr>
          <w:rFonts w:ascii="宋体" w:hAnsi="宋体" w:eastAsia="宋体" w:cs="宋体"/>
          <w:sz w:val="22"/>
          <w:szCs w:val="22"/>
        </w:rPr>
      </w:pPr>
      <w:r>
        <w:rPr>
          <w:rFonts w:ascii="宋体" w:hAnsi="宋体" w:eastAsia="宋体" w:cs="宋体"/>
          <w:spacing w:val="-4"/>
          <w:sz w:val="22"/>
          <w:szCs w:val="22"/>
        </w:rPr>
        <w:t>备注：</w:t>
      </w:r>
    </w:p>
    <w:p w14:paraId="5C062EB3">
      <w:pPr>
        <w:spacing w:before="202" w:line="393" w:lineRule="auto"/>
        <w:ind w:left="17" w:hanging="1"/>
        <w:rPr>
          <w:rFonts w:ascii="宋体" w:hAnsi="宋体" w:eastAsia="宋体" w:cs="宋体"/>
          <w:sz w:val="22"/>
          <w:szCs w:val="22"/>
        </w:rPr>
      </w:pPr>
      <w:r>
        <w:rPr>
          <w:rFonts w:ascii="宋体" w:hAnsi="宋体" w:eastAsia="宋体" w:cs="宋体"/>
          <w:spacing w:val="1"/>
          <w:sz w:val="22"/>
          <w:szCs w:val="22"/>
        </w:rPr>
        <w:t>1.供应商须对声明的真实性负责，如供应商提供的</w:t>
      </w:r>
      <w:r>
        <w:rPr>
          <w:rFonts w:ascii="宋体" w:hAnsi="宋体" w:eastAsia="宋体" w:cs="宋体"/>
          <w:sz w:val="22"/>
          <w:szCs w:val="22"/>
        </w:rPr>
        <w:t>《残疾人福利性单位声明函》与事实不符</w:t>
      </w:r>
      <w:r>
        <w:rPr>
          <w:rFonts w:ascii="宋体" w:hAnsi="宋体" w:eastAsia="宋体" w:cs="宋体"/>
          <w:spacing w:val="-1"/>
          <w:sz w:val="22"/>
          <w:szCs w:val="22"/>
        </w:rPr>
        <w:t>的，依照《政府采购法》第七十七条第一款的规定追究法律责任。</w:t>
      </w:r>
    </w:p>
    <w:p w14:paraId="7F0333F2">
      <w:pPr>
        <w:spacing w:line="220" w:lineRule="auto"/>
        <w:ind w:left="2"/>
        <w:rPr>
          <w:rFonts w:ascii="宋体" w:hAnsi="宋体" w:eastAsia="宋体" w:cs="宋体"/>
          <w:sz w:val="22"/>
          <w:szCs w:val="22"/>
        </w:rPr>
      </w:pPr>
      <w:r>
        <w:rPr>
          <w:rFonts w:ascii="宋体" w:hAnsi="宋体" w:eastAsia="宋体" w:cs="宋体"/>
          <w:spacing w:val="-1"/>
          <w:sz w:val="22"/>
          <w:szCs w:val="22"/>
        </w:rPr>
        <w:t>2.不填写或不提交本函的，视为不适用相关政策。</w:t>
      </w:r>
    </w:p>
    <w:p w14:paraId="0F7DB736">
      <w:pPr>
        <w:spacing w:line="220" w:lineRule="auto"/>
        <w:rPr>
          <w:rFonts w:ascii="宋体" w:hAnsi="宋体" w:eastAsia="宋体" w:cs="宋体"/>
          <w:sz w:val="22"/>
          <w:szCs w:val="22"/>
        </w:rPr>
      </w:pPr>
    </w:p>
    <w:p w14:paraId="1785C4C7">
      <w:pPr>
        <w:bidi w:val="0"/>
      </w:pPr>
    </w:p>
    <w:p w14:paraId="134EE9AE">
      <w:pPr>
        <w:bidi w:val="0"/>
      </w:pPr>
    </w:p>
    <w:p w14:paraId="6C99FE60">
      <w:pPr>
        <w:bidi w:val="0"/>
      </w:pPr>
    </w:p>
    <w:p w14:paraId="6EA24666">
      <w:pPr>
        <w:bidi w:val="0"/>
      </w:pPr>
    </w:p>
    <w:p w14:paraId="488D59B2">
      <w:pPr>
        <w:bidi w:val="0"/>
      </w:pPr>
    </w:p>
    <w:p w14:paraId="1B002BB9">
      <w:pPr>
        <w:bidi w:val="0"/>
      </w:pPr>
    </w:p>
    <w:p w14:paraId="2F240DFE">
      <w:pPr>
        <w:bidi w:val="0"/>
      </w:pPr>
    </w:p>
    <w:p w14:paraId="4F64DCBB">
      <w:pPr>
        <w:bidi w:val="0"/>
      </w:pPr>
    </w:p>
    <w:p w14:paraId="4E399BB3">
      <w:pPr>
        <w:bidi w:val="0"/>
      </w:pPr>
    </w:p>
    <w:p w14:paraId="6885860C">
      <w:pPr>
        <w:bidi w:val="0"/>
      </w:pPr>
    </w:p>
    <w:p w14:paraId="5AFE9B0E">
      <w:pPr>
        <w:bidi w:val="0"/>
      </w:pPr>
    </w:p>
    <w:p w14:paraId="1BFF4C98">
      <w:pPr>
        <w:bidi w:val="0"/>
      </w:pPr>
    </w:p>
    <w:p w14:paraId="5F2E09C3">
      <w:pPr>
        <w:bidi w:val="0"/>
      </w:pPr>
    </w:p>
    <w:p w14:paraId="65771A52">
      <w:pPr>
        <w:bidi w:val="0"/>
      </w:pPr>
    </w:p>
    <w:p w14:paraId="4097BE6F">
      <w:pPr>
        <w:bidi w:val="0"/>
      </w:pPr>
    </w:p>
    <w:p w14:paraId="7E33B01F">
      <w:pPr>
        <w:rPr>
          <w:rFonts w:ascii="宋体" w:hAnsi="宋体" w:eastAsia="宋体" w:cs="宋体"/>
          <w:sz w:val="22"/>
          <w:szCs w:val="22"/>
        </w:rPr>
      </w:pPr>
    </w:p>
    <w:p w14:paraId="09060DB2">
      <w:pPr>
        <w:keepNext w:val="0"/>
        <w:keepLines w:val="0"/>
        <w:pageBreakBefore w:val="0"/>
        <w:widowControl w:val="0"/>
        <w:numPr>
          <w:ilvl w:val="0"/>
          <w:numId w:val="0"/>
        </w:numPr>
        <w:kinsoku w:val="0"/>
        <w:wordWrap/>
        <w:overflowPunct/>
        <w:topLinePunct w:val="0"/>
        <w:autoSpaceDE w:val="0"/>
        <w:autoSpaceDN w:val="0"/>
        <w:bidi w:val="0"/>
        <w:adjustRightInd/>
        <w:snapToGrid/>
        <w:spacing w:line="500" w:lineRule="exact"/>
        <w:ind w:right="0" w:rightChars="0"/>
        <w:jc w:val="both"/>
        <w:textAlignment w:val="auto"/>
        <w:outlineLvl w:val="9"/>
        <w:rPr>
          <w:rFonts w:hint="eastAsia" w:ascii="宋体" w:hAnsi="宋体" w:eastAsia="宋体" w:cs="宋体"/>
          <w:b/>
          <w:bCs/>
          <w:color w:val="auto"/>
          <w:kern w:val="2"/>
          <w:sz w:val="28"/>
          <w:szCs w:val="28"/>
          <w:highlight w:val="none"/>
          <w:lang w:val="en-US" w:eastAsia="zh-CN" w:bidi="ar-SA"/>
        </w:rPr>
      </w:pPr>
    </w:p>
    <w:p w14:paraId="71F381BD">
      <w:pPr>
        <w:keepNext w:val="0"/>
        <w:keepLines w:val="0"/>
        <w:pageBreakBefore w:val="0"/>
        <w:widowControl w:val="0"/>
        <w:numPr>
          <w:ilvl w:val="0"/>
          <w:numId w:val="0"/>
        </w:numPr>
        <w:kinsoku w:val="0"/>
        <w:wordWrap/>
        <w:overflowPunct/>
        <w:topLinePunct w:val="0"/>
        <w:autoSpaceDE w:val="0"/>
        <w:autoSpaceDN w:val="0"/>
        <w:bidi w:val="0"/>
        <w:adjustRightInd/>
        <w:snapToGrid/>
        <w:spacing w:line="500" w:lineRule="exact"/>
        <w:ind w:right="0" w:rightChars="0"/>
        <w:jc w:val="both"/>
        <w:textAlignment w:val="auto"/>
        <w:outlineLvl w:val="9"/>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附件3</w:t>
      </w:r>
    </w:p>
    <w:p w14:paraId="2E684A6B">
      <w:pPr>
        <w:keepNext w:val="0"/>
        <w:keepLines w:val="0"/>
        <w:pageBreakBefore w:val="0"/>
        <w:widowControl w:val="0"/>
        <w:numPr>
          <w:ilvl w:val="0"/>
          <w:numId w:val="0"/>
        </w:numPr>
        <w:kinsoku w:val="0"/>
        <w:wordWrap/>
        <w:overflowPunct/>
        <w:topLinePunct w:val="0"/>
        <w:autoSpaceDE w:val="0"/>
        <w:autoSpaceDN w:val="0"/>
        <w:bidi w:val="0"/>
        <w:adjustRightInd/>
        <w:snapToGrid/>
        <w:spacing w:line="500" w:lineRule="exact"/>
        <w:ind w:right="0" w:rightChars="0"/>
        <w:jc w:val="center"/>
        <w:textAlignment w:val="auto"/>
        <w:outlineLvl w:val="9"/>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监狱企业证明材料（若是）</w:t>
      </w:r>
    </w:p>
    <w:p w14:paraId="2CDBF377">
      <w:pPr>
        <w:pStyle w:val="21"/>
        <w:rPr>
          <w:rFonts w:hint="eastAsia"/>
          <w:lang w:val="en-US" w:eastAsia="zh-CN"/>
        </w:rPr>
      </w:pPr>
    </w:p>
    <w:p w14:paraId="1771B95D">
      <w:pPr>
        <w:keepNext w:val="0"/>
        <w:keepLines w:val="0"/>
        <w:pageBreakBefore w:val="0"/>
        <w:kinsoku/>
        <w:overflowPunct/>
        <w:topLinePunct w:val="0"/>
        <w:autoSpaceDE/>
        <w:autoSpaceDN/>
        <w:bidi w:val="0"/>
        <w:adjustRightInd/>
        <w:spacing w:line="500" w:lineRule="exact"/>
        <w:ind w:right="0" w:rightChars="0" w:firstLine="504" w:firstLineChars="200"/>
        <w:rPr>
          <w:rFonts w:hint="eastAsia" w:ascii="宋体" w:hAnsi="宋体" w:cs="宋体"/>
          <w:spacing w:val="6"/>
          <w:sz w:val="24"/>
          <w:lang w:val="en-US" w:eastAsia="zh-CN"/>
        </w:rPr>
      </w:pPr>
      <w:r>
        <w:rPr>
          <w:rFonts w:hint="eastAsia" w:ascii="宋体" w:hAnsi="宋体" w:cs="宋体"/>
          <w:spacing w:val="6"/>
          <w:sz w:val="24"/>
          <w:lang w:val="en-US" w:eastAsia="zh-CN"/>
        </w:rPr>
        <w:t>提供省级以上监狱管理局、戒毒管理局（含新疆建设兵团）出具的属于监狱企业的证明文件。</w:t>
      </w:r>
    </w:p>
    <w:p w14:paraId="58B523DB">
      <w:pPr>
        <w:pStyle w:val="21"/>
        <w:rPr>
          <w:rFonts w:hint="eastAsia" w:ascii="宋体" w:hAnsi="宋体" w:cs="宋体"/>
          <w:spacing w:val="6"/>
          <w:sz w:val="24"/>
          <w:lang w:val="en-US" w:eastAsia="zh-CN"/>
        </w:rPr>
      </w:pPr>
    </w:p>
    <w:p w14:paraId="1FDD49AB">
      <w:pPr>
        <w:rPr>
          <w:rFonts w:hint="eastAsia" w:ascii="宋体" w:hAnsi="宋体" w:cs="宋体"/>
          <w:spacing w:val="6"/>
          <w:sz w:val="24"/>
          <w:lang w:val="en-US" w:eastAsia="zh-CN"/>
        </w:rPr>
      </w:pPr>
    </w:p>
    <w:p w14:paraId="1098EDB2">
      <w:pPr>
        <w:pStyle w:val="21"/>
        <w:rPr>
          <w:rFonts w:hint="eastAsia"/>
          <w:lang w:val="en-US" w:eastAsia="zh-CN"/>
        </w:rPr>
      </w:pPr>
    </w:p>
    <w:p w14:paraId="2F9FABC6">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2" w:firstLineChars="200"/>
        <w:jc w:val="both"/>
        <w:textAlignment w:val="auto"/>
        <w:outlineLvl w:val="9"/>
        <w:rPr>
          <w:rFonts w:hint="eastAsia" w:ascii="宋体" w:hAnsi="宋体" w:eastAsia="宋体" w:cs="宋体"/>
          <w:b/>
          <w:bCs/>
          <w:snapToGrid/>
          <w:color w:val="auto"/>
          <w:kern w:val="2"/>
          <w:sz w:val="24"/>
          <w:szCs w:val="24"/>
          <w:highlight w:val="none"/>
          <w:lang w:val="en-US" w:eastAsia="zh-CN" w:bidi="ar-SA"/>
        </w:rPr>
      </w:pPr>
      <w:r>
        <w:rPr>
          <w:rFonts w:hint="eastAsia" w:ascii="宋体" w:hAnsi="宋体" w:eastAsia="宋体" w:cs="宋体"/>
          <w:b/>
          <w:bCs/>
          <w:snapToGrid/>
          <w:color w:val="auto"/>
          <w:kern w:val="2"/>
          <w:sz w:val="24"/>
          <w:szCs w:val="24"/>
          <w:highlight w:val="none"/>
          <w:lang w:val="en-US" w:eastAsia="zh-CN" w:bidi="ar-SA"/>
        </w:rPr>
        <w:t>注：不填写或不提交本函的，视为不适用相关政策。</w:t>
      </w:r>
    </w:p>
    <w:p w14:paraId="73E6BAFE">
      <w:pPr>
        <w:bidi w:val="0"/>
        <w:rPr>
          <w:rFonts w:hint="eastAsia"/>
        </w:rPr>
      </w:pPr>
    </w:p>
    <w:p w14:paraId="6987A8F3">
      <w:pPr>
        <w:rPr>
          <w:rFonts w:hint="eastAsia"/>
        </w:rPr>
      </w:pPr>
      <w:r>
        <w:rPr>
          <w:rFonts w:hint="eastAsia"/>
        </w:rPr>
        <w:br w:type="page"/>
      </w:r>
    </w:p>
    <w:p w14:paraId="46E942AE">
      <w:pPr>
        <w:bidi w:val="0"/>
        <w:rPr>
          <w:rFonts w:hint="eastAsia"/>
        </w:rPr>
      </w:pPr>
    </w:p>
    <w:bookmarkEnd w:id="83"/>
    <w:bookmarkEnd w:id="84"/>
    <w:bookmarkEnd w:id="85"/>
    <w:bookmarkEnd w:id="86"/>
    <w:bookmarkEnd w:id="87"/>
    <w:p w14:paraId="4CF0EB17">
      <w:pPr>
        <w:spacing w:before="98" w:line="220" w:lineRule="auto"/>
        <w:ind w:left="3527"/>
        <w:rPr>
          <w:rFonts w:ascii="宋体" w:hAnsi="宋体" w:eastAsia="宋体" w:cs="宋体"/>
          <w:sz w:val="28"/>
          <w:szCs w:val="28"/>
        </w:rPr>
      </w:pPr>
      <w:r>
        <w:rPr>
          <w:rFonts w:ascii="宋体" w:hAnsi="宋体" w:eastAsia="宋体" w:cs="宋体"/>
          <w:b/>
          <w:bCs/>
          <w:spacing w:val="-5"/>
          <w:sz w:val="28"/>
          <w:szCs w:val="28"/>
        </w:rPr>
        <w:t>（三）特定资格要求</w:t>
      </w:r>
    </w:p>
    <w:p w14:paraId="21CE709C">
      <w:pPr>
        <w:pStyle w:val="9"/>
        <w:spacing w:line="255" w:lineRule="auto"/>
      </w:pPr>
    </w:p>
    <w:p w14:paraId="0A3912D6">
      <w:pPr>
        <w:numPr>
          <w:ilvl w:val="0"/>
          <w:numId w:val="4"/>
        </w:numPr>
        <w:spacing w:before="78" w:line="360" w:lineRule="exact"/>
        <w:ind w:right="5"/>
        <w:jc w:val="center"/>
        <w:rPr>
          <w:rFonts w:hint="eastAsia" w:ascii="宋体" w:hAnsi="宋体" w:eastAsia="宋体" w:cs="宋体"/>
          <w:spacing w:val="-34"/>
          <w:position w:val="2"/>
          <w:sz w:val="24"/>
          <w:szCs w:val="24"/>
        </w:rPr>
      </w:pPr>
      <w:r>
        <w:rPr>
          <w:rFonts w:hint="eastAsia" w:ascii="宋体" w:hAnsi="宋体" w:eastAsia="宋体" w:cs="宋体"/>
          <w:spacing w:val="1"/>
          <w:position w:val="2"/>
          <w:sz w:val="24"/>
          <w:szCs w:val="24"/>
        </w:rPr>
        <w:t>供应商须具有公安机关颁发的有效的《保安服</w:t>
      </w:r>
      <w:r>
        <w:rPr>
          <w:rFonts w:hint="eastAsia" w:ascii="宋体" w:hAnsi="宋体" w:eastAsia="宋体" w:cs="宋体"/>
          <w:position w:val="2"/>
          <w:sz w:val="24"/>
          <w:szCs w:val="24"/>
        </w:rPr>
        <w:t>务许可证》</w:t>
      </w:r>
      <w:r>
        <w:rPr>
          <w:rFonts w:hint="eastAsia" w:ascii="宋体" w:hAnsi="宋体" w:eastAsia="宋体" w:cs="宋体"/>
          <w:spacing w:val="-34"/>
          <w:position w:val="2"/>
          <w:sz w:val="24"/>
          <w:szCs w:val="24"/>
        </w:rPr>
        <w:t>；</w:t>
      </w:r>
    </w:p>
    <w:p w14:paraId="44B3722E">
      <w:pPr>
        <w:adjustRightInd w:val="0"/>
        <w:spacing w:line="540" w:lineRule="exact"/>
        <w:jc w:val="center"/>
        <w:rPr>
          <w:rFonts w:hint="eastAsia" w:ascii="宋体" w:hAnsi="宋体" w:eastAsia="宋体" w:cs="宋体"/>
          <w:b/>
          <w:bCs/>
          <w:sz w:val="24"/>
          <w:szCs w:val="32"/>
          <w:highlight w:val="none"/>
          <w:lang w:eastAsia="zh-CN"/>
        </w:rPr>
      </w:pPr>
      <w:r>
        <w:rPr>
          <w:rFonts w:hint="eastAsia" w:ascii="宋体" w:hAnsi="宋体" w:eastAsia="宋体" w:cs="宋体"/>
          <w:b/>
          <w:bCs/>
          <w:sz w:val="24"/>
          <w:szCs w:val="32"/>
          <w:highlight w:val="none"/>
          <w:lang w:eastAsia="zh-CN"/>
        </w:rPr>
        <w:t>（</w:t>
      </w:r>
      <w:r>
        <w:rPr>
          <w:rFonts w:hint="eastAsia" w:ascii="宋体" w:hAnsi="宋体" w:eastAsia="宋体" w:cs="宋体"/>
          <w:b/>
          <w:bCs/>
          <w:sz w:val="24"/>
          <w:szCs w:val="32"/>
          <w:highlight w:val="none"/>
        </w:rPr>
        <w:t>证明材料加盖供应商公章</w:t>
      </w:r>
      <w:r>
        <w:rPr>
          <w:rFonts w:hint="eastAsia" w:ascii="宋体" w:hAnsi="宋体" w:eastAsia="宋体" w:cs="宋体"/>
          <w:b/>
          <w:bCs/>
          <w:sz w:val="24"/>
          <w:szCs w:val="32"/>
          <w:highlight w:val="none"/>
          <w:lang w:eastAsia="zh-CN"/>
        </w:rPr>
        <w:t>）</w:t>
      </w:r>
    </w:p>
    <w:p w14:paraId="65A8DCF0">
      <w:pPr>
        <w:rPr>
          <w:rFonts w:hint="eastAsia" w:ascii="宋体" w:hAnsi="宋体" w:eastAsia="宋体" w:cs="宋体"/>
          <w:b/>
          <w:bCs/>
          <w:sz w:val="24"/>
          <w:szCs w:val="32"/>
          <w:highlight w:val="none"/>
          <w:lang w:eastAsia="zh-CN"/>
        </w:rPr>
      </w:pPr>
      <w:r>
        <w:rPr>
          <w:rFonts w:hint="eastAsia" w:ascii="宋体" w:hAnsi="宋体" w:eastAsia="宋体" w:cs="宋体"/>
          <w:b/>
          <w:bCs/>
          <w:sz w:val="24"/>
          <w:szCs w:val="32"/>
          <w:highlight w:val="none"/>
          <w:lang w:eastAsia="zh-CN"/>
        </w:rPr>
        <w:br w:type="page"/>
      </w:r>
    </w:p>
    <w:p w14:paraId="253E72A6">
      <w:pPr>
        <w:adjustRightInd w:val="0"/>
        <w:spacing w:line="540" w:lineRule="exact"/>
        <w:jc w:val="center"/>
        <w:rPr>
          <w:rFonts w:ascii="宋体" w:hAnsi="宋体" w:eastAsia="宋体" w:cs="宋体"/>
          <w:b/>
          <w:bCs/>
          <w:sz w:val="24"/>
          <w:szCs w:val="32"/>
          <w:highlight w:val="none"/>
        </w:rPr>
      </w:pPr>
      <w:r>
        <w:rPr>
          <w:rFonts w:hint="eastAsia" w:ascii="宋体" w:hAnsi="宋体" w:eastAsia="宋体" w:cs="宋体"/>
          <w:b/>
          <w:bCs/>
          <w:sz w:val="24"/>
          <w:szCs w:val="32"/>
          <w:highlight w:val="none"/>
          <w:lang w:val="en-US" w:eastAsia="zh-CN"/>
        </w:rPr>
        <w:t>2.</w:t>
      </w:r>
      <w:r>
        <w:rPr>
          <w:rFonts w:hint="eastAsia" w:ascii="宋体" w:hAnsi="宋体" w:eastAsia="宋体" w:cs="宋体"/>
          <w:b/>
          <w:bCs/>
          <w:sz w:val="24"/>
          <w:szCs w:val="32"/>
          <w:highlight w:val="none"/>
        </w:rPr>
        <w:t>单位负责人为同一人或者存在直接控股、管理关系的不同投标人，不得同时参加本项目采购活动的声明</w:t>
      </w:r>
    </w:p>
    <w:p w14:paraId="4F136907">
      <w:pPr>
        <w:adjustRightInd w:val="0"/>
        <w:spacing w:line="540" w:lineRule="exact"/>
        <w:jc w:val="center"/>
        <w:rPr>
          <w:rFonts w:ascii="宋体" w:hAnsi="宋体" w:eastAsia="宋体" w:cs="宋体"/>
          <w:b/>
          <w:bCs/>
          <w:sz w:val="24"/>
          <w:szCs w:val="32"/>
          <w:highlight w:val="none"/>
        </w:rPr>
      </w:pPr>
    </w:p>
    <w:p w14:paraId="73CD2750">
      <w:pPr>
        <w:tabs>
          <w:tab w:val="left" w:pos="3042"/>
        </w:tabs>
        <w:spacing w:before="78" w:line="220" w:lineRule="auto"/>
        <w:rPr>
          <w:rFonts w:ascii="宋体" w:hAnsi="宋体" w:eastAsia="宋体" w:cs="宋体"/>
          <w:sz w:val="24"/>
          <w:szCs w:val="24"/>
          <w:highlight w:val="none"/>
        </w:rPr>
      </w:pPr>
      <w:r>
        <w:rPr>
          <w:rFonts w:hint="eastAsia" w:ascii="宋体" w:hAnsi="宋体" w:eastAsia="宋体" w:cs="宋体"/>
          <w:sz w:val="24"/>
          <w:szCs w:val="24"/>
          <w:highlight w:val="none"/>
          <w:u w:val="single"/>
        </w:rPr>
        <w:t>济源市人民医院</w:t>
      </w:r>
      <w:r>
        <w:rPr>
          <w:rFonts w:ascii="宋体" w:hAnsi="宋体" w:eastAsia="宋体" w:cs="宋体"/>
          <w:spacing w:val="8"/>
          <w:sz w:val="24"/>
          <w:szCs w:val="24"/>
          <w:highlight w:val="none"/>
        </w:rPr>
        <w:t>：</w:t>
      </w:r>
    </w:p>
    <w:p w14:paraId="4E1BB7B5">
      <w:pPr>
        <w:adjustRightInd w:val="0"/>
        <w:spacing w:line="540" w:lineRule="exact"/>
        <w:ind w:firstLine="460" w:firstLineChars="200"/>
        <w:rPr>
          <w:rFonts w:ascii="宋体" w:hAnsi="宋体" w:eastAsia="宋体" w:cs="宋体"/>
          <w:spacing w:val="-5"/>
          <w:sz w:val="24"/>
          <w:szCs w:val="24"/>
          <w:highlight w:val="none"/>
        </w:rPr>
      </w:pPr>
      <w:r>
        <w:rPr>
          <w:rFonts w:ascii="宋体" w:hAnsi="宋体" w:eastAsia="宋体" w:cs="宋体"/>
          <w:spacing w:val="-5"/>
          <w:sz w:val="24"/>
          <w:szCs w:val="24"/>
          <w:highlight w:val="none"/>
        </w:rPr>
        <w:t>我公司郑重声明：我公司不存在单位负责人为同一人或者存在直接控股、管理关</w:t>
      </w:r>
      <w:r>
        <w:rPr>
          <w:rFonts w:ascii="宋体" w:hAnsi="宋体" w:eastAsia="宋体" w:cs="宋体"/>
          <w:sz w:val="24"/>
          <w:szCs w:val="24"/>
          <w:highlight w:val="none"/>
        </w:rPr>
        <w:t>系</w:t>
      </w:r>
      <w:r>
        <w:rPr>
          <w:rFonts w:ascii="宋体" w:hAnsi="宋体" w:eastAsia="宋体" w:cs="宋体"/>
          <w:spacing w:val="-8"/>
          <w:sz w:val="24"/>
          <w:szCs w:val="24"/>
          <w:highlight w:val="none"/>
        </w:rPr>
        <w:t>的不同投标人</w:t>
      </w:r>
      <w:r>
        <w:rPr>
          <w:rFonts w:ascii="宋体" w:hAnsi="宋体" w:eastAsia="宋体" w:cs="宋体"/>
          <w:spacing w:val="-5"/>
          <w:sz w:val="24"/>
          <w:szCs w:val="24"/>
          <w:highlight w:val="none"/>
        </w:rPr>
        <w:t>，</w:t>
      </w:r>
      <w:r>
        <w:rPr>
          <w:rFonts w:ascii="宋体" w:hAnsi="宋体" w:eastAsia="宋体" w:cs="宋体"/>
          <w:spacing w:val="-4"/>
          <w:sz w:val="24"/>
          <w:szCs w:val="24"/>
          <w:highlight w:val="none"/>
        </w:rPr>
        <w:t>同时参加本项目采购活动的情形。如出现虚假声明，我公司承担由此带</w:t>
      </w:r>
      <w:r>
        <w:rPr>
          <w:rFonts w:ascii="宋体" w:hAnsi="宋体" w:eastAsia="宋体" w:cs="宋体"/>
          <w:spacing w:val="-8"/>
          <w:sz w:val="24"/>
          <w:szCs w:val="24"/>
          <w:highlight w:val="none"/>
        </w:rPr>
        <w:t>来</w:t>
      </w:r>
      <w:r>
        <w:rPr>
          <w:rFonts w:ascii="宋体" w:hAnsi="宋体" w:eastAsia="宋体" w:cs="宋体"/>
          <w:spacing w:val="-5"/>
          <w:sz w:val="24"/>
          <w:szCs w:val="24"/>
          <w:highlight w:val="none"/>
        </w:rPr>
        <w:t>的法律后果。</w:t>
      </w:r>
    </w:p>
    <w:p w14:paraId="01ED1C05">
      <w:pPr>
        <w:adjustRightInd w:val="0"/>
        <w:spacing w:line="540" w:lineRule="exact"/>
        <w:ind w:firstLine="460" w:firstLineChars="200"/>
        <w:rPr>
          <w:rFonts w:ascii="宋体" w:hAnsi="宋体" w:eastAsia="宋体" w:cs="宋体"/>
          <w:spacing w:val="-5"/>
          <w:sz w:val="24"/>
          <w:szCs w:val="24"/>
          <w:highlight w:val="none"/>
        </w:rPr>
      </w:pPr>
    </w:p>
    <w:p w14:paraId="00CC8EA4">
      <w:pPr>
        <w:adjustRightInd w:val="0"/>
        <w:spacing w:line="540" w:lineRule="exact"/>
        <w:ind w:firstLine="460" w:firstLineChars="200"/>
        <w:rPr>
          <w:rFonts w:ascii="宋体" w:hAnsi="宋体" w:eastAsia="宋体" w:cs="宋体"/>
          <w:spacing w:val="-5"/>
          <w:sz w:val="24"/>
          <w:szCs w:val="24"/>
          <w:highlight w:val="none"/>
        </w:rPr>
      </w:pPr>
    </w:p>
    <w:p w14:paraId="48199B46">
      <w:pPr>
        <w:adjustRightInd w:val="0"/>
        <w:spacing w:line="540" w:lineRule="exact"/>
        <w:ind w:firstLine="460" w:firstLineChars="200"/>
        <w:rPr>
          <w:rFonts w:ascii="宋体" w:hAnsi="宋体" w:eastAsia="宋体" w:cs="宋体"/>
          <w:spacing w:val="-5"/>
          <w:sz w:val="24"/>
          <w:szCs w:val="24"/>
          <w:highlight w:val="none"/>
        </w:rPr>
      </w:pPr>
    </w:p>
    <w:p w14:paraId="0B83581D">
      <w:pPr>
        <w:adjustRightInd w:val="0"/>
        <w:spacing w:line="540" w:lineRule="exact"/>
        <w:ind w:firstLine="460" w:firstLineChars="200"/>
        <w:rPr>
          <w:rFonts w:ascii="宋体" w:hAnsi="宋体" w:eastAsia="宋体" w:cs="宋体"/>
          <w:spacing w:val="-5"/>
          <w:sz w:val="24"/>
          <w:szCs w:val="24"/>
          <w:highlight w:val="none"/>
        </w:rPr>
      </w:pPr>
    </w:p>
    <w:p w14:paraId="2A553C94">
      <w:pPr>
        <w:adjustRightInd w:val="0"/>
        <w:spacing w:line="540" w:lineRule="exact"/>
        <w:ind w:firstLine="460" w:firstLineChars="200"/>
        <w:rPr>
          <w:rFonts w:ascii="宋体" w:hAnsi="宋体" w:eastAsia="宋体" w:cs="宋体"/>
          <w:spacing w:val="-5"/>
          <w:sz w:val="24"/>
          <w:szCs w:val="24"/>
          <w:highlight w:val="none"/>
        </w:rPr>
      </w:pPr>
    </w:p>
    <w:p w14:paraId="291ED19C">
      <w:pPr>
        <w:adjustRightInd w:val="0"/>
        <w:spacing w:line="540" w:lineRule="exact"/>
        <w:ind w:firstLine="460" w:firstLineChars="200"/>
        <w:rPr>
          <w:rFonts w:ascii="宋体" w:hAnsi="宋体" w:eastAsia="宋体" w:cs="宋体"/>
          <w:spacing w:val="-5"/>
          <w:sz w:val="24"/>
          <w:szCs w:val="24"/>
          <w:highlight w:val="none"/>
        </w:rPr>
      </w:pPr>
    </w:p>
    <w:p w14:paraId="654E18C6">
      <w:pPr>
        <w:spacing w:line="500" w:lineRule="exact"/>
        <w:ind w:firstLine="3360" w:firstLineChars="1400"/>
        <w:rPr>
          <w:rFonts w:hint="eastAsia" w:ascii="宋体" w:hAnsi="宋体" w:eastAsia="宋体" w:cs="宋体"/>
          <w:sz w:val="24"/>
          <w:szCs w:val="24"/>
          <w:highlight w:val="none"/>
          <w:u w:val="single"/>
          <w:lang w:val="en-US" w:eastAsia="zh-CN"/>
        </w:rPr>
      </w:pPr>
      <w:r>
        <w:rPr>
          <w:rFonts w:hint="eastAsia" w:ascii="宋体" w:hAnsi="宋体" w:eastAsia="宋体" w:cs="宋体"/>
          <w:sz w:val="24"/>
          <w:szCs w:val="24"/>
          <w:highlight w:val="none"/>
        </w:rPr>
        <w:t>供应商单位全称（签章）：</w:t>
      </w:r>
      <w:r>
        <w:rPr>
          <w:rFonts w:hint="eastAsia" w:ascii="宋体" w:hAnsi="宋体" w:eastAsia="宋体" w:cs="宋体"/>
          <w:sz w:val="24"/>
          <w:szCs w:val="24"/>
          <w:highlight w:val="none"/>
          <w:u w:val="single"/>
          <w:lang w:val="en-US" w:eastAsia="zh-CN"/>
        </w:rPr>
        <w:t xml:space="preserve">            </w:t>
      </w:r>
    </w:p>
    <w:p w14:paraId="49AD5142">
      <w:pPr>
        <w:spacing w:line="500" w:lineRule="exact"/>
        <w:ind w:firstLine="3360" w:firstLineChars="1400"/>
        <w:rPr>
          <w:rFonts w:hint="default" w:ascii="宋体" w:hAnsi="宋体" w:eastAsia="宋体" w:cs="宋体"/>
          <w:sz w:val="24"/>
          <w:szCs w:val="24"/>
          <w:highlight w:val="none"/>
          <w:u w:val="single"/>
          <w:lang w:val="en-US" w:eastAsia="zh-CN"/>
        </w:rPr>
      </w:pPr>
      <w:r>
        <w:rPr>
          <w:rFonts w:hint="eastAsia" w:ascii="宋体" w:hAnsi="宋体" w:eastAsia="宋体" w:cs="宋体"/>
          <w:sz w:val="24"/>
          <w:szCs w:val="24"/>
          <w:highlight w:val="none"/>
        </w:rPr>
        <w:t>法定代表人（签章）：</w:t>
      </w:r>
      <w:r>
        <w:rPr>
          <w:rFonts w:hint="eastAsia" w:ascii="宋体" w:hAnsi="宋体" w:eastAsia="宋体" w:cs="宋体"/>
          <w:sz w:val="24"/>
          <w:szCs w:val="24"/>
          <w:highlight w:val="none"/>
          <w:u w:val="single"/>
          <w:lang w:val="en-US" w:eastAsia="zh-CN"/>
        </w:rPr>
        <w:t xml:space="preserve">                </w:t>
      </w:r>
    </w:p>
    <w:p w14:paraId="5FD108DD">
      <w:pPr>
        <w:snapToGrid w:val="0"/>
        <w:spacing w:line="500" w:lineRule="exact"/>
        <w:ind w:firstLine="480" w:firstLineChars="200"/>
        <w:jc w:val="right"/>
        <w:rPr>
          <w:rFonts w:ascii="宋体" w:hAnsi="宋体" w:eastAsia="宋体" w:cs="宋体"/>
          <w:sz w:val="24"/>
          <w:szCs w:val="24"/>
          <w:highlight w:val="none"/>
        </w:rPr>
      </w:pPr>
      <w:r>
        <w:rPr>
          <w:rFonts w:hint="eastAsia" w:ascii="宋体" w:hAnsi="宋体" w:eastAsia="宋体" w:cs="宋体"/>
          <w:sz w:val="24"/>
          <w:szCs w:val="24"/>
          <w:highlight w:val="none"/>
        </w:rPr>
        <w:t>日期：</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日</w:t>
      </w:r>
    </w:p>
    <w:p w14:paraId="4C4F19B2">
      <w:pPr>
        <w:adjustRightInd w:val="0"/>
        <w:spacing w:line="540" w:lineRule="exact"/>
        <w:ind w:firstLine="480" w:firstLineChars="200"/>
        <w:jc w:val="right"/>
        <w:rPr>
          <w:rFonts w:ascii="宋体" w:hAnsi="宋体" w:eastAsia="宋体" w:cs="宋体"/>
          <w:sz w:val="24"/>
          <w:szCs w:val="24"/>
          <w:highlight w:val="none"/>
        </w:rPr>
      </w:pPr>
    </w:p>
    <w:p w14:paraId="6E32542E">
      <w:pPr>
        <w:rPr>
          <w:rFonts w:ascii="宋体" w:hAnsi="宋体" w:eastAsia="宋体" w:cs="宋体"/>
          <w:sz w:val="24"/>
          <w:szCs w:val="24"/>
          <w:highlight w:val="none"/>
        </w:rPr>
      </w:pPr>
    </w:p>
    <w:p w14:paraId="7AF21D42">
      <w:pPr>
        <w:rPr>
          <w:rFonts w:ascii="宋体" w:hAnsi="宋体" w:eastAsia="宋体" w:cs="宋体"/>
          <w:sz w:val="24"/>
          <w:szCs w:val="24"/>
          <w:highlight w:val="none"/>
        </w:rPr>
      </w:pPr>
    </w:p>
    <w:p w14:paraId="2978121A">
      <w:pPr>
        <w:rPr>
          <w:rFonts w:ascii="宋体" w:hAnsi="宋体" w:eastAsia="宋体" w:cs="宋体"/>
          <w:sz w:val="24"/>
          <w:szCs w:val="24"/>
          <w:highlight w:val="none"/>
        </w:rPr>
      </w:pPr>
    </w:p>
    <w:p w14:paraId="1743A34A">
      <w:pPr>
        <w:rPr>
          <w:rFonts w:ascii="宋体" w:hAnsi="宋体" w:eastAsia="宋体" w:cs="宋体"/>
          <w:sz w:val="24"/>
          <w:szCs w:val="24"/>
          <w:highlight w:val="none"/>
        </w:rPr>
      </w:pPr>
    </w:p>
    <w:p w14:paraId="66AD3AE3">
      <w:pPr>
        <w:rPr>
          <w:rFonts w:ascii="宋体" w:hAnsi="宋体" w:eastAsia="宋体" w:cs="宋体"/>
          <w:sz w:val="24"/>
          <w:szCs w:val="24"/>
          <w:highlight w:val="none"/>
        </w:rPr>
      </w:pPr>
    </w:p>
    <w:p w14:paraId="2FF81F3C">
      <w:pPr>
        <w:rPr>
          <w:rFonts w:ascii="宋体" w:hAnsi="宋体" w:eastAsia="宋体" w:cs="宋体"/>
          <w:sz w:val="24"/>
          <w:szCs w:val="24"/>
          <w:highlight w:val="none"/>
        </w:rPr>
      </w:pPr>
      <w:r>
        <w:rPr>
          <w:rFonts w:ascii="宋体" w:hAnsi="宋体" w:eastAsia="宋体" w:cs="宋体"/>
          <w:sz w:val="24"/>
          <w:szCs w:val="24"/>
          <w:highlight w:val="none"/>
        </w:rPr>
        <w:br w:type="page"/>
      </w:r>
    </w:p>
    <w:p w14:paraId="53D4B6F3">
      <w:pPr>
        <w:adjustRightInd w:val="0"/>
        <w:spacing w:line="540" w:lineRule="exact"/>
        <w:jc w:val="center"/>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（四）参加政府采购活动的前三年内，在经营活动中没有重大违法记录的证明材料</w:t>
      </w:r>
    </w:p>
    <w:p w14:paraId="491EFDB0">
      <w:pPr>
        <w:adjustRightInd w:val="0"/>
        <w:spacing w:line="540" w:lineRule="exact"/>
        <w:jc w:val="center"/>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无重大违法记录的声明</w:t>
      </w:r>
    </w:p>
    <w:p w14:paraId="1961B67B">
      <w:pPr>
        <w:keepNext w:val="0"/>
        <w:keepLines w:val="0"/>
        <w:pageBreakBefore w:val="0"/>
        <w:widowControl w:val="0"/>
        <w:tabs>
          <w:tab w:val="left" w:pos="3042"/>
        </w:tabs>
        <w:kinsoku/>
        <w:wordWrap w:val="0"/>
        <w:overflowPunct/>
        <w:topLinePunct/>
        <w:autoSpaceDE/>
        <w:autoSpaceDN/>
        <w:bidi w:val="0"/>
        <w:adjustRightInd/>
        <w:snapToGrid/>
        <w:spacing w:line="360" w:lineRule="auto"/>
        <w:textAlignment w:val="auto"/>
        <w:rPr>
          <w:rFonts w:hint="eastAsia" w:ascii="宋体" w:hAnsi="宋体" w:eastAsia="宋体" w:cs="宋体"/>
          <w:sz w:val="24"/>
          <w:szCs w:val="24"/>
          <w:highlight w:val="none"/>
          <w:u w:val="single"/>
        </w:rPr>
      </w:pPr>
    </w:p>
    <w:p w14:paraId="1E33A0D2">
      <w:pPr>
        <w:keepNext w:val="0"/>
        <w:keepLines w:val="0"/>
        <w:pageBreakBefore w:val="0"/>
        <w:widowControl w:val="0"/>
        <w:tabs>
          <w:tab w:val="left" w:pos="3042"/>
        </w:tabs>
        <w:kinsoku/>
        <w:wordWrap w:val="0"/>
        <w:overflowPunct/>
        <w:topLinePunct/>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u w:val="single"/>
        </w:rPr>
        <w:t>济源市人民医院</w:t>
      </w:r>
      <w:r>
        <w:rPr>
          <w:rFonts w:hint="eastAsia" w:ascii="宋体" w:hAnsi="宋体" w:eastAsia="宋体" w:cs="宋体"/>
          <w:spacing w:val="8"/>
          <w:sz w:val="24"/>
          <w:szCs w:val="24"/>
          <w:highlight w:val="none"/>
        </w:rPr>
        <w:t>：</w:t>
      </w:r>
    </w:p>
    <w:p w14:paraId="78F773E1">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504" w:firstLineChars="200"/>
        <w:textAlignment w:val="auto"/>
        <w:rPr>
          <w:rFonts w:hint="eastAsia" w:ascii="宋体" w:hAnsi="宋体" w:eastAsia="宋体" w:cs="宋体"/>
          <w:spacing w:val="6"/>
          <w:sz w:val="24"/>
          <w:szCs w:val="24"/>
        </w:rPr>
      </w:pPr>
      <w:r>
        <w:rPr>
          <w:rFonts w:hint="eastAsia" w:ascii="宋体" w:hAnsi="宋体" w:eastAsia="宋体" w:cs="宋体"/>
          <w:spacing w:val="6"/>
          <w:sz w:val="24"/>
          <w:szCs w:val="24"/>
        </w:rPr>
        <w:t>我方（供应商如有分支机构的，包括分支机构）至本项目提交响应文件截止时间止近三年内，不存在被列入失信被执行人、重大税收违法失信主体、政府采购严重违法失信行为记录名单，以及因违法经营受到刑事处罚或责令停业、吊销许可证或者执照、较大数额罚款等行政处罚，也未因违法经营被禁止在一段时间内参加采购活动等其他政府采购严重违法失信行为记录名单的情形。</w:t>
      </w:r>
    </w:p>
    <w:p w14:paraId="5BD32514">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504" w:firstLineChars="200"/>
        <w:textAlignment w:val="auto"/>
        <w:rPr>
          <w:rFonts w:hint="eastAsia" w:ascii="宋体" w:hAnsi="宋体" w:eastAsia="宋体" w:cs="宋体"/>
          <w:spacing w:val="6"/>
          <w:sz w:val="24"/>
          <w:szCs w:val="24"/>
        </w:rPr>
      </w:pPr>
      <w:r>
        <w:rPr>
          <w:rFonts w:hint="eastAsia" w:ascii="宋体" w:hAnsi="宋体" w:eastAsia="宋体" w:cs="宋体"/>
          <w:spacing w:val="6"/>
          <w:sz w:val="24"/>
          <w:szCs w:val="24"/>
        </w:rPr>
        <w:t>特此声明：如有上述情形的，我方将承担相应的法律责任。</w:t>
      </w:r>
    </w:p>
    <w:p w14:paraId="125D94A7">
      <w:pPr>
        <w:keepNext w:val="0"/>
        <w:keepLines w:val="0"/>
        <w:pageBreakBefore w:val="0"/>
        <w:kinsoku w:val="0"/>
        <w:wordWrap/>
        <w:overflowPunct/>
        <w:topLinePunct w:val="0"/>
        <w:autoSpaceDE w:val="0"/>
        <w:autoSpaceDN w:val="0"/>
        <w:bidi w:val="0"/>
        <w:spacing w:line="540" w:lineRule="exact"/>
        <w:rPr>
          <w:rFonts w:hint="eastAsia" w:ascii="宋体" w:hAnsi="宋体" w:eastAsia="宋体" w:cs="宋体"/>
          <w:b/>
          <w:bCs/>
          <w:color w:val="auto"/>
          <w:kern w:val="2"/>
          <w:sz w:val="28"/>
          <w:szCs w:val="28"/>
          <w:highlight w:val="none"/>
          <w:lang w:val="en-US" w:eastAsia="zh-CN" w:bidi="ar-SA"/>
        </w:rPr>
      </w:pPr>
    </w:p>
    <w:p w14:paraId="1EB89224">
      <w:pPr>
        <w:keepNext w:val="0"/>
        <w:keepLines w:val="0"/>
        <w:pageBreakBefore w:val="0"/>
        <w:kinsoku w:val="0"/>
        <w:wordWrap/>
        <w:overflowPunct/>
        <w:topLinePunct w:val="0"/>
        <w:autoSpaceDE w:val="0"/>
        <w:autoSpaceDN w:val="0"/>
        <w:bidi w:val="0"/>
        <w:spacing w:line="540" w:lineRule="exact"/>
        <w:rPr>
          <w:rFonts w:hint="eastAsia" w:ascii="宋体" w:hAnsi="宋体" w:eastAsia="宋体" w:cs="宋体"/>
          <w:b/>
          <w:bCs/>
          <w:color w:val="auto"/>
          <w:kern w:val="2"/>
          <w:sz w:val="28"/>
          <w:szCs w:val="28"/>
          <w:highlight w:val="none"/>
          <w:lang w:val="en-US" w:eastAsia="zh-CN" w:bidi="ar-SA"/>
        </w:rPr>
      </w:pPr>
    </w:p>
    <w:p w14:paraId="2C58C874">
      <w:pPr>
        <w:keepNext w:val="0"/>
        <w:keepLines w:val="0"/>
        <w:pageBreakBefore w:val="0"/>
        <w:kinsoku w:val="0"/>
        <w:wordWrap/>
        <w:overflowPunct/>
        <w:topLinePunct w:val="0"/>
        <w:autoSpaceDE w:val="0"/>
        <w:autoSpaceDN w:val="0"/>
        <w:bidi w:val="0"/>
        <w:spacing w:line="540" w:lineRule="exact"/>
        <w:rPr>
          <w:rFonts w:hint="eastAsia" w:ascii="宋体" w:hAnsi="宋体" w:eastAsia="宋体" w:cs="宋体"/>
          <w:b/>
          <w:bCs/>
          <w:color w:val="auto"/>
          <w:kern w:val="2"/>
          <w:sz w:val="28"/>
          <w:szCs w:val="28"/>
          <w:highlight w:val="none"/>
          <w:lang w:val="en-US" w:eastAsia="zh-CN" w:bidi="ar-SA"/>
        </w:rPr>
      </w:pPr>
    </w:p>
    <w:p w14:paraId="16839F0F">
      <w:pPr>
        <w:keepNext w:val="0"/>
        <w:keepLines w:val="0"/>
        <w:pageBreakBefore w:val="0"/>
        <w:kinsoku w:val="0"/>
        <w:wordWrap/>
        <w:overflowPunct/>
        <w:topLinePunct w:val="0"/>
        <w:autoSpaceDE w:val="0"/>
        <w:autoSpaceDN w:val="0"/>
        <w:bidi w:val="0"/>
        <w:spacing w:line="540" w:lineRule="exact"/>
        <w:rPr>
          <w:rFonts w:hint="eastAsia" w:ascii="宋体" w:hAnsi="宋体" w:eastAsia="宋体" w:cs="宋体"/>
          <w:b/>
          <w:bCs/>
          <w:color w:val="auto"/>
          <w:kern w:val="2"/>
          <w:sz w:val="28"/>
          <w:szCs w:val="28"/>
          <w:highlight w:val="none"/>
          <w:lang w:val="en-US" w:eastAsia="zh-CN" w:bidi="ar-SA"/>
        </w:rPr>
      </w:pPr>
    </w:p>
    <w:p w14:paraId="446A7171">
      <w:pPr>
        <w:spacing w:line="500" w:lineRule="exact"/>
        <w:ind w:firstLine="3360" w:firstLineChars="1400"/>
        <w:rPr>
          <w:rFonts w:hint="eastAsia" w:ascii="宋体" w:hAnsi="宋体" w:eastAsia="宋体" w:cs="宋体"/>
          <w:sz w:val="24"/>
          <w:szCs w:val="24"/>
          <w:highlight w:val="none"/>
          <w:u w:val="single"/>
          <w:lang w:val="en-US" w:eastAsia="zh-CN"/>
        </w:rPr>
      </w:pPr>
      <w:r>
        <w:rPr>
          <w:rFonts w:hint="eastAsia" w:ascii="宋体" w:hAnsi="宋体" w:eastAsia="宋体" w:cs="宋体"/>
          <w:sz w:val="24"/>
          <w:szCs w:val="24"/>
          <w:highlight w:val="none"/>
        </w:rPr>
        <w:t>供应商单位全称（签章）：</w:t>
      </w:r>
      <w:r>
        <w:rPr>
          <w:rFonts w:hint="eastAsia" w:ascii="宋体" w:hAnsi="宋体" w:eastAsia="宋体" w:cs="宋体"/>
          <w:sz w:val="24"/>
          <w:szCs w:val="24"/>
          <w:highlight w:val="none"/>
          <w:u w:val="single"/>
          <w:lang w:val="en-US" w:eastAsia="zh-CN"/>
        </w:rPr>
        <w:t xml:space="preserve">            </w:t>
      </w:r>
    </w:p>
    <w:p w14:paraId="20AA2561">
      <w:pPr>
        <w:spacing w:line="500" w:lineRule="exact"/>
        <w:ind w:firstLine="3360" w:firstLineChars="1400"/>
        <w:rPr>
          <w:rFonts w:hint="default" w:ascii="宋体" w:hAnsi="宋体" w:eastAsia="宋体" w:cs="宋体"/>
          <w:sz w:val="24"/>
          <w:szCs w:val="24"/>
          <w:highlight w:val="none"/>
          <w:u w:val="single"/>
          <w:lang w:val="en-US" w:eastAsia="zh-CN"/>
        </w:rPr>
      </w:pPr>
      <w:r>
        <w:rPr>
          <w:rFonts w:hint="eastAsia" w:ascii="宋体" w:hAnsi="宋体" w:eastAsia="宋体" w:cs="宋体"/>
          <w:sz w:val="24"/>
          <w:szCs w:val="24"/>
          <w:highlight w:val="none"/>
        </w:rPr>
        <w:t>法定代表人（签章）：</w:t>
      </w:r>
      <w:r>
        <w:rPr>
          <w:rFonts w:hint="eastAsia" w:ascii="宋体" w:hAnsi="宋体" w:eastAsia="宋体" w:cs="宋体"/>
          <w:sz w:val="24"/>
          <w:szCs w:val="24"/>
          <w:highlight w:val="none"/>
          <w:u w:val="single"/>
          <w:lang w:val="en-US" w:eastAsia="zh-CN"/>
        </w:rPr>
        <w:t xml:space="preserve">                </w:t>
      </w:r>
    </w:p>
    <w:p w14:paraId="0D832304">
      <w:pPr>
        <w:snapToGrid w:val="0"/>
        <w:spacing w:line="500" w:lineRule="exact"/>
        <w:ind w:firstLine="480" w:firstLineChars="200"/>
        <w:jc w:val="right"/>
        <w:rPr>
          <w:rFonts w:ascii="宋体" w:hAnsi="宋体" w:eastAsia="宋体" w:cs="宋体"/>
          <w:sz w:val="24"/>
          <w:szCs w:val="24"/>
          <w:highlight w:val="none"/>
        </w:rPr>
      </w:pPr>
      <w:r>
        <w:rPr>
          <w:rFonts w:hint="eastAsia" w:ascii="宋体" w:hAnsi="宋体" w:eastAsia="宋体" w:cs="宋体"/>
          <w:sz w:val="24"/>
          <w:szCs w:val="24"/>
          <w:highlight w:val="none"/>
        </w:rPr>
        <w:t>日期：</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日</w:t>
      </w:r>
    </w:p>
    <w:p w14:paraId="76B8361B">
      <w:pPr>
        <w:spacing w:before="84" w:line="220" w:lineRule="auto"/>
        <w:ind w:left="532"/>
        <w:rPr>
          <w:rFonts w:ascii="宋体" w:hAnsi="宋体" w:eastAsia="宋体" w:cs="宋体"/>
          <w:b/>
          <w:bCs/>
          <w:spacing w:val="5"/>
          <w:sz w:val="24"/>
          <w:szCs w:val="24"/>
        </w:rPr>
      </w:pPr>
    </w:p>
    <w:p w14:paraId="100D7274">
      <w:pPr>
        <w:spacing w:before="84" w:line="220" w:lineRule="auto"/>
        <w:ind w:left="532"/>
        <w:rPr>
          <w:rFonts w:ascii="宋体" w:hAnsi="宋体" w:eastAsia="宋体" w:cs="宋体"/>
          <w:b/>
          <w:bCs/>
          <w:spacing w:val="5"/>
          <w:sz w:val="24"/>
          <w:szCs w:val="24"/>
        </w:rPr>
      </w:pPr>
    </w:p>
    <w:p w14:paraId="244C1C11">
      <w:pPr>
        <w:rPr>
          <w:rFonts w:ascii="宋体" w:hAnsi="宋体" w:eastAsia="宋体" w:cs="宋体"/>
          <w:b/>
          <w:bCs/>
          <w:spacing w:val="5"/>
          <w:sz w:val="24"/>
          <w:szCs w:val="24"/>
        </w:rPr>
      </w:pPr>
      <w:r>
        <w:rPr>
          <w:rFonts w:ascii="宋体" w:hAnsi="宋体" w:eastAsia="宋体" w:cs="宋体"/>
          <w:b/>
          <w:bCs/>
          <w:spacing w:val="5"/>
          <w:sz w:val="24"/>
          <w:szCs w:val="24"/>
        </w:rPr>
        <w:br w:type="page"/>
      </w:r>
    </w:p>
    <w:p w14:paraId="11C9B74A">
      <w:pPr>
        <w:spacing w:before="84" w:line="220" w:lineRule="auto"/>
        <w:jc w:val="center"/>
        <w:rPr>
          <w:rFonts w:ascii="宋体" w:hAnsi="宋体" w:eastAsia="宋体" w:cs="宋体"/>
          <w:b/>
          <w:bCs/>
          <w:spacing w:val="5"/>
          <w:sz w:val="28"/>
          <w:szCs w:val="28"/>
        </w:rPr>
      </w:pPr>
      <w:r>
        <w:rPr>
          <w:rFonts w:ascii="宋体" w:hAnsi="宋体" w:eastAsia="宋体" w:cs="宋体"/>
          <w:b/>
          <w:bCs/>
          <w:spacing w:val="5"/>
          <w:sz w:val="28"/>
          <w:szCs w:val="28"/>
        </w:rPr>
        <w:t>（</w:t>
      </w:r>
      <w:r>
        <w:rPr>
          <w:rFonts w:hint="eastAsia" w:ascii="宋体" w:hAnsi="宋体" w:eastAsia="宋体" w:cs="宋体"/>
          <w:b/>
          <w:bCs/>
          <w:spacing w:val="5"/>
          <w:sz w:val="28"/>
          <w:szCs w:val="28"/>
          <w:lang w:val="en-US" w:eastAsia="zh-CN"/>
        </w:rPr>
        <w:t>五</w:t>
      </w:r>
      <w:r>
        <w:rPr>
          <w:rFonts w:ascii="宋体" w:hAnsi="宋体" w:eastAsia="宋体" w:cs="宋体"/>
          <w:b/>
          <w:bCs/>
          <w:spacing w:val="5"/>
          <w:sz w:val="28"/>
          <w:szCs w:val="28"/>
        </w:rPr>
        <w:t>）非联合体投标声明</w:t>
      </w:r>
    </w:p>
    <w:p w14:paraId="21C3F7CF">
      <w:pPr>
        <w:pStyle w:val="9"/>
        <w:spacing w:line="279" w:lineRule="auto"/>
      </w:pPr>
    </w:p>
    <w:p w14:paraId="574CFF59">
      <w:pPr>
        <w:pStyle w:val="9"/>
        <w:spacing w:line="279" w:lineRule="auto"/>
      </w:pPr>
    </w:p>
    <w:p w14:paraId="17375469">
      <w:pPr>
        <w:pStyle w:val="9"/>
        <w:spacing w:line="280" w:lineRule="auto"/>
      </w:pPr>
    </w:p>
    <w:p w14:paraId="68BA16E7">
      <w:pPr>
        <w:tabs>
          <w:tab w:val="left" w:pos="659"/>
        </w:tabs>
        <w:spacing w:before="78" w:line="219" w:lineRule="auto"/>
        <w:rPr>
          <w:rFonts w:ascii="宋体" w:hAnsi="宋体" w:eastAsia="宋体" w:cs="宋体"/>
          <w:sz w:val="24"/>
          <w:szCs w:val="24"/>
        </w:rPr>
      </w:pPr>
      <w:r>
        <w:rPr>
          <w:rFonts w:hint="eastAsia" w:ascii="宋体" w:hAnsi="宋体" w:eastAsia="宋体" w:cs="宋体"/>
          <w:sz w:val="24"/>
          <w:szCs w:val="24"/>
          <w:highlight w:val="none"/>
          <w:u w:val="single"/>
        </w:rPr>
        <w:t>济源市人民医院</w:t>
      </w:r>
      <w:r>
        <w:rPr>
          <w:rFonts w:ascii="宋体" w:hAnsi="宋体" w:eastAsia="宋体" w:cs="宋体"/>
          <w:spacing w:val="-1"/>
          <w:sz w:val="24"/>
          <w:szCs w:val="24"/>
        </w:rPr>
        <w:t>：</w:t>
      </w:r>
    </w:p>
    <w:p w14:paraId="09743EA6">
      <w:pPr>
        <w:pStyle w:val="9"/>
        <w:spacing w:line="355" w:lineRule="auto"/>
      </w:pPr>
    </w:p>
    <w:p w14:paraId="3CA2B670">
      <w:pPr>
        <w:adjustRightInd w:val="0"/>
        <w:spacing w:line="540" w:lineRule="exact"/>
        <w:ind w:firstLine="480" w:firstLineChars="200"/>
        <w:rPr>
          <w:rFonts w:ascii="宋体" w:hAnsi="宋体" w:eastAsia="宋体" w:cs="宋体"/>
          <w:sz w:val="24"/>
          <w:szCs w:val="24"/>
          <w:highlight w:val="none"/>
        </w:rPr>
      </w:pPr>
      <w:r>
        <w:rPr>
          <w:rFonts w:ascii="宋体" w:hAnsi="宋体" w:eastAsia="宋体" w:cs="宋体"/>
          <w:sz w:val="24"/>
          <w:szCs w:val="24"/>
          <w:highlight w:val="none"/>
        </w:rPr>
        <w:t>我公司郑重声明：我公司以非联合体形式参加本项目采购活动，如我公司为中标人，由我公司独立完成本项目。如出现虚假声明，我公司承担由此带来的法律后果。</w:t>
      </w:r>
    </w:p>
    <w:p w14:paraId="282CA788">
      <w:pPr>
        <w:pStyle w:val="9"/>
        <w:spacing w:line="279" w:lineRule="auto"/>
      </w:pPr>
    </w:p>
    <w:p w14:paraId="40C7C75F">
      <w:pPr>
        <w:pStyle w:val="9"/>
        <w:spacing w:line="279" w:lineRule="auto"/>
      </w:pPr>
    </w:p>
    <w:p w14:paraId="1C29F32C">
      <w:pPr>
        <w:pStyle w:val="9"/>
        <w:spacing w:line="280" w:lineRule="auto"/>
      </w:pPr>
    </w:p>
    <w:p w14:paraId="62C221C7">
      <w:pPr>
        <w:spacing w:line="500" w:lineRule="exact"/>
        <w:ind w:firstLine="3360" w:firstLineChars="1400"/>
        <w:rPr>
          <w:rFonts w:hint="eastAsia" w:ascii="宋体" w:hAnsi="宋体" w:eastAsia="宋体" w:cs="宋体"/>
          <w:sz w:val="24"/>
          <w:szCs w:val="24"/>
          <w:highlight w:val="none"/>
          <w:u w:val="single"/>
          <w:lang w:val="en-US" w:eastAsia="zh-CN"/>
        </w:rPr>
      </w:pPr>
      <w:r>
        <w:rPr>
          <w:rFonts w:hint="eastAsia" w:ascii="宋体" w:hAnsi="宋体" w:eastAsia="宋体" w:cs="宋体"/>
          <w:sz w:val="24"/>
          <w:szCs w:val="24"/>
          <w:highlight w:val="none"/>
        </w:rPr>
        <w:t>供应商单位全称（签章）：</w:t>
      </w:r>
      <w:r>
        <w:rPr>
          <w:rFonts w:hint="eastAsia" w:ascii="宋体" w:hAnsi="宋体" w:eastAsia="宋体" w:cs="宋体"/>
          <w:sz w:val="24"/>
          <w:szCs w:val="24"/>
          <w:highlight w:val="none"/>
          <w:u w:val="single"/>
          <w:lang w:val="en-US" w:eastAsia="zh-CN"/>
        </w:rPr>
        <w:t xml:space="preserve">            </w:t>
      </w:r>
    </w:p>
    <w:p w14:paraId="5A62E5D0">
      <w:pPr>
        <w:spacing w:line="500" w:lineRule="exact"/>
        <w:ind w:firstLine="3360" w:firstLineChars="1400"/>
        <w:rPr>
          <w:rFonts w:hint="default" w:ascii="宋体" w:hAnsi="宋体" w:eastAsia="宋体" w:cs="宋体"/>
          <w:sz w:val="24"/>
          <w:szCs w:val="24"/>
          <w:highlight w:val="none"/>
          <w:u w:val="single"/>
          <w:lang w:val="en-US" w:eastAsia="zh-CN"/>
        </w:rPr>
      </w:pPr>
      <w:r>
        <w:rPr>
          <w:rFonts w:hint="eastAsia" w:ascii="宋体" w:hAnsi="宋体" w:eastAsia="宋体" w:cs="宋体"/>
          <w:sz w:val="24"/>
          <w:szCs w:val="24"/>
          <w:highlight w:val="none"/>
        </w:rPr>
        <w:t>法定代表人（签章）：</w:t>
      </w:r>
      <w:r>
        <w:rPr>
          <w:rFonts w:hint="eastAsia" w:ascii="宋体" w:hAnsi="宋体" w:eastAsia="宋体" w:cs="宋体"/>
          <w:sz w:val="24"/>
          <w:szCs w:val="24"/>
          <w:highlight w:val="none"/>
          <w:u w:val="single"/>
          <w:lang w:val="en-US" w:eastAsia="zh-CN"/>
        </w:rPr>
        <w:t xml:space="preserve">                </w:t>
      </w:r>
    </w:p>
    <w:p w14:paraId="489B116F">
      <w:pPr>
        <w:snapToGrid w:val="0"/>
        <w:spacing w:line="500" w:lineRule="exact"/>
        <w:ind w:firstLine="480" w:firstLineChars="200"/>
        <w:jc w:val="right"/>
        <w:rPr>
          <w:rFonts w:ascii="宋体" w:hAnsi="宋体" w:eastAsia="宋体" w:cs="宋体"/>
          <w:sz w:val="24"/>
          <w:szCs w:val="24"/>
          <w:highlight w:val="none"/>
        </w:rPr>
      </w:pPr>
      <w:r>
        <w:rPr>
          <w:rFonts w:hint="eastAsia" w:ascii="宋体" w:hAnsi="宋体" w:eastAsia="宋体" w:cs="宋体"/>
          <w:sz w:val="24"/>
          <w:szCs w:val="24"/>
          <w:highlight w:val="none"/>
        </w:rPr>
        <w:t>日期：</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日</w:t>
      </w:r>
    </w:p>
    <w:p w14:paraId="14EABFAD">
      <w:pPr>
        <w:rPr>
          <w:rFonts w:ascii="宋体" w:hAnsi="宋体" w:eastAsia="宋体" w:cs="宋体"/>
          <w:sz w:val="24"/>
          <w:szCs w:val="24"/>
          <w:highlight w:val="none"/>
        </w:rPr>
      </w:pPr>
    </w:p>
    <w:p w14:paraId="7B8C5F5E">
      <w:pPr>
        <w:rPr>
          <w:rFonts w:ascii="宋体" w:hAnsi="宋体" w:eastAsia="宋体" w:cs="宋体"/>
          <w:sz w:val="24"/>
          <w:szCs w:val="24"/>
          <w:highlight w:val="none"/>
        </w:rPr>
      </w:pPr>
      <w:r>
        <w:rPr>
          <w:rFonts w:ascii="宋体" w:hAnsi="宋体" w:eastAsia="宋体" w:cs="宋体"/>
          <w:sz w:val="24"/>
          <w:szCs w:val="24"/>
          <w:highlight w:val="none"/>
        </w:rPr>
        <w:br w:type="page"/>
      </w:r>
    </w:p>
    <w:p w14:paraId="3B603A27">
      <w:pPr>
        <w:spacing w:before="84" w:line="220" w:lineRule="auto"/>
        <w:jc w:val="center"/>
        <w:rPr>
          <w:rFonts w:hint="default" w:ascii="宋体" w:hAnsi="宋体" w:eastAsia="宋体" w:cs="宋体"/>
          <w:b/>
          <w:bCs/>
          <w:spacing w:val="5"/>
          <w:sz w:val="28"/>
          <w:szCs w:val="28"/>
          <w:lang w:val="en-US" w:eastAsia="zh-CN"/>
        </w:rPr>
      </w:pPr>
      <w:bookmarkStart w:id="88" w:name="_Toc25523"/>
      <w:bookmarkStart w:id="89" w:name="_Toc173857164"/>
      <w:r>
        <w:rPr>
          <w:rFonts w:hint="eastAsia" w:ascii="宋体" w:hAnsi="宋体" w:eastAsia="宋体" w:cs="宋体"/>
          <w:b/>
          <w:bCs/>
          <w:spacing w:val="5"/>
          <w:sz w:val="28"/>
          <w:szCs w:val="28"/>
          <w:lang w:val="en-US" w:eastAsia="zh-CN"/>
        </w:rPr>
        <w:t>（六）信用查询截图</w:t>
      </w:r>
    </w:p>
    <w:p w14:paraId="593EF6B5">
      <w:pPr>
        <w:bidi w:val="0"/>
        <w:rPr>
          <w:rFonts w:hint="eastAsia"/>
          <w:lang w:val="en-US" w:eastAsia="zh-CN"/>
        </w:rPr>
      </w:pPr>
    </w:p>
    <w:p w14:paraId="7FACD4E6">
      <w:pPr>
        <w:keepNext w:val="0"/>
        <w:keepLines w:val="0"/>
        <w:pageBreakBefore w:val="0"/>
        <w:widowControl w:val="0"/>
        <w:kinsoku/>
        <w:wordWrap w:val="0"/>
        <w:overflowPunct/>
        <w:topLinePunct/>
        <w:autoSpaceDE/>
        <w:autoSpaceDN/>
        <w:bidi w:val="0"/>
        <w:spacing w:line="44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查询渠道：1.“信用中国网”，查询内容为：重大税收违法失信主体；2.“中国执行信息公开网”，查询内容为：失信被执行人；3.“中国政府采购网”，查询内容为：政府采购严重违法失信行为记录名单。查询时间：自招标公告发出之日起）。</w:t>
      </w:r>
    </w:p>
    <w:p w14:paraId="1C8B821A">
      <w:pPr>
        <w:bidi w:val="0"/>
        <w:rPr>
          <w:rFonts w:hint="eastAsia"/>
          <w:lang w:val="en-US" w:eastAsia="zh-CN"/>
        </w:rPr>
      </w:pPr>
    </w:p>
    <w:p w14:paraId="4680CB45">
      <w:pPr>
        <w:bidi w:val="0"/>
        <w:rPr>
          <w:rFonts w:hint="eastAsia"/>
          <w:lang w:val="en-US" w:eastAsia="zh-CN"/>
        </w:rPr>
      </w:pPr>
    </w:p>
    <w:p w14:paraId="3DF1D9AA">
      <w:pPr>
        <w:rPr>
          <w:rFonts w:hint="eastAsia"/>
          <w:lang w:val="en-US" w:eastAsia="zh-CN"/>
        </w:rPr>
      </w:pPr>
      <w:r>
        <w:rPr>
          <w:rFonts w:hint="eastAsia"/>
          <w:lang w:val="en-US" w:eastAsia="zh-CN"/>
        </w:rPr>
        <w:br w:type="page"/>
      </w:r>
    </w:p>
    <w:p w14:paraId="4EC83D89">
      <w:pPr>
        <w:bidi w:val="0"/>
        <w:rPr>
          <w:rFonts w:hint="eastAsia"/>
          <w:lang w:val="en-US" w:eastAsia="zh-CN"/>
        </w:rPr>
      </w:pPr>
    </w:p>
    <w:p w14:paraId="54E95617">
      <w:pPr>
        <w:pStyle w:val="5"/>
        <w:bidi w:val="0"/>
        <w:rPr>
          <w:rFonts w:hint="default"/>
          <w:lang w:val="en-US" w:eastAsia="zh-CN"/>
        </w:rPr>
      </w:pPr>
      <w:bookmarkStart w:id="90" w:name="_Toc15423"/>
      <w:r>
        <w:rPr>
          <w:rFonts w:hint="eastAsia"/>
          <w:lang w:val="en-US" w:eastAsia="zh-CN"/>
        </w:rPr>
        <w:t>七、综合部分</w:t>
      </w:r>
      <w:bookmarkEnd w:id="90"/>
    </w:p>
    <w:p w14:paraId="1DB1688D">
      <w:pPr>
        <w:spacing w:before="78" w:line="219" w:lineRule="auto"/>
        <w:ind w:left="488"/>
        <w:rPr>
          <w:rFonts w:ascii="宋体" w:hAnsi="宋体" w:eastAsia="宋体" w:cs="宋体"/>
          <w:sz w:val="24"/>
          <w:szCs w:val="24"/>
        </w:rPr>
      </w:pPr>
      <w:r>
        <w:rPr>
          <w:rFonts w:ascii="宋体" w:hAnsi="宋体" w:eastAsia="宋体" w:cs="宋体"/>
          <w:spacing w:val="-1"/>
          <w:sz w:val="24"/>
          <w:szCs w:val="24"/>
        </w:rPr>
        <w:t>供应商可参照评审标准进行编制。</w:t>
      </w:r>
    </w:p>
    <w:p w14:paraId="0BD08117">
      <w:pPr>
        <w:pStyle w:val="9"/>
        <w:spacing w:line="279" w:lineRule="auto"/>
      </w:pPr>
    </w:p>
    <w:p w14:paraId="2E5A64B4">
      <w:pPr>
        <w:pStyle w:val="9"/>
        <w:spacing w:line="279" w:lineRule="auto"/>
      </w:pPr>
    </w:p>
    <w:p w14:paraId="702B8CD1">
      <w:pPr>
        <w:spacing w:before="78" w:line="361" w:lineRule="exact"/>
        <w:ind w:left="507"/>
        <w:rPr>
          <w:rFonts w:hint="eastAsia" w:ascii="宋体" w:hAnsi="宋体" w:eastAsia="宋体" w:cs="宋体"/>
          <w:sz w:val="24"/>
          <w:szCs w:val="24"/>
        </w:rPr>
      </w:pPr>
      <w:r>
        <w:rPr>
          <w:rFonts w:hint="eastAsia" w:ascii="宋体" w:hAnsi="宋体" w:eastAsia="宋体" w:cs="宋体"/>
          <w:spacing w:val="-8"/>
          <w:position w:val="2"/>
          <w:sz w:val="24"/>
          <w:szCs w:val="24"/>
        </w:rPr>
        <w:t>1.业绩</w:t>
      </w:r>
    </w:p>
    <w:p w14:paraId="4105210D">
      <w:pPr>
        <w:spacing w:before="120" w:line="360" w:lineRule="exact"/>
        <w:ind w:left="488"/>
        <w:rPr>
          <w:rFonts w:hint="eastAsia" w:ascii="宋体" w:hAnsi="宋体" w:eastAsia="宋体" w:cs="宋体"/>
          <w:sz w:val="24"/>
          <w:szCs w:val="24"/>
        </w:rPr>
      </w:pPr>
      <w:r>
        <w:rPr>
          <w:rFonts w:hint="eastAsia" w:ascii="宋体" w:hAnsi="宋体" w:eastAsia="宋体" w:cs="宋体"/>
          <w:spacing w:val="-1"/>
          <w:position w:val="2"/>
          <w:sz w:val="24"/>
          <w:szCs w:val="24"/>
          <w:lang w:val="en-US" w:eastAsia="zh-CN"/>
        </w:rPr>
        <w:t>2</w:t>
      </w:r>
      <w:r>
        <w:rPr>
          <w:rFonts w:hint="eastAsia" w:ascii="宋体" w:hAnsi="宋体" w:eastAsia="宋体" w:cs="宋体"/>
          <w:spacing w:val="-1"/>
          <w:position w:val="2"/>
          <w:sz w:val="24"/>
          <w:szCs w:val="24"/>
        </w:rPr>
        <w:t>.</w:t>
      </w:r>
      <w:r>
        <w:rPr>
          <w:rFonts w:hint="eastAsia" w:ascii="宋体" w:hAnsi="宋体" w:eastAsia="宋体" w:cs="宋体"/>
          <w:color w:val="auto"/>
          <w:sz w:val="24"/>
          <w:szCs w:val="24"/>
          <w:highlight w:val="none"/>
          <w:lang w:val="en-US" w:eastAsia="zh-CN"/>
        </w:rPr>
        <w:t>拟投入人员实力证明</w:t>
      </w:r>
    </w:p>
    <w:p w14:paraId="488E9BEE">
      <w:pPr>
        <w:spacing w:before="120" w:line="360" w:lineRule="exact"/>
        <w:ind w:left="482"/>
        <w:rPr>
          <w:rFonts w:hint="eastAsia" w:ascii="宋体" w:hAnsi="宋体" w:eastAsia="宋体" w:cs="宋体"/>
          <w:sz w:val="24"/>
          <w:szCs w:val="24"/>
        </w:rPr>
      </w:pPr>
      <w:r>
        <w:rPr>
          <w:rFonts w:hint="eastAsia" w:ascii="宋体" w:hAnsi="宋体" w:eastAsia="宋体" w:cs="宋体"/>
          <w:spacing w:val="-1"/>
          <w:position w:val="2"/>
          <w:sz w:val="24"/>
          <w:szCs w:val="24"/>
          <w:lang w:val="en-US" w:eastAsia="zh-CN"/>
        </w:rPr>
        <w:t>3</w:t>
      </w:r>
      <w:r>
        <w:rPr>
          <w:rFonts w:hint="eastAsia" w:ascii="宋体" w:hAnsi="宋体" w:eastAsia="宋体" w:cs="宋体"/>
          <w:spacing w:val="-1"/>
          <w:position w:val="2"/>
          <w:sz w:val="24"/>
          <w:szCs w:val="24"/>
        </w:rPr>
        <w:t>.</w:t>
      </w:r>
      <w:r>
        <w:rPr>
          <w:rFonts w:hint="eastAsia" w:ascii="宋体" w:hAnsi="宋体" w:eastAsia="宋体" w:cs="宋体"/>
          <w:color w:val="auto"/>
          <w:sz w:val="24"/>
          <w:szCs w:val="24"/>
          <w:highlight w:val="none"/>
          <w:lang w:val="en-US" w:eastAsia="zh-CN"/>
        </w:rPr>
        <w:t>拟投入本项目的主要工器具</w:t>
      </w:r>
    </w:p>
    <w:p w14:paraId="3A7FB1BD">
      <w:pPr>
        <w:spacing w:line="360" w:lineRule="exact"/>
        <w:rPr>
          <w:rFonts w:ascii="宋体" w:hAnsi="宋体" w:eastAsia="宋体" w:cs="宋体"/>
          <w:sz w:val="24"/>
          <w:szCs w:val="24"/>
        </w:rPr>
        <w:sectPr>
          <w:footerReference r:id="rId9" w:type="default"/>
          <w:pgSz w:w="11906" w:h="16838"/>
          <w:pgMar w:top="1429" w:right="1497" w:bottom="1417" w:left="1480" w:header="0" w:footer="975" w:gutter="0"/>
          <w:pgNumType w:fmt="decimal"/>
          <w:cols w:space="0" w:num="1"/>
          <w:rtlGutter w:val="0"/>
          <w:docGrid w:linePitch="0" w:charSpace="0"/>
        </w:sectPr>
      </w:pPr>
    </w:p>
    <w:bookmarkEnd w:id="88"/>
    <w:bookmarkEnd w:id="89"/>
    <w:p w14:paraId="3927847D">
      <w:pPr>
        <w:pStyle w:val="5"/>
        <w:bidi w:val="0"/>
        <w:rPr>
          <w:rFonts w:ascii="宋体" w:hAnsi="宋体" w:eastAsia="宋体" w:cs="宋体"/>
          <w:szCs w:val="24"/>
          <w:highlight w:val="none"/>
        </w:rPr>
      </w:pPr>
      <w:bookmarkStart w:id="91" w:name="_Toc22047"/>
      <w:bookmarkStart w:id="92" w:name="_Toc4616"/>
      <w:bookmarkStart w:id="93" w:name="_Toc25442"/>
      <w:bookmarkStart w:id="94" w:name="_Toc7170"/>
      <w:bookmarkStart w:id="95" w:name="_Toc173857165"/>
      <w:bookmarkStart w:id="96" w:name="_Toc9968"/>
      <w:r>
        <w:rPr>
          <w:rFonts w:hint="eastAsia"/>
          <w:lang w:val="en-US" w:eastAsia="zh-CN"/>
        </w:rPr>
        <w:t>八、政府采购供应商质量保证承诺函</w:t>
      </w:r>
      <w:bookmarkEnd w:id="91"/>
      <w:bookmarkEnd w:id="92"/>
      <w:bookmarkEnd w:id="93"/>
      <w:bookmarkEnd w:id="94"/>
      <w:bookmarkEnd w:id="95"/>
      <w:bookmarkEnd w:id="96"/>
    </w:p>
    <w:p w14:paraId="66C8C8AD">
      <w:pPr>
        <w:adjustRightInd w:val="0"/>
        <w:snapToGrid w:val="0"/>
        <w:spacing w:line="500" w:lineRule="exact"/>
        <w:ind w:firstLine="480" w:firstLineChars="200"/>
        <w:rPr>
          <w:rFonts w:hint="eastAsia" w:asciiTheme="minorEastAsia" w:hAnsiTheme="minorEastAsia" w:eastAsiaTheme="minorEastAsia"/>
          <w:sz w:val="24"/>
          <w:highlight w:val="none"/>
          <w:lang w:eastAsia="zh-CN"/>
        </w:rPr>
      </w:pPr>
      <w:r>
        <w:rPr>
          <w:rFonts w:asciiTheme="minorEastAsia" w:hAnsiTheme="minorEastAsia"/>
          <w:sz w:val="24"/>
          <w:highlight w:val="none"/>
        </w:rPr>
        <w:t>致：</w:t>
      </w:r>
      <w:r>
        <w:rPr>
          <w:rFonts w:asciiTheme="minorEastAsia" w:hAnsiTheme="minorEastAsia"/>
          <w:sz w:val="24"/>
          <w:highlight w:val="none"/>
          <w:u w:val="single"/>
        </w:rPr>
        <w:t>采购人名称</w:t>
      </w:r>
    </w:p>
    <w:p w14:paraId="2B6E2425">
      <w:pPr>
        <w:adjustRightInd w:val="0"/>
        <w:snapToGrid w:val="0"/>
        <w:spacing w:line="500" w:lineRule="exact"/>
        <w:ind w:firstLine="480" w:firstLineChars="200"/>
        <w:rPr>
          <w:rFonts w:hint="eastAsia" w:asciiTheme="minorEastAsia" w:hAnsiTheme="minorEastAsia" w:eastAsiaTheme="minorEastAsia"/>
          <w:sz w:val="24"/>
          <w:highlight w:val="none"/>
          <w:lang w:eastAsia="zh-CN"/>
        </w:rPr>
      </w:pPr>
      <w:r>
        <w:rPr>
          <w:rFonts w:asciiTheme="minorEastAsia" w:hAnsiTheme="minorEastAsia"/>
          <w:sz w:val="24"/>
          <w:highlight w:val="none"/>
        </w:rPr>
        <w:t>单位名称(自然人姓名)：</w:t>
      </w:r>
    </w:p>
    <w:p w14:paraId="47612A51">
      <w:pPr>
        <w:adjustRightInd w:val="0"/>
        <w:snapToGrid w:val="0"/>
        <w:spacing w:line="500" w:lineRule="exact"/>
        <w:ind w:firstLine="480" w:firstLineChars="200"/>
        <w:rPr>
          <w:rFonts w:hint="eastAsia" w:asciiTheme="minorEastAsia" w:hAnsiTheme="minorEastAsia" w:eastAsiaTheme="minorEastAsia"/>
          <w:sz w:val="24"/>
          <w:highlight w:val="none"/>
          <w:lang w:eastAsia="zh-CN"/>
        </w:rPr>
      </w:pPr>
      <w:r>
        <w:rPr>
          <w:rFonts w:asciiTheme="minorEastAsia" w:hAnsiTheme="minorEastAsia"/>
          <w:sz w:val="24"/>
          <w:highlight w:val="none"/>
        </w:rPr>
        <w:t>统一社会信用代码(身份证号码)：</w:t>
      </w:r>
    </w:p>
    <w:p w14:paraId="20B29D25">
      <w:pPr>
        <w:adjustRightInd w:val="0"/>
        <w:snapToGrid w:val="0"/>
        <w:spacing w:line="500" w:lineRule="exact"/>
        <w:ind w:firstLine="480" w:firstLineChars="200"/>
        <w:rPr>
          <w:rFonts w:hint="eastAsia" w:asciiTheme="minorEastAsia" w:hAnsiTheme="minorEastAsia" w:eastAsiaTheme="minorEastAsia"/>
          <w:sz w:val="24"/>
          <w:highlight w:val="none"/>
          <w:lang w:eastAsia="zh-CN"/>
        </w:rPr>
      </w:pPr>
      <w:r>
        <w:rPr>
          <w:rFonts w:asciiTheme="minorEastAsia" w:hAnsiTheme="minorEastAsia"/>
          <w:sz w:val="24"/>
          <w:highlight w:val="none"/>
        </w:rPr>
        <w:t>法定代表人(负责人)：</w:t>
      </w:r>
    </w:p>
    <w:p w14:paraId="470884B3">
      <w:pPr>
        <w:adjustRightInd w:val="0"/>
        <w:snapToGrid w:val="0"/>
        <w:spacing w:line="500" w:lineRule="exact"/>
        <w:ind w:firstLine="480" w:firstLineChars="200"/>
        <w:rPr>
          <w:rFonts w:hint="eastAsia" w:asciiTheme="minorEastAsia" w:hAnsiTheme="minorEastAsia" w:eastAsiaTheme="minorEastAsia"/>
          <w:sz w:val="24"/>
          <w:highlight w:val="none"/>
          <w:lang w:eastAsia="zh-CN"/>
        </w:rPr>
      </w:pPr>
      <w:r>
        <w:rPr>
          <w:rFonts w:asciiTheme="minorEastAsia" w:hAnsiTheme="minorEastAsia"/>
          <w:sz w:val="24"/>
          <w:highlight w:val="none"/>
        </w:rPr>
        <w:t>联系地址和电话：</w:t>
      </w:r>
    </w:p>
    <w:p w14:paraId="5F9A2E01">
      <w:pPr>
        <w:adjustRightInd w:val="0"/>
        <w:snapToGrid w:val="0"/>
        <w:spacing w:line="500" w:lineRule="exact"/>
        <w:ind w:firstLine="480" w:firstLineChars="200"/>
        <w:rPr>
          <w:rFonts w:asciiTheme="minorEastAsia" w:hAnsiTheme="minorEastAsia"/>
          <w:sz w:val="24"/>
          <w:highlight w:val="none"/>
        </w:rPr>
      </w:pPr>
      <w:r>
        <w:rPr>
          <w:rFonts w:asciiTheme="minorEastAsia" w:hAnsiTheme="minorEastAsia"/>
          <w:sz w:val="24"/>
          <w:highlight w:val="none"/>
        </w:rPr>
        <w:t>为维护规范、有序的政府采购市场秩序，树立诚实守信的政府采购供应商形象，我单位(本人)自愿作出以下承诺：</w:t>
      </w:r>
    </w:p>
    <w:p w14:paraId="686FFF48">
      <w:pPr>
        <w:adjustRightInd w:val="0"/>
        <w:snapToGrid w:val="0"/>
        <w:spacing w:line="500" w:lineRule="exact"/>
        <w:ind w:firstLine="480" w:firstLineChars="200"/>
        <w:rPr>
          <w:rFonts w:asciiTheme="minorEastAsia" w:hAnsiTheme="minorEastAsia"/>
          <w:sz w:val="24"/>
          <w:highlight w:val="none"/>
        </w:rPr>
      </w:pPr>
      <w:r>
        <w:rPr>
          <w:rFonts w:asciiTheme="minorEastAsia" w:hAnsiTheme="minorEastAsia"/>
          <w:sz w:val="24"/>
          <w:highlight w:val="none"/>
        </w:rPr>
        <w:t>我单位(本人)自愿参加本次政府采购活动，严格按照招标文件及投标文件的相关要求及响应提供货物或服务，并根据质量保证的响应期限内提供如下承诺：</w:t>
      </w:r>
    </w:p>
    <w:p w14:paraId="465365AE">
      <w:pPr>
        <w:adjustRightInd w:val="0"/>
        <w:snapToGrid w:val="0"/>
        <w:spacing w:line="500" w:lineRule="exact"/>
        <w:ind w:firstLine="480" w:firstLineChars="200"/>
        <w:rPr>
          <w:rFonts w:asciiTheme="minorEastAsia" w:hAnsiTheme="minorEastAsia"/>
          <w:sz w:val="24"/>
          <w:highlight w:val="none"/>
        </w:rPr>
      </w:pPr>
      <w:r>
        <w:rPr>
          <w:rFonts w:asciiTheme="minorEastAsia" w:hAnsiTheme="minorEastAsia"/>
          <w:sz w:val="24"/>
          <w:highlight w:val="none"/>
        </w:rPr>
        <w:t>1、若在质量保证的响应期限内由于采购人的原因造成的货物质量问题，采购人只承担更换货物的直接材料费用；</w:t>
      </w:r>
    </w:p>
    <w:p w14:paraId="2282FAA6">
      <w:pPr>
        <w:adjustRightInd w:val="0"/>
        <w:snapToGrid w:val="0"/>
        <w:spacing w:line="500" w:lineRule="exact"/>
        <w:ind w:firstLine="480" w:firstLineChars="200"/>
        <w:rPr>
          <w:rFonts w:asciiTheme="minorEastAsia" w:hAnsiTheme="minorEastAsia"/>
          <w:sz w:val="24"/>
          <w:highlight w:val="none"/>
        </w:rPr>
      </w:pPr>
      <w:r>
        <w:rPr>
          <w:rFonts w:asciiTheme="minorEastAsia" w:hAnsiTheme="minorEastAsia"/>
          <w:sz w:val="24"/>
          <w:highlight w:val="none"/>
        </w:rPr>
        <w:t>2、若在质量保证的响应期限内非采购人的原因造成的货物或服务出现质量问题，我单位(本人)承担货物更换、维修或整改的全部费用，直至采购人满意为止；</w:t>
      </w:r>
    </w:p>
    <w:p w14:paraId="684DFF19">
      <w:pPr>
        <w:adjustRightInd w:val="0"/>
        <w:snapToGrid w:val="0"/>
        <w:spacing w:line="500" w:lineRule="exact"/>
        <w:ind w:firstLine="480" w:firstLineChars="200"/>
        <w:rPr>
          <w:rFonts w:asciiTheme="minorEastAsia" w:hAnsiTheme="minorEastAsia"/>
          <w:sz w:val="24"/>
          <w:highlight w:val="none"/>
        </w:rPr>
      </w:pPr>
      <w:r>
        <w:rPr>
          <w:rFonts w:asciiTheme="minorEastAsia" w:hAnsiTheme="minorEastAsia"/>
          <w:sz w:val="24"/>
          <w:highlight w:val="none"/>
        </w:rPr>
        <w:t>3、货物经三次维修或更换，或服务经三次整改，仍不能满足采购人需求的，采购人有权解除采购合同，除已付款项全额返还外，另外按已付款的30%向采购人支付违约金。</w:t>
      </w:r>
    </w:p>
    <w:p w14:paraId="69510BF8">
      <w:pPr>
        <w:adjustRightInd w:val="0"/>
        <w:snapToGrid w:val="0"/>
        <w:spacing w:line="500" w:lineRule="exact"/>
        <w:ind w:firstLine="480" w:firstLineChars="200"/>
        <w:rPr>
          <w:spacing w:val="-6"/>
          <w:highlight w:val="none"/>
        </w:rPr>
      </w:pPr>
      <w:r>
        <w:rPr>
          <w:rFonts w:asciiTheme="minorEastAsia" w:hAnsiTheme="minorEastAsia"/>
          <w:sz w:val="24"/>
          <w:highlight w:val="none"/>
        </w:rPr>
        <w:t>本承诺函系采购合同的组成部分，与采购合同约定不一致的，优先适用本承诺函。</w:t>
      </w:r>
    </w:p>
    <w:p w14:paraId="3789CA85">
      <w:pPr>
        <w:adjustRightInd w:val="0"/>
        <w:spacing w:line="540" w:lineRule="exact"/>
        <w:jc w:val="center"/>
        <w:rPr>
          <w:rFonts w:ascii="宋体" w:hAnsi="宋体" w:eastAsia="宋体" w:cs="宋体"/>
          <w:spacing w:val="-6"/>
          <w:sz w:val="24"/>
          <w:szCs w:val="24"/>
          <w:highlight w:val="none"/>
        </w:rPr>
      </w:pPr>
    </w:p>
    <w:p w14:paraId="4EBDB768">
      <w:pPr>
        <w:adjustRightInd w:val="0"/>
        <w:spacing w:line="540" w:lineRule="exact"/>
        <w:jc w:val="center"/>
        <w:rPr>
          <w:rFonts w:ascii="宋体" w:hAnsi="宋体" w:eastAsia="宋体" w:cs="宋体"/>
          <w:spacing w:val="-6"/>
          <w:sz w:val="24"/>
          <w:szCs w:val="24"/>
          <w:highlight w:val="none"/>
        </w:rPr>
      </w:pPr>
    </w:p>
    <w:p w14:paraId="13918FF3">
      <w:pPr>
        <w:spacing w:line="500" w:lineRule="exact"/>
        <w:ind w:firstLine="3360" w:firstLineChars="1400"/>
        <w:rPr>
          <w:rFonts w:hint="eastAsia" w:ascii="宋体" w:hAnsi="宋体" w:eastAsia="宋体" w:cs="宋体"/>
          <w:sz w:val="24"/>
          <w:szCs w:val="24"/>
          <w:highlight w:val="none"/>
          <w:u w:val="single"/>
          <w:lang w:val="en-US" w:eastAsia="zh-CN"/>
        </w:rPr>
      </w:pPr>
      <w:r>
        <w:rPr>
          <w:rFonts w:hint="eastAsia" w:ascii="宋体" w:hAnsi="宋体" w:eastAsia="宋体" w:cs="宋体"/>
          <w:sz w:val="24"/>
          <w:szCs w:val="24"/>
          <w:highlight w:val="none"/>
        </w:rPr>
        <w:t>供应商单位全称（签章）：</w:t>
      </w:r>
      <w:r>
        <w:rPr>
          <w:rFonts w:hint="eastAsia" w:ascii="宋体" w:hAnsi="宋体" w:eastAsia="宋体" w:cs="宋体"/>
          <w:sz w:val="24"/>
          <w:szCs w:val="24"/>
          <w:highlight w:val="none"/>
          <w:u w:val="single"/>
          <w:lang w:val="en-US" w:eastAsia="zh-CN"/>
        </w:rPr>
        <w:t xml:space="preserve">            </w:t>
      </w:r>
    </w:p>
    <w:p w14:paraId="5329C42C">
      <w:pPr>
        <w:spacing w:line="500" w:lineRule="exact"/>
        <w:ind w:firstLine="3360" w:firstLineChars="1400"/>
        <w:rPr>
          <w:rFonts w:hint="default" w:ascii="宋体" w:hAnsi="宋体" w:eastAsia="宋体" w:cs="宋体"/>
          <w:sz w:val="24"/>
          <w:szCs w:val="24"/>
          <w:highlight w:val="none"/>
          <w:u w:val="single"/>
          <w:lang w:val="en-US" w:eastAsia="zh-CN"/>
        </w:rPr>
      </w:pPr>
      <w:r>
        <w:rPr>
          <w:rFonts w:hint="eastAsia" w:ascii="宋体" w:hAnsi="宋体" w:eastAsia="宋体" w:cs="宋体"/>
          <w:sz w:val="24"/>
          <w:szCs w:val="24"/>
          <w:highlight w:val="none"/>
        </w:rPr>
        <w:t>法定代表人（签章）：</w:t>
      </w:r>
      <w:r>
        <w:rPr>
          <w:rFonts w:hint="eastAsia" w:ascii="宋体" w:hAnsi="宋体" w:eastAsia="宋体" w:cs="宋体"/>
          <w:sz w:val="24"/>
          <w:szCs w:val="24"/>
          <w:highlight w:val="none"/>
          <w:u w:val="single"/>
          <w:lang w:val="en-US" w:eastAsia="zh-CN"/>
        </w:rPr>
        <w:t xml:space="preserve">                </w:t>
      </w:r>
    </w:p>
    <w:p w14:paraId="677190E2">
      <w:pPr>
        <w:snapToGrid w:val="0"/>
        <w:spacing w:line="500" w:lineRule="exact"/>
        <w:ind w:firstLine="480" w:firstLineChars="200"/>
        <w:jc w:val="right"/>
        <w:rPr>
          <w:rFonts w:ascii="宋体" w:hAnsi="宋体" w:eastAsia="宋体" w:cs="宋体"/>
          <w:sz w:val="24"/>
          <w:szCs w:val="24"/>
          <w:highlight w:val="none"/>
        </w:rPr>
      </w:pPr>
      <w:r>
        <w:rPr>
          <w:rFonts w:hint="eastAsia" w:ascii="宋体" w:hAnsi="宋体" w:eastAsia="宋体" w:cs="宋体"/>
          <w:sz w:val="24"/>
          <w:szCs w:val="24"/>
          <w:highlight w:val="none"/>
        </w:rPr>
        <w:t>日期：</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日</w:t>
      </w:r>
    </w:p>
    <w:p w14:paraId="212C51CA">
      <w:pPr>
        <w:widowControl/>
        <w:jc w:val="left"/>
        <w:rPr>
          <w:rFonts w:ascii="宋体" w:hAnsi="宋体" w:eastAsia="宋体" w:cs="宋体"/>
          <w:sz w:val="24"/>
          <w:szCs w:val="24"/>
          <w:highlight w:val="none"/>
        </w:rPr>
      </w:pPr>
      <w:r>
        <w:rPr>
          <w:rFonts w:ascii="宋体" w:hAnsi="宋体" w:eastAsia="宋体" w:cs="宋体"/>
          <w:sz w:val="24"/>
          <w:szCs w:val="24"/>
          <w:highlight w:val="none"/>
        </w:rPr>
        <w:br w:type="page"/>
      </w:r>
    </w:p>
    <w:p w14:paraId="01C2DF91">
      <w:pPr>
        <w:pStyle w:val="5"/>
        <w:bidi w:val="0"/>
      </w:pPr>
      <w:bookmarkStart w:id="97" w:name="_Toc173857166"/>
      <w:bookmarkStart w:id="98" w:name="_Toc13571"/>
      <w:bookmarkStart w:id="99" w:name="_Toc26832"/>
      <w:r>
        <w:rPr>
          <w:rFonts w:hint="eastAsia"/>
          <w:lang w:val="en-US" w:eastAsia="zh-CN"/>
        </w:rPr>
        <w:t>九</w:t>
      </w:r>
      <w:r>
        <w:rPr>
          <w:rFonts w:hint="eastAsia"/>
        </w:rPr>
        <w:t>、投标人认为有必要的其他材料</w:t>
      </w:r>
      <w:bookmarkEnd w:id="97"/>
      <w:bookmarkEnd w:id="98"/>
      <w:bookmarkEnd w:id="99"/>
    </w:p>
    <w:p w14:paraId="1A725C67">
      <w:pPr>
        <w:spacing w:line="5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请各投标人根据招标文件，结合自身实际情况，补充认为有必要的其他证明材料。</w:t>
      </w:r>
    </w:p>
    <w:p w14:paraId="2016A514">
      <w:pPr>
        <w:adjustRightInd w:val="0"/>
        <w:spacing w:line="540" w:lineRule="exact"/>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(如发现提供虚假材料的，按无效投标处理，并承担相关的法律责任）。</w:t>
      </w:r>
    </w:p>
    <w:p w14:paraId="0F4A3870">
      <w:pP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br w:type="page"/>
      </w:r>
    </w:p>
    <w:p w14:paraId="1D60E300">
      <w:pPr>
        <w:pStyle w:val="4"/>
        <w:rPr>
          <w:rFonts w:hint="eastAsia"/>
          <w:b/>
          <w:bCs w:val="0"/>
          <w:sz w:val="44"/>
          <w:szCs w:val="44"/>
          <w:lang w:val="en-US" w:eastAsia="zh-CN"/>
        </w:rPr>
      </w:pPr>
      <w:bookmarkStart w:id="100" w:name="_Toc16641"/>
      <w:r>
        <w:rPr>
          <w:rFonts w:hint="eastAsia"/>
          <w:b/>
          <w:bCs w:val="0"/>
          <w:sz w:val="44"/>
          <w:szCs w:val="44"/>
          <w:lang w:val="en-US" w:eastAsia="zh-CN"/>
        </w:rPr>
        <w:t>第二部分技术标部分（暗标）</w:t>
      </w:r>
      <w:bookmarkEnd w:id="100"/>
    </w:p>
    <w:p w14:paraId="33A79CAA">
      <w:pPr>
        <w:spacing w:before="78" w:line="219" w:lineRule="auto"/>
        <w:rPr>
          <w:rFonts w:ascii="宋体" w:hAnsi="宋体" w:eastAsia="宋体" w:cs="宋体"/>
          <w:b/>
          <w:bCs/>
          <w:spacing w:val="-3"/>
          <w:sz w:val="24"/>
          <w:szCs w:val="24"/>
        </w:rPr>
      </w:pPr>
    </w:p>
    <w:p w14:paraId="6AD00E6C">
      <w:pPr>
        <w:keepNext w:val="0"/>
        <w:keepLines w:val="0"/>
        <w:pageBreakBefore w:val="0"/>
        <w:widowControl w:val="0"/>
        <w:kinsoku/>
        <w:wordWrap w:val="0"/>
        <w:overflowPunct/>
        <w:topLinePunct/>
        <w:autoSpaceDE/>
        <w:autoSpaceDN/>
        <w:bidi w:val="0"/>
        <w:adjustRightInd/>
        <w:snapToGrid/>
        <w:spacing w:line="360" w:lineRule="auto"/>
        <w:ind w:left="0" w:right="0" w:firstLine="470" w:firstLineChars="200"/>
        <w:textAlignment w:val="auto"/>
        <w:rPr>
          <w:rFonts w:ascii="宋体" w:hAnsi="宋体" w:eastAsia="宋体" w:cs="宋体"/>
          <w:sz w:val="24"/>
          <w:szCs w:val="24"/>
        </w:rPr>
      </w:pPr>
      <w:r>
        <w:rPr>
          <w:rFonts w:ascii="宋体" w:hAnsi="宋体" w:eastAsia="宋体" w:cs="宋体"/>
          <w:b/>
          <w:bCs/>
          <w:spacing w:val="-3"/>
          <w:sz w:val="24"/>
          <w:szCs w:val="24"/>
        </w:rPr>
        <w:t>注：本次招标技术标采用暗标评审。</w:t>
      </w:r>
    </w:p>
    <w:p w14:paraId="0328CFCC">
      <w:pPr>
        <w:keepNext w:val="0"/>
        <w:keepLines w:val="0"/>
        <w:pageBreakBefore w:val="0"/>
        <w:widowControl w:val="0"/>
        <w:kinsoku/>
        <w:wordWrap w:val="0"/>
        <w:overflowPunct/>
        <w:topLinePunct/>
        <w:autoSpaceDE/>
        <w:autoSpaceDN/>
        <w:bidi w:val="0"/>
        <w:adjustRightInd/>
        <w:snapToGrid/>
        <w:spacing w:line="360" w:lineRule="auto"/>
        <w:ind w:left="0" w:right="0" w:firstLine="482" w:firstLineChars="200"/>
        <w:textAlignment w:val="auto"/>
        <w:rPr>
          <w:rFonts w:hint="eastAsia" w:ascii="宋体" w:hAnsi="宋体" w:eastAsia="宋体" w:cs="宋体"/>
          <w:sz w:val="24"/>
          <w:szCs w:val="24"/>
          <w:lang w:eastAsia="zh-CN"/>
        </w:rPr>
      </w:pPr>
      <w:r>
        <w:rPr>
          <w:rFonts w:ascii="宋体" w:hAnsi="宋体" w:eastAsia="宋体" w:cs="宋体"/>
          <w:b/>
          <w:bCs/>
          <w:sz w:val="24"/>
          <w:szCs w:val="24"/>
        </w:rPr>
        <w:t>一、暗标(技术标)制作要求</w:t>
      </w:r>
      <w:r>
        <w:rPr>
          <w:rFonts w:hint="eastAsia" w:ascii="宋体" w:hAnsi="宋体" w:eastAsia="宋体" w:cs="宋体"/>
          <w:b/>
          <w:bCs/>
          <w:sz w:val="24"/>
          <w:szCs w:val="24"/>
          <w:lang w:eastAsia="zh-CN"/>
        </w:rPr>
        <w:t>：</w:t>
      </w:r>
    </w:p>
    <w:p w14:paraId="732978FE">
      <w:pPr>
        <w:keepNext w:val="0"/>
        <w:keepLines w:val="0"/>
        <w:pageBreakBefore w:val="0"/>
        <w:widowControl w:val="0"/>
        <w:kinsoku/>
        <w:wordWrap w:val="0"/>
        <w:overflowPunct/>
        <w:topLinePunct/>
        <w:autoSpaceDE/>
        <w:autoSpaceDN/>
        <w:bidi w:val="0"/>
        <w:adjustRightInd/>
        <w:snapToGrid/>
        <w:spacing w:line="360" w:lineRule="auto"/>
        <w:ind w:left="479" w:leftChars="228" w:right="0" w:firstLine="0" w:firstLineChars="0"/>
        <w:textAlignment w:val="auto"/>
        <w:rPr>
          <w:rFonts w:hint="default" w:ascii="宋体" w:hAnsi="宋体" w:eastAsia="宋体" w:cs="宋体"/>
          <w:b/>
          <w:bCs/>
          <w:spacing w:val="-5"/>
          <w:sz w:val="24"/>
          <w:szCs w:val="24"/>
          <w:lang w:val="en-US" w:eastAsia="zh-CN"/>
        </w:rPr>
      </w:pPr>
      <w:r>
        <w:rPr>
          <w:rFonts w:hint="eastAsia" w:ascii="宋体" w:hAnsi="宋体" w:eastAsia="宋体" w:cs="宋体"/>
          <w:b/>
          <w:bCs/>
          <w:spacing w:val="-5"/>
          <w:sz w:val="24"/>
          <w:szCs w:val="24"/>
          <w:lang w:val="en-US" w:eastAsia="zh-CN"/>
        </w:rPr>
        <w:t>1</w:t>
      </w:r>
      <w:r>
        <w:rPr>
          <w:rFonts w:hint="default" w:ascii="宋体" w:hAnsi="宋体" w:eastAsia="宋体" w:cs="宋体"/>
          <w:b/>
          <w:bCs/>
          <w:spacing w:val="-5"/>
          <w:sz w:val="24"/>
          <w:szCs w:val="24"/>
          <w:lang w:val="en-US" w:eastAsia="zh-CN"/>
        </w:rPr>
        <w:t>、不允许出现投标人名称，不得对暗标评分点进行电子签章。</w:t>
      </w:r>
      <w:r>
        <w:rPr>
          <w:rFonts w:hint="default" w:ascii="宋体" w:hAnsi="宋体" w:eastAsia="宋体" w:cs="宋体"/>
          <w:b/>
          <w:bCs/>
          <w:spacing w:val="-5"/>
          <w:sz w:val="24"/>
          <w:szCs w:val="24"/>
          <w:lang w:val="en-US" w:eastAsia="zh-CN"/>
        </w:rPr>
        <w:br w:type="textWrapping"/>
      </w:r>
      <w:r>
        <w:rPr>
          <w:rFonts w:hint="default" w:ascii="宋体" w:hAnsi="宋体" w:eastAsia="宋体" w:cs="宋体"/>
          <w:b/>
          <w:bCs/>
          <w:spacing w:val="-5"/>
          <w:sz w:val="24"/>
          <w:szCs w:val="24"/>
          <w:lang w:val="en-US" w:eastAsia="zh-CN"/>
        </w:rPr>
        <w:t>2、标题字体为宋体四号字，不允许加粗、倾斜和下划线，标题不得有空格，标题序号最多设置7级，每一个暗标评分点的标题都要重新开始编号，正文不得插入图片。</w:t>
      </w:r>
      <w:r>
        <w:rPr>
          <w:rFonts w:hint="default" w:ascii="宋体" w:hAnsi="宋体" w:eastAsia="宋体" w:cs="宋体"/>
          <w:b/>
          <w:bCs/>
          <w:spacing w:val="-5"/>
          <w:sz w:val="24"/>
          <w:szCs w:val="24"/>
          <w:lang w:val="en-US" w:eastAsia="zh-CN"/>
        </w:rPr>
        <w:br w:type="textWrapping"/>
      </w:r>
      <w:r>
        <w:rPr>
          <w:rFonts w:hint="default" w:ascii="宋体" w:hAnsi="宋体" w:eastAsia="宋体" w:cs="宋体"/>
          <w:b/>
          <w:bCs/>
          <w:spacing w:val="-5"/>
          <w:sz w:val="24"/>
          <w:szCs w:val="24"/>
          <w:lang w:val="en-US" w:eastAsia="zh-CN"/>
        </w:rPr>
        <w:t>3、全文字体为宋体四号字，不允许加粗、倾斜和下划线，全文均为白底黑字（字体颜色需为标准黑色）。</w:t>
      </w:r>
      <w:r>
        <w:rPr>
          <w:rFonts w:hint="default" w:ascii="宋体" w:hAnsi="宋体" w:eastAsia="宋体" w:cs="宋体"/>
          <w:b/>
          <w:bCs/>
          <w:spacing w:val="-5"/>
          <w:sz w:val="24"/>
          <w:szCs w:val="24"/>
          <w:lang w:val="en-US" w:eastAsia="zh-CN"/>
        </w:rPr>
        <w:br w:type="textWrapping"/>
      </w:r>
      <w:r>
        <w:rPr>
          <w:rFonts w:hint="default" w:ascii="宋体" w:hAnsi="宋体" w:eastAsia="宋体" w:cs="宋体"/>
          <w:b/>
          <w:bCs/>
          <w:spacing w:val="-5"/>
          <w:sz w:val="24"/>
          <w:szCs w:val="24"/>
          <w:lang w:val="en-US" w:eastAsia="zh-CN"/>
        </w:rPr>
        <w:t>4、图表要求：电脑绘制（不得手绘），白底黑字。宋体四号字，字体不允许加粗、倾斜和下划线（字体颜色需为标准黑色）</w:t>
      </w:r>
      <w:r>
        <w:rPr>
          <w:rFonts w:hint="default" w:ascii="宋体" w:hAnsi="宋体" w:eastAsia="宋体" w:cs="宋体"/>
          <w:b/>
          <w:bCs/>
          <w:spacing w:val="-5"/>
          <w:sz w:val="24"/>
          <w:szCs w:val="24"/>
          <w:lang w:val="en-US" w:eastAsia="zh-CN"/>
        </w:rPr>
        <w:br w:type="textWrapping"/>
      </w:r>
      <w:r>
        <w:rPr>
          <w:rFonts w:hint="default" w:ascii="宋体" w:hAnsi="宋体" w:eastAsia="宋体" w:cs="宋体"/>
          <w:b/>
          <w:bCs/>
          <w:spacing w:val="-5"/>
          <w:sz w:val="24"/>
          <w:szCs w:val="24"/>
          <w:lang w:val="en-US" w:eastAsia="zh-CN"/>
        </w:rPr>
        <w:t>5、行间距采用固定值28磅。</w:t>
      </w:r>
      <w:r>
        <w:rPr>
          <w:rFonts w:hint="default" w:ascii="宋体" w:hAnsi="宋体" w:eastAsia="宋体" w:cs="宋体"/>
          <w:b/>
          <w:bCs/>
          <w:spacing w:val="-5"/>
          <w:sz w:val="24"/>
          <w:szCs w:val="24"/>
          <w:lang w:val="en-US" w:eastAsia="zh-CN"/>
        </w:rPr>
        <w:br w:type="textWrapping"/>
      </w:r>
      <w:r>
        <w:rPr>
          <w:rFonts w:hint="default" w:ascii="宋体" w:hAnsi="宋体" w:eastAsia="宋体" w:cs="宋体"/>
          <w:b/>
          <w:bCs/>
          <w:spacing w:val="-5"/>
          <w:sz w:val="24"/>
          <w:szCs w:val="24"/>
          <w:lang w:val="en-US" w:eastAsia="zh-CN"/>
        </w:rPr>
        <w:t>6、全文采用A4大小，不允许插入空白页，页边距均为2.5厘米，不得出现页眉、页脚、页码。</w:t>
      </w:r>
      <w:r>
        <w:rPr>
          <w:rFonts w:hint="default" w:ascii="宋体" w:hAnsi="宋体" w:eastAsia="宋体" w:cs="宋体"/>
          <w:b/>
          <w:bCs/>
          <w:spacing w:val="-5"/>
          <w:sz w:val="24"/>
          <w:szCs w:val="24"/>
          <w:lang w:val="en-US" w:eastAsia="zh-CN"/>
        </w:rPr>
        <w:br w:type="textWrapping"/>
      </w:r>
      <w:r>
        <w:rPr>
          <w:rFonts w:hint="default" w:ascii="宋体" w:hAnsi="宋体" w:eastAsia="宋体" w:cs="宋体"/>
          <w:b/>
          <w:bCs/>
          <w:spacing w:val="-5"/>
          <w:sz w:val="24"/>
          <w:szCs w:val="24"/>
          <w:lang w:val="en-US" w:eastAsia="zh-CN"/>
        </w:rPr>
        <w:t>7、段前段后间距为0。</w:t>
      </w:r>
    </w:p>
    <w:p w14:paraId="14376D28">
      <w:pPr>
        <w:keepNext w:val="0"/>
        <w:keepLines w:val="0"/>
        <w:pageBreakBefore w:val="0"/>
        <w:widowControl w:val="0"/>
        <w:kinsoku/>
        <w:wordWrap w:val="0"/>
        <w:overflowPunct/>
        <w:topLinePunct/>
        <w:autoSpaceDE/>
        <w:autoSpaceDN/>
        <w:bidi w:val="0"/>
        <w:adjustRightInd/>
        <w:snapToGrid/>
        <w:spacing w:line="360" w:lineRule="auto"/>
        <w:ind w:left="0" w:right="0" w:firstLine="470" w:firstLineChars="200"/>
        <w:textAlignment w:val="auto"/>
        <w:rPr>
          <w:rFonts w:ascii="宋体" w:hAnsi="宋体" w:eastAsia="宋体" w:cs="宋体"/>
          <w:b/>
          <w:bCs/>
          <w:spacing w:val="-3"/>
          <w:sz w:val="24"/>
          <w:szCs w:val="24"/>
        </w:rPr>
      </w:pPr>
    </w:p>
    <w:p w14:paraId="23D1D1D8">
      <w:pPr>
        <w:keepNext w:val="0"/>
        <w:keepLines w:val="0"/>
        <w:pageBreakBefore w:val="0"/>
        <w:widowControl w:val="0"/>
        <w:kinsoku/>
        <w:wordWrap w:val="0"/>
        <w:overflowPunct/>
        <w:topLinePunct/>
        <w:autoSpaceDE/>
        <w:autoSpaceDN/>
        <w:bidi w:val="0"/>
        <w:adjustRightInd/>
        <w:snapToGrid/>
        <w:spacing w:line="360" w:lineRule="auto"/>
        <w:ind w:left="0" w:right="0" w:firstLine="462" w:firstLineChars="200"/>
        <w:textAlignment w:val="auto"/>
        <w:rPr>
          <w:rFonts w:ascii="宋体" w:hAnsi="宋体" w:eastAsia="宋体" w:cs="宋体"/>
          <w:b/>
          <w:bCs/>
          <w:spacing w:val="-5"/>
          <w:sz w:val="24"/>
          <w:szCs w:val="24"/>
        </w:rPr>
      </w:pPr>
      <w:r>
        <w:rPr>
          <w:rFonts w:hint="eastAsia" w:ascii="宋体" w:hAnsi="宋体" w:eastAsia="宋体" w:cs="宋体"/>
          <w:b/>
          <w:bCs/>
          <w:spacing w:val="-5"/>
          <w:sz w:val="24"/>
          <w:szCs w:val="24"/>
          <w:lang w:val="en-US" w:eastAsia="zh-CN"/>
        </w:rPr>
        <w:t>备注：评标（评审）委员会在暗标评审中</w:t>
      </w:r>
      <w:r>
        <w:rPr>
          <w:rFonts w:hint="eastAsia" w:ascii="宋体" w:hAnsi="宋体" w:eastAsia="宋体" w:cs="宋体"/>
          <w:b/>
          <w:bCs/>
          <w:spacing w:val="-5"/>
          <w:sz w:val="24"/>
          <w:szCs w:val="24"/>
        </w:rPr>
        <w:t>一致认定投标人存在透露投标人身份信息的</w:t>
      </w:r>
      <w:r>
        <w:rPr>
          <w:rFonts w:hint="eastAsia" w:ascii="宋体" w:hAnsi="宋体" w:eastAsia="宋体" w:cs="宋体"/>
          <w:b/>
          <w:bCs/>
          <w:spacing w:val="-5"/>
          <w:sz w:val="24"/>
          <w:szCs w:val="24"/>
          <w:lang w:val="en-US" w:eastAsia="zh-CN"/>
        </w:rPr>
        <w:t>明显标记的，应予以否决；不能认定透露投标人身份信息（字体、颜色、空格、空行、明显的文字错误、序号不连续、字体字母符号异形、图表来源方式等非实质性内容）的，不应予以否决。</w:t>
      </w:r>
    </w:p>
    <w:p w14:paraId="60CDCE18">
      <w:pPr>
        <w:spacing w:line="245" w:lineRule="auto"/>
        <w:rPr>
          <w:highlight w:val="none"/>
        </w:rPr>
      </w:pPr>
    </w:p>
    <w:p w14:paraId="3CAFA2CC">
      <w:pPr>
        <w:spacing w:line="245" w:lineRule="auto"/>
        <w:rPr>
          <w:highlight w:val="none"/>
        </w:rPr>
      </w:pPr>
    </w:p>
    <w:p w14:paraId="499334A4">
      <w:pPr>
        <w:spacing w:line="246" w:lineRule="auto"/>
        <w:rPr>
          <w:highlight w:val="none"/>
        </w:rPr>
      </w:pPr>
    </w:p>
    <w:p w14:paraId="00BE655A">
      <w:pPr>
        <w:keepNext w:val="0"/>
        <w:keepLines w:val="0"/>
        <w:pageBreakBefore w:val="0"/>
        <w:widowControl w:val="0"/>
        <w:kinsoku/>
        <w:wordWrap w:val="0"/>
        <w:overflowPunct/>
        <w:topLinePunct/>
        <w:autoSpaceDE/>
        <w:autoSpaceDN/>
        <w:bidi w:val="0"/>
        <w:adjustRightInd/>
        <w:snapToGrid/>
        <w:spacing w:line="360" w:lineRule="auto"/>
        <w:ind w:left="0" w:right="0" w:firstLine="462" w:firstLineChars="200"/>
        <w:textAlignment w:val="auto"/>
        <w:rPr>
          <w:rFonts w:hint="eastAsia" w:ascii="宋体" w:hAnsi="宋体" w:eastAsia="宋体" w:cs="宋体"/>
          <w:b/>
          <w:bCs/>
          <w:spacing w:val="-5"/>
          <w:sz w:val="24"/>
          <w:szCs w:val="24"/>
          <w:lang w:val="en-US" w:eastAsia="zh-CN"/>
        </w:rPr>
      </w:pPr>
      <w:r>
        <w:rPr>
          <w:rFonts w:hint="eastAsia" w:ascii="宋体" w:hAnsi="宋体" w:eastAsia="宋体" w:cs="宋体"/>
          <w:b/>
          <w:bCs/>
          <w:spacing w:val="-5"/>
          <w:sz w:val="24"/>
          <w:szCs w:val="24"/>
          <w:lang w:val="en-US" w:eastAsia="zh-CN"/>
        </w:rPr>
        <w:t>后附暗标编制指引，仅供参考。</w:t>
      </w:r>
    </w:p>
    <w:p w14:paraId="708AD30A">
      <w:pPr>
        <w:spacing w:line="246" w:lineRule="auto"/>
        <w:rPr>
          <w:highlight w:val="none"/>
        </w:rPr>
      </w:pPr>
    </w:p>
    <w:p w14:paraId="39D8B972">
      <w:pPr>
        <w:rPr>
          <w:rFonts w:hint="eastAsia" w:ascii="宋体" w:hAnsi="宋体" w:eastAsia="宋体" w:cs="宋体"/>
          <w:b/>
          <w:sz w:val="28"/>
          <w:szCs w:val="24"/>
          <w:highlight w:val="none"/>
        </w:rPr>
      </w:pPr>
    </w:p>
    <w:p w14:paraId="06996766">
      <w:pPr>
        <w:rPr>
          <w:rFonts w:hint="eastAsia" w:ascii="宋体" w:hAnsi="宋体" w:eastAsia="宋体" w:cs="宋体"/>
          <w:b/>
          <w:sz w:val="28"/>
          <w:szCs w:val="24"/>
          <w:highlight w:val="none"/>
        </w:rPr>
      </w:pPr>
    </w:p>
    <w:p w14:paraId="76611982">
      <w:pPr>
        <w:rPr>
          <w:rFonts w:hint="eastAsia" w:ascii="宋体" w:hAnsi="宋体" w:eastAsia="宋体" w:cs="宋体"/>
          <w:b/>
          <w:sz w:val="28"/>
          <w:szCs w:val="24"/>
          <w:highlight w:val="none"/>
        </w:rPr>
      </w:pPr>
    </w:p>
    <w:p w14:paraId="4B37CC17">
      <w:pPr>
        <w:rPr>
          <w:rFonts w:hint="eastAsia" w:ascii="宋体" w:hAnsi="宋体" w:eastAsia="宋体" w:cs="宋体"/>
          <w:b/>
          <w:sz w:val="28"/>
          <w:szCs w:val="24"/>
          <w:highlight w:val="none"/>
        </w:rPr>
      </w:pPr>
    </w:p>
    <w:p w14:paraId="4463FCF7">
      <w:pPr>
        <w:rPr>
          <w:rFonts w:hint="eastAsia" w:ascii="宋体" w:hAnsi="宋体" w:eastAsia="宋体" w:cs="宋体"/>
          <w:b/>
          <w:sz w:val="28"/>
          <w:szCs w:val="24"/>
          <w:highlight w:val="none"/>
        </w:rPr>
      </w:pPr>
    </w:p>
    <w:p w14:paraId="3109278B">
      <w:pPr>
        <w:rPr>
          <w:rFonts w:hint="eastAsia" w:ascii="宋体" w:hAnsi="宋体" w:eastAsia="宋体" w:cs="宋体"/>
          <w:b/>
          <w:sz w:val="28"/>
          <w:szCs w:val="24"/>
          <w:highlight w:val="none"/>
        </w:rPr>
      </w:pPr>
    </w:p>
    <w:p w14:paraId="54A05216">
      <w:pPr>
        <w:rPr>
          <w:rFonts w:hint="eastAsia" w:ascii="宋体" w:hAnsi="宋体" w:eastAsia="宋体" w:cs="宋体"/>
          <w:b/>
          <w:sz w:val="28"/>
          <w:szCs w:val="24"/>
          <w:highlight w:val="none"/>
        </w:rPr>
      </w:pPr>
    </w:p>
    <w:p w14:paraId="1B1AEAD2">
      <w:pPr>
        <w:rPr>
          <w:rFonts w:hint="eastAsia" w:ascii="宋体" w:hAnsi="宋体" w:eastAsia="宋体" w:cs="宋体"/>
          <w:b/>
          <w:sz w:val="28"/>
          <w:szCs w:val="24"/>
          <w:highlight w:val="none"/>
        </w:rPr>
      </w:pPr>
    </w:p>
    <w:p w14:paraId="260A405B">
      <w:pPr>
        <w:widowControl w:val="0"/>
        <w:spacing w:line="360" w:lineRule="auto"/>
        <w:ind w:firstLine="482"/>
        <w:jc w:val="both"/>
        <w:rPr>
          <w:rFonts w:hint="eastAsia" w:ascii="仿宋" w:hAnsi="仿宋" w:eastAsia="仿宋" w:cs="Times New Roman"/>
          <w:color w:val="auto"/>
          <w:kern w:val="2"/>
          <w:sz w:val="24"/>
          <w:szCs w:val="24"/>
          <w:highlight w:val="none"/>
          <w:lang w:val="en-US" w:eastAsia="zh-CN" w:bidi="ar-SA"/>
        </w:rPr>
      </w:pPr>
      <w:r>
        <w:rPr>
          <w:rFonts w:hint="eastAsia" w:ascii="仿宋" w:hAnsi="仿宋" w:eastAsia="仿宋" w:cs="Times New Roman"/>
          <w:color w:val="auto"/>
          <w:kern w:val="2"/>
          <w:sz w:val="24"/>
          <w:szCs w:val="24"/>
          <w:highlight w:val="none"/>
          <w:lang w:val="en-US" w:eastAsia="zh-CN" w:bidi="ar-SA"/>
        </w:rPr>
        <w:t>一、济源市公共资源交易中心投标文件暗标制作要求</w:t>
      </w:r>
    </w:p>
    <w:p w14:paraId="3E17E575">
      <w:pPr>
        <w:widowControl w:val="0"/>
        <w:spacing w:line="360" w:lineRule="auto"/>
        <w:ind w:firstLine="482"/>
        <w:jc w:val="both"/>
        <w:rPr>
          <w:rFonts w:hint="eastAsia" w:ascii="仿宋" w:hAnsi="仿宋" w:eastAsia="仿宋" w:cs="Times New Roman"/>
          <w:color w:val="auto"/>
          <w:kern w:val="2"/>
          <w:sz w:val="24"/>
          <w:szCs w:val="24"/>
          <w:highlight w:val="none"/>
          <w:lang w:val="en-US" w:eastAsia="zh-CN" w:bidi="ar-SA"/>
        </w:rPr>
      </w:pPr>
      <w:r>
        <w:rPr>
          <w:rFonts w:hint="eastAsia" w:ascii="仿宋" w:hAnsi="仿宋" w:eastAsia="仿宋" w:cs="Times New Roman"/>
          <w:color w:val="auto"/>
          <w:kern w:val="2"/>
          <w:sz w:val="24"/>
          <w:szCs w:val="24"/>
          <w:highlight w:val="none"/>
          <w:lang w:val="en-US" w:eastAsia="zh-CN" w:bidi="ar-SA"/>
        </w:rPr>
        <w:t>（1）签章要求：不得对暗标部分进行电子签章。</w:t>
      </w:r>
    </w:p>
    <w:p w14:paraId="10341CD4">
      <w:pPr>
        <w:widowControl w:val="0"/>
        <w:spacing w:line="360" w:lineRule="auto"/>
        <w:ind w:firstLine="482"/>
        <w:jc w:val="both"/>
        <w:rPr>
          <w:rFonts w:hint="eastAsia" w:ascii="仿宋" w:hAnsi="仿宋" w:eastAsia="仿宋" w:cs="Times New Roman"/>
          <w:color w:val="auto"/>
          <w:kern w:val="2"/>
          <w:sz w:val="24"/>
          <w:szCs w:val="24"/>
          <w:highlight w:val="none"/>
          <w:lang w:val="en-US" w:eastAsia="zh-CN" w:bidi="ar-SA"/>
        </w:rPr>
      </w:pPr>
      <w:r>
        <w:rPr>
          <w:rFonts w:hint="eastAsia" w:ascii="仿宋" w:hAnsi="仿宋" w:eastAsia="仿宋" w:cs="Times New Roman"/>
          <w:color w:val="auto"/>
          <w:kern w:val="2"/>
          <w:sz w:val="24"/>
          <w:szCs w:val="24"/>
          <w:highlight w:val="none"/>
          <w:lang w:val="en-US" w:eastAsia="zh-CN" w:bidi="ar-SA"/>
        </w:rPr>
        <w:t>（2）排版要求：全文采用A4大小，不允许插入空白页，页边距均为2.5厘米，不得出现页眉、页脚、页码，全文均为白底黑字</w:t>
      </w:r>
      <w:r>
        <w:rPr>
          <w:rFonts w:hint="eastAsia" w:ascii="仿宋" w:hAnsi="仿宋" w:eastAsia="仿宋" w:cs="Times New Roman"/>
          <w:b/>
          <w:bCs/>
          <w:color w:val="auto"/>
          <w:kern w:val="2"/>
          <w:sz w:val="24"/>
          <w:szCs w:val="24"/>
          <w:highlight w:val="none"/>
          <w:lang w:val="en-US" w:eastAsia="zh-CN" w:bidi="ar-SA"/>
        </w:rPr>
        <w:t>(字体颜色需为标准黑色)</w:t>
      </w:r>
      <w:r>
        <w:rPr>
          <w:rFonts w:hint="eastAsia" w:ascii="仿宋" w:hAnsi="仿宋" w:eastAsia="仿宋" w:cs="Times New Roman"/>
          <w:color w:val="auto"/>
          <w:kern w:val="2"/>
          <w:sz w:val="24"/>
          <w:szCs w:val="24"/>
          <w:highlight w:val="none"/>
          <w:lang w:val="en-US" w:eastAsia="zh-CN" w:bidi="ar-SA"/>
        </w:rPr>
        <w:t>，字体为宋体四号字，不允许倾斜和下划线，行间距采用固定值28磅，段前段后间距为0。</w:t>
      </w:r>
    </w:p>
    <w:p w14:paraId="2D72418F">
      <w:pPr>
        <w:widowControl w:val="0"/>
        <w:spacing w:line="360" w:lineRule="auto"/>
        <w:ind w:firstLine="482"/>
        <w:jc w:val="both"/>
        <w:rPr>
          <w:rFonts w:hint="eastAsia" w:ascii="仿宋" w:hAnsi="仿宋" w:eastAsia="仿宋" w:cs="Times New Roman"/>
          <w:color w:val="auto"/>
          <w:kern w:val="2"/>
          <w:sz w:val="24"/>
          <w:szCs w:val="24"/>
          <w:highlight w:val="none"/>
          <w:lang w:val="en-US" w:eastAsia="zh-CN" w:bidi="ar-SA"/>
        </w:rPr>
      </w:pPr>
      <w:r>
        <w:rPr>
          <w:rFonts w:hint="eastAsia" w:ascii="仿宋" w:hAnsi="仿宋" w:eastAsia="仿宋" w:cs="Times New Roman"/>
          <w:color w:val="auto"/>
          <w:kern w:val="2"/>
          <w:sz w:val="24"/>
          <w:szCs w:val="24"/>
          <w:highlight w:val="none"/>
          <w:lang w:val="en-US" w:eastAsia="zh-CN" w:bidi="ar-SA"/>
        </w:rPr>
        <w:t>（3）标题编号要求：标题序号最多设置7级，每一个暗标评审点的标题都要重新开始编号，编号格式为：</w:t>
      </w:r>
    </w:p>
    <w:p w14:paraId="0F429EE0">
      <w:pPr>
        <w:widowControl w:val="0"/>
        <w:spacing w:line="360" w:lineRule="auto"/>
        <w:ind w:firstLine="482"/>
        <w:jc w:val="both"/>
        <w:rPr>
          <w:rFonts w:hint="eastAsia" w:ascii="仿宋" w:hAnsi="仿宋" w:eastAsia="仿宋" w:cs="Times New Roman"/>
          <w:color w:val="auto"/>
          <w:kern w:val="2"/>
          <w:sz w:val="24"/>
          <w:szCs w:val="24"/>
          <w:highlight w:val="none"/>
          <w:lang w:val="en-US" w:eastAsia="zh-CN" w:bidi="ar-SA"/>
        </w:rPr>
      </w:pPr>
      <w:r>
        <w:rPr>
          <w:rFonts w:hint="eastAsia" w:ascii="仿宋" w:hAnsi="仿宋" w:eastAsia="仿宋" w:cs="Times New Roman"/>
          <w:color w:val="auto"/>
          <w:kern w:val="2"/>
          <w:sz w:val="24"/>
          <w:szCs w:val="24"/>
          <w:highlight w:val="none"/>
          <w:lang w:val="en-US" w:eastAsia="zh-CN" w:bidi="ar-SA"/>
        </w:rPr>
        <w:t>一级为“一、”、“二、”......，</w:t>
      </w:r>
    </w:p>
    <w:p w14:paraId="78E00778">
      <w:pPr>
        <w:widowControl w:val="0"/>
        <w:spacing w:line="360" w:lineRule="auto"/>
        <w:ind w:firstLine="482"/>
        <w:jc w:val="both"/>
        <w:rPr>
          <w:rFonts w:hint="eastAsia" w:ascii="仿宋" w:hAnsi="仿宋" w:eastAsia="仿宋" w:cs="Times New Roman"/>
          <w:color w:val="auto"/>
          <w:kern w:val="2"/>
          <w:sz w:val="24"/>
          <w:szCs w:val="24"/>
          <w:highlight w:val="none"/>
          <w:lang w:val="en-US" w:eastAsia="zh-CN" w:bidi="ar-SA"/>
        </w:rPr>
      </w:pPr>
      <w:r>
        <w:rPr>
          <w:rFonts w:hint="eastAsia" w:ascii="仿宋" w:hAnsi="仿宋" w:eastAsia="仿宋" w:cs="Times New Roman"/>
          <w:color w:val="auto"/>
          <w:kern w:val="2"/>
          <w:sz w:val="24"/>
          <w:szCs w:val="24"/>
          <w:highlight w:val="none"/>
          <w:lang w:val="en-US" w:eastAsia="zh-CN" w:bidi="ar-SA"/>
        </w:rPr>
        <w:t>二级为“（一）”、“（二）”......，</w:t>
      </w:r>
    </w:p>
    <w:p w14:paraId="16877389">
      <w:pPr>
        <w:widowControl w:val="0"/>
        <w:spacing w:line="360" w:lineRule="auto"/>
        <w:ind w:firstLine="482"/>
        <w:jc w:val="both"/>
        <w:rPr>
          <w:rFonts w:hint="eastAsia" w:ascii="仿宋" w:hAnsi="仿宋" w:eastAsia="仿宋" w:cs="Times New Roman"/>
          <w:color w:val="auto"/>
          <w:kern w:val="2"/>
          <w:sz w:val="24"/>
          <w:szCs w:val="24"/>
          <w:highlight w:val="none"/>
          <w:lang w:val="en-US" w:eastAsia="zh-CN" w:bidi="ar-SA"/>
        </w:rPr>
      </w:pPr>
      <w:r>
        <w:rPr>
          <w:rFonts w:hint="eastAsia" w:ascii="仿宋" w:hAnsi="仿宋" w:eastAsia="仿宋" w:cs="Times New Roman"/>
          <w:color w:val="auto"/>
          <w:kern w:val="2"/>
          <w:sz w:val="24"/>
          <w:szCs w:val="24"/>
          <w:highlight w:val="none"/>
          <w:lang w:val="en-US" w:eastAsia="zh-CN" w:bidi="ar-SA"/>
        </w:rPr>
        <w:t>三级为“1.”、“2.”......，</w:t>
      </w:r>
    </w:p>
    <w:p w14:paraId="419C5A62">
      <w:pPr>
        <w:widowControl w:val="0"/>
        <w:spacing w:line="360" w:lineRule="auto"/>
        <w:ind w:firstLine="482"/>
        <w:jc w:val="both"/>
        <w:rPr>
          <w:rFonts w:hint="eastAsia" w:ascii="仿宋" w:hAnsi="仿宋" w:eastAsia="仿宋" w:cs="Times New Roman"/>
          <w:color w:val="auto"/>
          <w:kern w:val="2"/>
          <w:sz w:val="24"/>
          <w:szCs w:val="24"/>
          <w:highlight w:val="none"/>
          <w:lang w:val="en-US" w:eastAsia="zh-CN" w:bidi="ar-SA"/>
        </w:rPr>
      </w:pPr>
      <w:r>
        <w:rPr>
          <w:rFonts w:hint="eastAsia" w:ascii="仿宋" w:hAnsi="仿宋" w:eastAsia="仿宋" w:cs="Times New Roman"/>
          <w:color w:val="auto"/>
          <w:kern w:val="2"/>
          <w:sz w:val="24"/>
          <w:szCs w:val="24"/>
          <w:highlight w:val="none"/>
          <w:lang w:val="en-US" w:eastAsia="zh-CN" w:bidi="ar-SA"/>
        </w:rPr>
        <w:t>四级为“（1）”、“（2）”......，</w:t>
      </w:r>
    </w:p>
    <w:p w14:paraId="5C8C2715">
      <w:pPr>
        <w:widowControl w:val="0"/>
        <w:spacing w:line="360" w:lineRule="auto"/>
        <w:ind w:firstLine="482"/>
        <w:jc w:val="both"/>
        <w:rPr>
          <w:rFonts w:hint="eastAsia" w:ascii="仿宋" w:hAnsi="仿宋" w:eastAsia="仿宋" w:cs="Times New Roman"/>
          <w:color w:val="auto"/>
          <w:kern w:val="2"/>
          <w:sz w:val="24"/>
          <w:szCs w:val="24"/>
          <w:highlight w:val="none"/>
          <w:lang w:val="en-US" w:eastAsia="zh-CN" w:bidi="ar-SA"/>
        </w:rPr>
      </w:pPr>
      <w:r>
        <w:rPr>
          <w:rFonts w:hint="eastAsia" w:ascii="仿宋" w:hAnsi="仿宋" w:eastAsia="仿宋" w:cs="Times New Roman"/>
          <w:color w:val="auto"/>
          <w:kern w:val="2"/>
          <w:sz w:val="24"/>
          <w:szCs w:val="24"/>
          <w:highlight w:val="none"/>
          <w:lang w:val="en-US" w:eastAsia="zh-CN" w:bidi="ar-SA"/>
        </w:rPr>
        <w:t>五级为“1）”、“2）”......，</w:t>
      </w:r>
    </w:p>
    <w:p w14:paraId="6276C942">
      <w:pPr>
        <w:widowControl w:val="0"/>
        <w:spacing w:line="360" w:lineRule="auto"/>
        <w:ind w:firstLine="482"/>
        <w:jc w:val="both"/>
        <w:rPr>
          <w:rFonts w:hint="eastAsia" w:ascii="仿宋" w:hAnsi="仿宋" w:eastAsia="仿宋" w:cs="Times New Roman"/>
          <w:color w:val="auto"/>
          <w:kern w:val="2"/>
          <w:sz w:val="24"/>
          <w:szCs w:val="24"/>
          <w:highlight w:val="none"/>
          <w:lang w:val="en-US" w:eastAsia="zh-CN" w:bidi="ar-SA"/>
        </w:rPr>
      </w:pPr>
      <w:r>
        <w:rPr>
          <w:rFonts w:hint="eastAsia" w:ascii="仿宋" w:hAnsi="仿宋" w:eastAsia="仿宋" w:cs="Times New Roman"/>
          <w:color w:val="auto"/>
          <w:kern w:val="2"/>
          <w:sz w:val="24"/>
          <w:szCs w:val="24"/>
          <w:highlight w:val="none"/>
          <w:lang w:val="en-US" w:eastAsia="zh-CN" w:bidi="ar-SA"/>
        </w:rPr>
        <w:t>六级为“a.”、“b.”......，</w:t>
      </w:r>
    </w:p>
    <w:p w14:paraId="6DF905B2">
      <w:pPr>
        <w:widowControl w:val="0"/>
        <w:spacing w:line="360" w:lineRule="auto"/>
        <w:ind w:firstLine="482"/>
        <w:jc w:val="both"/>
        <w:rPr>
          <w:rFonts w:hint="eastAsia" w:ascii="仿宋" w:hAnsi="仿宋" w:eastAsia="仿宋" w:cs="Times New Roman"/>
          <w:color w:val="auto"/>
          <w:kern w:val="2"/>
          <w:sz w:val="24"/>
          <w:szCs w:val="24"/>
          <w:highlight w:val="none"/>
          <w:lang w:val="en-US" w:eastAsia="zh-CN" w:bidi="ar-SA"/>
        </w:rPr>
      </w:pPr>
      <w:r>
        <w:rPr>
          <w:rFonts w:hint="eastAsia" w:ascii="仿宋" w:hAnsi="仿宋" w:eastAsia="仿宋" w:cs="Times New Roman"/>
          <w:color w:val="auto"/>
          <w:kern w:val="2"/>
          <w:sz w:val="24"/>
          <w:szCs w:val="24"/>
          <w:highlight w:val="none"/>
          <w:lang w:val="en-US" w:eastAsia="zh-CN" w:bidi="ar-SA"/>
        </w:rPr>
        <w:t>七级为“a）”、“b）”......。</w:t>
      </w:r>
    </w:p>
    <w:p w14:paraId="36642A0F">
      <w:pPr>
        <w:widowControl w:val="0"/>
        <w:spacing w:line="360" w:lineRule="auto"/>
        <w:ind w:firstLine="482"/>
        <w:jc w:val="both"/>
        <w:rPr>
          <w:rFonts w:hint="eastAsia" w:ascii="仿宋" w:hAnsi="仿宋" w:eastAsia="仿宋" w:cs="Times New Roman"/>
          <w:color w:val="auto"/>
          <w:kern w:val="2"/>
          <w:sz w:val="24"/>
          <w:szCs w:val="24"/>
          <w:highlight w:val="none"/>
          <w:lang w:val="en-US" w:eastAsia="zh-CN" w:bidi="ar-SA"/>
        </w:rPr>
      </w:pPr>
      <w:r>
        <w:rPr>
          <w:rFonts w:hint="eastAsia" w:ascii="仿宋" w:hAnsi="仿宋" w:eastAsia="仿宋" w:cs="Times New Roman"/>
          <w:color w:val="auto"/>
          <w:kern w:val="2"/>
          <w:sz w:val="24"/>
          <w:szCs w:val="24"/>
          <w:highlight w:val="none"/>
          <w:lang w:val="en-US" w:eastAsia="zh-CN" w:bidi="ar-SA"/>
        </w:rPr>
        <w:t>（4）图表要求：电脑绘制（不得手绘），白底黑字</w:t>
      </w:r>
      <w:r>
        <w:rPr>
          <w:rFonts w:hint="eastAsia" w:ascii="仿宋" w:hAnsi="仿宋" w:eastAsia="仿宋" w:cs="Times New Roman"/>
          <w:b/>
          <w:bCs/>
          <w:color w:val="auto"/>
          <w:kern w:val="2"/>
          <w:sz w:val="24"/>
          <w:szCs w:val="24"/>
          <w:highlight w:val="none"/>
          <w:lang w:val="en-US" w:eastAsia="zh-CN" w:bidi="ar-SA"/>
        </w:rPr>
        <w:t>(字体颜色需为标准黑色)</w:t>
      </w:r>
      <w:r>
        <w:rPr>
          <w:rFonts w:hint="eastAsia" w:ascii="仿宋" w:hAnsi="仿宋" w:eastAsia="仿宋" w:cs="Times New Roman"/>
          <w:color w:val="auto"/>
          <w:kern w:val="2"/>
          <w:sz w:val="24"/>
          <w:szCs w:val="24"/>
          <w:highlight w:val="none"/>
          <w:lang w:val="en-US" w:eastAsia="zh-CN" w:bidi="ar-SA"/>
        </w:rPr>
        <w:t>。宋体四号字，字体不允许倾斜和下划线；</w:t>
      </w:r>
    </w:p>
    <w:p w14:paraId="7913AE04">
      <w:pPr>
        <w:widowControl w:val="0"/>
        <w:spacing w:line="360" w:lineRule="auto"/>
        <w:ind w:firstLine="482"/>
        <w:jc w:val="both"/>
        <w:rPr>
          <w:rFonts w:hint="eastAsia" w:ascii="仿宋" w:hAnsi="仿宋" w:eastAsia="仿宋" w:cs="Times New Roman"/>
          <w:color w:val="auto"/>
          <w:kern w:val="2"/>
          <w:sz w:val="24"/>
          <w:szCs w:val="24"/>
          <w:highlight w:val="none"/>
          <w:lang w:val="en-US" w:eastAsia="zh-CN" w:bidi="ar-SA"/>
        </w:rPr>
      </w:pPr>
      <w:r>
        <w:rPr>
          <w:rFonts w:hint="eastAsia" w:ascii="仿宋" w:hAnsi="仿宋" w:eastAsia="仿宋" w:cs="Times New Roman"/>
          <w:color w:val="auto"/>
          <w:kern w:val="2"/>
          <w:sz w:val="24"/>
          <w:szCs w:val="24"/>
          <w:highlight w:val="none"/>
          <w:lang w:val="en-US" w:eastAsia="zh-CN" w:bidi="ar-SA"/>
        </w:rPr>
        <w:t>（5）内容不得出现能透露涉及投标人信息、投标产品信息、产品厂家信息及其他能够识别到投标人的任何信息的字符（图表）、徽标、业绩、荣誉或人员姓名以及其他相关可识别信息的特殊标记（空格、空行、明显的文字错误、序号不连续、字体字母符号异形、图表来源方式等非实质性内容除外）等。</w:t>
      </w:r>
    </w:p>
    <w:p w14:paraId="394AAD39">
      <w:pPr>
        <w:widowControl w:val="0"/>
        <w:spacing w:line="360" w:lineRule="auto"/>
        <w:ind w:firstLine="482"/>
        <w:jc w:val="both"/>
        <w:rPr>
          <w:rFonts w:hint="eastAsia" w:ascii="仿宋" w:hAnsi="仿宋" w:eastAsia="仿宋" w:cs="Times New Roman"/>
          <w:color w:val="auto"/>
          <w:kern w:val="2"/>
          <w:sz w:val="24"/>
          <w:szCs w:val="24"/>
          <w:highlight w:val="none"/>
          <w:lang w:val="en-US" w:eastAsia="zh-CN" w:bidi="ar-SA"/>
        </w:rPr>
      </w:pPr>
      <w:r>
        <w:rPr>
          <w:rFonts w:hint="eastAsia" w:ascii="仿宋" w:hAnsi="仿宋" w:eastAsia="仿宋" w:cs="Times New Roman"/>
          <w:color w:val="auto"/>
          <w:kern w:val="2"/>
          <w:sz w:val="24"/>
          <w:szCs w:val="24"/>
          <w:highlight w:val="none"/>
          <w:lang w:val="en-US" w:eastAsia="zh-CN" w:bidi="ar-SA"/>
        </w:rPr>
        <w:t>（6）正文不得插入图片。</w:t>
      </w:r>
    </w:p>
    <w:p w14:paraId="0BE3901B">
      <w:pPr>
        <w:widowControl w:val="0"/>
        <w:spacing w:line="360" w:lineRule="auto"/>
        <w:ind w:firstLine="482"/>
        <w:jc w:val="both"/>
        <w:rPr>
          <w:rFonts w:hint="eastAsia" w:ascii="仿宋" w:hAnsi="仿宋" w:eastAsia="仿宋" w:cs="Times New Roman"/>
          <w:color w:val="auto"/>
          <w:kern w:val="2"/>
          <w:sz w:val="24"/>
          <w:szCs w:val="24"/>
          <w:highlight w:val="none"/>
          <w:lang w:val="en-US" w:eastAsia="zh-CN" w:bidi="ar-SA"/>
        </w:rPr>
      </w:pPr>
      <w:r>
        <w:rPr>
          <w:rFonts w:hint="eastAsia" w:ascii="仿宋" w:hAnsi="仿宋" w:eastAsia="仿宋" w:cs="Times New Roman"/>
          <w:color w:val="auto"/>
          <w:kern w:val="2"/>
          <w:sz w:val="24"/>
          <w:szCs w:val="24"/>
          <w:highlight w:val="none"/>
          <w:lang w:val="en-US" w:eastAsia="zh-CN" w:bidi="ar-SA"/>
        </w:rPr>
        <w:t>二、暗标编制特别注意事项</w:t>
      </w:r>
    </w:p>
    <w:p w14:paraId="717F63E1">
      <w:pPr>
        <w:widowControl w:val="0"/>
        <w:spacing w:line="360" w:lineRule="auto"/>
        <w:ind w:firstLine="482"/>
        <w:jc w:val="both"/>
        <w:rPr>
          <w:rFonts w:hint="eastAsia" w:ascii="仿宋" w:hAnsi="仿宋" w:eastAsia="仿宋" w:cs="Times New Roman"/>
          <w:color w:val="auto"/>
          <w:kern w:val="2"/>
          <w:sz w:val="24"/>
          <w:szCs w:val="24"/>
          <w:highlight w:val="none"/>
          <w:lang w:val="en-US" w:eastAsia="zh-CN" w:bidi="ar-SA"/>
        </w:rPr>
      </w:pPr>
      <w:r>
        <w:rPr>
          <w:rFonts w:hint="eastAsia" w:ascii="仿宋" w:hAnsi="仿宋" w:eastAsia="仿宋" w:cs="Times New Roman"/>
          <w:color w:val="auto"/>
          <w:kern w:val="2"/>
          <w:sz w:val="24"/>
          <w:szCs w:val="24"/>
          <w:highlight w:val="none"/>
          <w:lang w:val="en-US" w:eastAsia="zh-CN" w:bidi="ar-SA"/>
        </w:rPr>
        <w:t>（1）黑字必须为标准黑色字体，颜色为RGB（0,0,0）。</w:t>
      </w:r>
    </w:p>
    <w:p w14:paraId="4B3A29B3">
      <w:pPr>
        <w:widowControl w:val="0"/>
        <w:spacing w:line="360" w:lineRule="auto"/>
        <w:ind w:firstLine="482"/>
        <w:jc w:val="both"/>
        <w:rPr>
          <w:rFonts w:hint="eastAsia" w:ascii="仿宋" w:hAnsi="仿宋" w:eastAsia="仿宋" w:cs="Times New Roman"/>
          <w:color w:val="auto"/>
          <w:kern w:val="2"/>
          <w:sz w:val="24"/>
          <w:szCs w:val="24"/>
          <w:highlight w:val="none"/>
          <w:lang w:val="en-US" w:eastAsia="zh-CN" w:bidi="ar-SA"/>
        </w:rPr>
      </w:pPr>
      <w:r>
        <w:rPr>
          <w:rFonts w:hint="eastAsia" w:ascii="仿宋" w:hAnsi="仿宋" w:eastAsia="仿宋" w:cs="Times New Roman"/>
          <w:color w:val="auto"/>
          <w:kern w:val="2"/>
          <w:sz w:val="24"/>
          <w:szCs w:val="24"/>
          <w:highlight w:val="none"/>
          <w:lang w:val="en-US" w:eastAsia="zh-CN" w:bidi="ar-SA"/>
        </w:rPr>
        <w:t>标准黑色字体设置方式：</w:t>
      </w:r>
    </w:p>
    <w:p w14:paraId="173CDC82">
      <w:pPr>
        <w:widowControl w:val="0"/>
        <w:spacing w:line="360" w:lineRule="auto"/>
        <w:ind w:firstLine="482"/>
        <w:jc w:val="both"/>
        <w:rPr>
          <w:rFonts w:hint="eastAsia" w:ascii="仿宋" w:hAnsi="仿宋" w:eastAsia="仿宋" w:cs="Times New Roman"/>
          <w:color w:val="auto"/>
          <w:kern w:val="2"/>
          <w:sz w:val="24"/>
          <w:szCs w:val="24"/>
          <w:highlight w:val="none"/>
          <w:lang w:val="en-US" w:eastAsia="zh-CN" w:bidi="ar-SA"/>
        </w:rPr>
      </w:pPr>
      <w:r>
        <w:rPr>
          <w:rFonts w:hint="eastAsia" w:ascii="仿宋" w:hAnsi="仿宋" w:eastAsia="仿宋" w:cs="Times New Roman"/>
          <w:color w:val="auto"/>
          <w:kern w:val="2"/>
          <w:sz w:val="24"/>
          <w:szCs w:val="24"/>
          <w:highlight w:val="none"/>
          <w:lang w:val="en-US" w:eastAsia="zh-CN" w:bidi="ar-SA"/>
        </w:rPr>
        <w:t>选中需要设置的文字，选中“A字体颜色”，点击其他字体颜色颜色，</w:t>
      </w:r>
    </w:p>
    <w:p w14:paraId="2F43BE33">
      <w:pPr>
        <w:keepNext w:val="0"/>
        <w:keepLines w:val="0"/>
        <w:pageBreakBefore w:val="0"/>
        <w:widowControl w:val="0"/>
        <w:kinsoku/>
        <w:wordWrap/>
        <w:overflowPunct/>
        <w:topLinePunct w:val="0"/>
        <w:autoSpaceDE/>
        <w:autoSpaceDN/>
        <w:bidi w:val="0"/>
        <w:adjustRightInd/>
        <w:snapToGrid/>
        <w:spacing w:after="0" w:line="240" w:lineRule="auto"/>
        <w:jc w:val="center"/>
        <w:textAlignment w:val="baseline"/>
        <w:rPr>
          <w:rFonts w:hint="eastAsia" w:ascii="仿宋" w:hAnsi="仿宋" w:eastAsia="仿宋" w:cs="仿宋"/>
          <w:snapToGrid w:val="0"/>
          <w:color w:val="auto"/>
          <w:kern w:val="0"/>
          <w:sz w:val="24"/>
          <w:szCs w:val="24"/>
          <w:highlight w:val="none"/>
          <w:lang w:val="en-US" w:eastAsia="zh-CN" w:bidi="ar-SA"/>
        </w:rPr>
      </w:pPr>
      <w:r>
        <w:drawing>
          <wp:inline distT="0" distB="0" distL="114300" distR="114300">
            <wp:extent cx="4640580" cy="3395980"/>
            <wp:effectExtent l="0" t="0" r="7620" b="1397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3"/>
                    <a:stretch>
                      <a:fillRect/>
                    </a:stretch>
                  </pic:blipFill>
                  <pic:spPr>
                    <a:xfrm>
                      <a:off x="0" y="0"/>
                      <a:ext cx="4640580" cy="3395980"/>
                    </a:xfrm>
                    <a:prstGeom prst="rect">
                      <a:avLst/>
                    </a:prstGeom>
                    <a:noFill/>
                    <a:ln w="9525">
                      <a:noFill/>
                    </a:ln>
                  </pic:spPr>
                </pic:pic>
              </a:graphicData>
            </a:graphic>
          </wp:inline>
        </w:drawing>
      </w:r>
    </w:p>
    <w:p w14:paraId="77A5F4D5">
      <w:pPr>
        <w:widowControl w:val="0"/>
        <w:spacing w:line="360" w:lineRule="auto"/>
        <w:ind w:firstLine="482"/>
        <w:jc w:val="both"/>
        <w:rPr>
          <w:rFonts w:hint="eastAsia" w:ascii="仿宋" w:hAnsi="仿宋" w:eastAsia="仿宋" w:cs="Times New Roman"/>
          <w:color w:val="auto"/>
          <w:kern w:val="2"/>
          <w:sz w:val="24"/>
          <w:szCs w:val="24"/>
          <w:highlight w:val="none"/>
          <w:lang w:val="en-US" w:eastAsia="zh-CN" w:bidi="ar-SA"/>
        </w:rPr>
      </w:pPr>
      <w:r>
        <w:rPr>
          <w:rFonts w:hint="eastAsia" w:ascii="仿宋" w:hAnsi="仿宋" w:eastAsia="仿宋" w:cs="Times New Roman"/>
          <w:color w:val="auto"/>
          <w:kern w:val="2"/>
          <w:sz w:val="24"/>
          <w:szCs w:val="24"/>
          <w:highlight w:val="none"/>
          <w:lang w:val="en-US" w:eastAsia="zh-CN" w:bidi="ar-SA"/>
        </w:rPr>
        <w:t>选择自定义颜色，红色：绿色：蓝色均设置0:0:0，颜色即为标准黑色RGB（0,0,0）。</w:t>
      </w:r>
    </w:p>
    <w:p w14:paraId="6BBF8C1E">
      <w:pPr>
        <w:widowControl w:val="0"/>
        <w:spacing w:line="360" w:lineRule="auto"/>
        <w:ind w:firstLine="482"/>
        <w:jc w:val="both"/>
        <w:rPr>
          <w:rFonts w:hint="eastAsia" w:ascii="仿宋" w:hAnsi="仿宋" w:eastAsia="仿宋" w:cs="Times New Roman"/>
          <w:color w:val="auto"/>
          <w:kern w:val="2"/>
          <w:sz w:val="24"/>
          <w:szCs w:val="24"/>
          <w:highlight w:val="none"/>
          <w:lang w:val="en-US" w:eastAsia="zh-CN" w:bidi="ar-SA"/>
        </w:rPr>
      </w:pPr>
      <w:r>
        <w:drawing>
          <wp:inline distT="0" distB="0" distL="114300" distR="114300">
            <wp:extent cx="4505960" cy="3638550"/>
            <wp:effectExtent l="0" t="0" r="8890" b="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14"/>
                    <a:stretch>
                      <a:fillRect/>
                    </a:stretch>
                  </pic:blipFill>
                  <pic:spPr>
                    <a:xfrm>
                      <a:off x="0" y="0"/>
                      <a:ext cx="4505960" cy="3638550"/>
                    </a:xfrm>
                    <a:prstGeom prst="rect">
                      <a:avLst/>
                    </a:prstGeom>
                    <a:noFill/>
                    <a:ln w="9525">
                      <a:noFill/>
                    </a:ln>
                  </pic:spPr>
                </pic:pic>
              </a:graphicData>
            </a:graphic>
          </wp:inline>
        </w:drawing>
      </w:r>
    </w:p>
    <w:p w14:paraId="4C7E3BB0">
      <w:pPr>
        <w:widowControl w:val="0"/>
        <w:spacing w:line="360" w:lineRule="auto"/>
        <w:ind w:firstLine="482"/>
        <w:jc w:val="both"/>
        <w:rPr>
          <w:rFonts w:hint="eastAsia" w:ascii="仿宋" w:hAnsi="仿宋" w:eastAsia="仿宋" w:cs="Times New Roman"/>
          <w:color w:val="auto"/>
          <w:kern w:val="2"/>
          <w:sz w:val="24"/>
          <w:szCs w:val="24"/>
          <w:highlight w:val="none"/>
          <w:lang w:val="en-US" w:eastAsia="zh-CN" w:bidi="ar-SA"/>
        </w:rPr>
      </w:pPr>
      <w:r>
        <w:rPr>
          <w:rFonts w:hint="eastAsia" w:ascii="仿宋" w:hAnsi="仿宋" w:eastAsia="仿宋" w:cs="Times New Roman"/>
          <w:color w:val="auto"/>
          <w:kern w:val="2"/>
          <w:sz w:val="24"/>
          <w:szCs w:val="24"/>
          <w:highlight w:val="none"/>
          <w:lang w:val="en-US" w:eastAsia="zh-CN" w:bidi="ar-SA"/>
        </w:rPr>
        <w:t>（2）标题编号制作方式：选择标题文字段，点击工具栏的标题，选择对应的标题级别。</w:t>
      </w:r>
    </w:p>
    <w:p w14:paraId="4D30702E">
      <w:pPr>
        <w:keepNext w:val="0"/>
        <w:keepLines w:val="0"/>
        <w:pageBreakBefore w:val="0"/>
        <w:widowControl w:val="0"/>
        <w:kinsoku/>
        <w:wordWrap/>
        <w:overflowPunct/>
        <w:topLinePunct w:val="0"/>
        <w:autoSpaceDE/>
        <w:autoSpaceDN/>
        <w:bidi w:val="0"/>
        <w:adjustRightInd/>
        <w:snapToGrid/>
        <w:spacing w:after="0" w:line="240" w:lineRule="auto"/>
        <w:jc w:val="center"/>
        <w:textAlignment w:val="baseline"/>
        <w:rPr>
          <w:rFonts w:hint="eastAsia" w:ascii="仿宋" w:hAnsi="仿宋" w:eastAsia="仿宋" w:cs="仿宋"/>
          <w:snapToGrid w:val="0"/>
          <w:color w:val="auto"/>
          <w:kern w:val="0"/>
          <w:sz w:val="24"/>
          <w:szCs w:val="24"/>
          <w:highlight w:val="none"/>
          <w:lang w:val="en-US" w:eastAsia="zh-CN" w:bidi="ar-SA"/>
        </w:rPr>
      </w:pPr>
      <w:r>
        <w:drawing>
          <wp:inline distT="0" distB="0" distL="114300" distR="114300">
            <wp:extent cx="5065395" cy="2924810"/>
            <wp:effectExtent l="0" t="0" r="1905" b="889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15"/>
                    <a:stretch>
                      <a:fillRect/>
                    </a:stretch>
                  </pic:blipFill>
                  <pic:spPr>
                    <a:xfrm>
                      <a:off x="0" y="0"/>
                      <a:ext cx="5065395" cy="2924810"/>
                    </a:xfrm>
                    <a:prstGeom prst="rect">
                      <a:avLst/>
                    </a:prstGeom>
                    <a:noFill/>
                    <a:ln w="9525">
                      <a:noFill/>
                    </a:ln>
                  </pic:spPr>
                </pic:pic>
              </a:graphicData>
            </a:graphic>
          </wp:inline>
        </w:drawing>
      </w:r>
    </w:p>
    <w:p w14:paraId="0D031F54">
      <w:pPr>
        <w:widowControl w:val="0"/>
        <w:spacing w:line="360" w:lineRule="auto"/>
        <w:ind w:firstLine="482"/>
        <w:jc w:val="both"/>
        <w:rPr>
          <w:rFonts w:hint="eastAsia" w:ascii="仿宋" w:hAnsi="仿宋" w:eastAsia="仿宋" w:cs="Times New Roman"/>
          <w:color w:val="auto"/>
          <w:kern w:val="2"/>
          <w:sz w:val="24"/>
          <w:szCs w:val="24"/>
          <w:highlight w:val="none"/>
          <w:lang w:val="en-US" w:eastAsia="zh-CN" w:bidi="ar-SA"/>
        </w:rPr>
      </w:pPr>
      <w:r>
        <w:rPr>
          <w:rFonts w:hint="eastAsia" w:ascii="仿宋" w:hAnsi="仿宋" w:eastAsia="仿宋" w:cs="Times New Roman"/>
          <w:color w:val="auto"/>
          <w:kern w:val="2"/>
          <w:sz w:val="24"/>
          <w:szCs w:val="24"/>
          <w:highlight w:val="none"/>
          <w:lang w:val="en-US" w:eastAsia="zh-CN" w:bidi="ar-SA"/>
        </w:rPr>
        <w:t>（3）暗标内容编制完成后，全选以后查看字体字号颜色设置，手动进行调整为宋体四号，确保全文的文字均为宋体四号。颜色参考第一条进行调整。</w:t>
      </w:r>
    </w:p>
    <w:p w14:paraId="1C87BC96">
      <w:pPr>
        <w:widowControl w:val="0"/>
        <w:spacing w:line="360" w:lineRule="auto"/>
        <w:ind w:firstLine="482"/>
        <w:jc w:val="both"/>
        <w:rPr>
          <w:rFonts w:hint="eastAsia" w:ascii="仿宋" w:hAnsi="仿宋" w:eastAsia="仿宋" w:cs="Times New Roman"/>
          <w:color w:val="auto"/>
          <w:kern w:val="2"/>
          <w:sz w:val="24"/>
          <w:szCs w:val="24"/>
          <w:highlight w:val="none"/>
          <w:lang w:val="en-US" w:eastAsia="zh-CN" w:bidi="ar-SA"/>
        </w:rPr>
      </w:pPr>
      <w:r>
        <w:drawing>
          <wp:inline distT="0" distB="0" distL="114300" distR="114300">
            <wp:extent cx="5219700" cy="2696845"/>
            <wp:effectExtent l="0" t="0" r="0" b="8255"/>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16"/>
                    <a:stretch>
                      <a:fillRect/>
                    </a:stretch>
                  </pic:blipFill>
                  <pic:spPr>
                    <a:xfrm>
                      <a:off x="0" y="0"/>
                      <a:ext cx="5219700" cy="2696845"/>
                    </a:xfrm>
                    <a:prstGeom prst="rect">
                      <a:avLst/>
                    </a:prstGeom>
                    <a:noFill/>
                    <a:ln w="9525">
                      <a:noFill/>
                    </a:ln>
                  </pic:spPr>
                </pic:pic>
              </a:graphicData>
            </a:graphic>
          </wp:inline>
        </w:drawing>
      </w:r>
    </w:p>
    <w:p w14:paraId="5EBF5035">
      <w:pPr>
        <w:widowControl w:val="0"/>
        <w:spacing w:line="360" w:lineRule="auto"/>
        <w:ind w:firstLine="482"/>
        <w:jc w:val="both"/>
        <w:rPr>
          <w:rFonts w:hint="eastAsia" w:ascii="仿宋" w:hAnsi="仿宋" w:eastAsia="仿宋" w:cs="Times New Roman"/>
          <w:color w:val="auto"/>
          <w:kern w:val="2"/>
          <w:sz w:val="24"/>
          <w:szCs w:val="24"/>
          <w:highlight w:val="none"/>
          <w:lang w:val="en-US" w:eastAsia="zh-CN" w:bidi="ar-SA"/>
        </w:rPr>
      </w:pPr>
      <w:r>
        <w:rPr>
          <w:rFonts w:hint="eastAsia" w:ascii="仿宋" w:hAnsi="仿宋" w:eastAsia="仿宋" w:cs="Times New Roman"/>
          <w:color w:val="auto"/>
          <w:kern w:val="2"/>
          <w:sz w:val="24"/>
          <w:szCs w:val="24"/>
          <w:highlight w:val="none"/>
          <w:lang w:val="en-US" w:eastAsia="zh-CN" w:bidi="ar-SA"/>
        </w:rPr>
        <w:t>（4）全选以后，右键选择段落，在弹出的页面间距部分选择：段前，段后0行，行距选择固定值，填写28磅。</w:t>
      </w:r>
    </w:p>
    <w:p w14:paraId="6C2807CC">
      <w:pPr>
        <w:widowControl w:val="0"/>
        <w:spacing w:line="360" w:lineRule="auto"/>
        <w:ind w:firstLine="482"/>
        <w:jc w:val="both"/>
        <w:rPr>
          <w:rFonts w:hint="eastAsia" w:ascii="仿宋" w:hAnsi="仿宋" w:eastAsia="仿宋" w:cs="Times New Roman"/>
          <w:color w:val="auto"/>
          <w:kern w:val="2"/>
          <w:sz w:val="24"/>
          <w:szCs w:val="24"/>
          <w:highlight w:val="none"/>
          <w:lang w:val="en-US" w:eastAsia="zh-CN" w:bidi="ar-SA"/>
        </w:rPr>
      </w:pPr>
      <w:r>
        <w:drawing>
          <wp:inline distT="0" distB="0" distL="114300" distR="114300">
            <wp:extent cx="4777105" cy="3305175"/>
            <wp:effectExtent l="0" t="0" r="4445" b="9525"/>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17"/>
                    <a:stretch>
                      <a:fillRect/>
                    </a:stretch>
                  </pic:blipFill>
                  <pic:spPr>
                    <a:xfrm>
                      <a:off x="0" y="0"/>
                      <a:ext cx="4777105" cy="3305175"/>
                    </a:xfrm>
                    <a:prstGeom prst="rect">
                      <a:avLst/>
                    </a:prstGeom>
                    <a:noFill/>
                    <a:ln w="9525">
                      <a:noFill/>
                    </a:ln>
                  </pic:spPr>
                </pic:pic>
              </a:graphicData>
            </a:graphic>
          </wp:inline>
        </w:drawing>
      </w:r>
    </w:p>
    <w:p w14:paraId="4176C40A">
      <w:pPr>
        <w:widowControl w:val="0"/>
        <w:spacing w:line="360" w:lineRule="auto"/>
        <w:ind w:firstLine="482"/>
        <w:jc w:val="both"/>
        <w:rPr>
          <w:rFonts w:hint="eastAsia" w:ascii="仿宋" w:hAnsi="仿宋" w:eastAsia="仿宋" w:cs="Times New Roman"/>
          <w:color w:val="auto"/>
          <w:kern w:val="2"/>
          <w:sz w:val="24"/>
          <w:szCs w:val="24"/>
          <w:highlight w:val="none"/>
          <w:lang w:val="en-US" w:eastAsia="zh-CN" w:bidi="ar-SA"/>
        </w:rPr>
      </w:pPr>
      <w:r>
        <w:drawing>
          <wp:inline distT="0" distB="0" distL="114300" distR="114300">
            <wp:extent cx="4534535" cy="4823460"/>
            <wp:effectExtent l="0" t="0" r="18415" b="15240"/>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18"/>
                    <a:stretch>
                      <a:fillRect/>
                    </a:stretch>
                  </pic:blipFill>
                  <pic:spPr>
                    <a:xfrm>
                      <a:off x="0" y="0"/>
                      <a:ext cx="4534535" cy="4823460"/>
                    </a:xfrm>
                    <a:prstGeom prst="rect">
                      <a:avLst/>
                    </a:prstGeom>
                    <a:noFill/>
                    <a:ln w="9525">
                      <a:noFill/>
                    </a:ln>
                  </pic:spPr>
                </pic:pic>
              </a:graphicData>
            </a:graphic>
          </wp:inline>
        </w:drawing>
      </w:r>
    </w:p>
    <w:p w14:paraId="5F2F062E">
      <w:pPr>
        <w:widowControl w:val="0"/>
        <w:spacing w:line="360" w:lineRule="auto"/>
        <w:ind w:firstLine="482"/>
        <w:jc w:val="both"/>
        <w:rPr>
          <w:rFonts w:hint="eastAsia" w:ascii="仿宋" w:hAnsi="仿宋" w:eastAsia="仿宋" w:cs="Times New Roman"/>
          <w:color w:val="auto"/>
          <w:kern w:val="2"/>
          <w:sz w:val="24"/>
          <w:szCs w:val="24"/>
          <w:highlight w:val="none"/>
          <w:lang w:val="en-US" w:eastAsia="zh-CN" w:bidi="ar-SA"/>
        </w:rPr>
      </w:pPr>
      <w:r>
        <w:rPr>
          <w:rFonts w:hint="eastAsia" w:ascii="仿宋" w:hAnsi="仿宋" w:eastAsia="仿宋" w:cs="Times New Roman"/>
          <w:color w:val="auto"/>
          <w:kern w:val="2"/>
          <w:sz w:val="24"/>
          <w:szCs w:val="24"/>
          <w:highlight w:val="none"/>
          <w:lang w:val="en-US" w:eastAsia="zh-CN" w:bidi="ar-SA"/>
        </w:rPr>
        <w:br w:type="page"/>
      </w:r>
      <w:r>
        <w:rPr>
          <w:rFonts w:hint="eastAsia" w:ascii="仿宋" w:hAnsi="仿宋" w:eastAsia="仿宋" w:cs="Times New Roman"/>
          <w:color w:val="auto"/>
          <w:kern w:val="2"/>
          <w:sz w:val="24"/>
          <w:szCs w:val="24"/>
          <w:highlight w:val="none"/>
          <w:lang w:val="en-US" w:eastAsia="zh-CN" w:bidi="ar-SA"/>
        </w:rPr>
        <w:t>（5）切换到页面标签，点击页边距按钮。选择自定义页边距，在页面设置页面，将边距均填写2.5cm，应用于整篇文档，之后确定即可。</w:t>
      </w:r>
    </w:p>
    <w:p w14:paraId="2CB09F13">
      <w:pPr>
        <w:widowControl w:val="0"/>
        <w:spacing w:line="360" w:lineRule="auto"/>
        <w:ind w:firstLine="482"/>
        <w:jc w:val="both"/>
        <w:rPr>
          <w:rFonts w:hint="eastAsia" w:ascii="仿宋" w:hAnsi="仿宋" w:eastAsia="仿宋" w:cs="Times New Roman"/>
          <w:color w:val="auto"/>
          <w:kern w:val="2"/>
          <w:sz w:val="24"/>
          <w:szCs w:val="24"/>
          <w:highlight w:val="none"/>
          <w:lang w:val="en-US" w:eastAsia="zh-CN" w:bidi="ar-SA"/>
        </w:rPr>
      </w:pPr>
      <w:r>
        <w:drawing>
          <wp:inline distT="0" distB="0" distL="114300" distR="114300">
            <wp:extent cx="4581525" cy="3717925"/>
            <wp:effectExtent l="0" t="0" r="9525" b="1587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9"/>
                    <a:stretch>
                      <a:fillRect/>
                    </a:stretch>
                  </pic:blipFill>
                  <pic:spPr>
                    <a:xfrm>
                      <a:off x="0" y="0"/>
                      <a:ext cx="4581525" cy="3717925"/>
                    </a:xfrm>
                    <a:prstGeom prst="rect">
                      <a:avLst/>
                    </a:prstGeom>
                    <a:noFill/>
                    <a:ln w="9525">
                      <a:noFill/>
                    </a:ln>
                  </pic:spPr>
                </pic:pic>
              </a:graphicData>
            </a:graphic>
          </wp:inline>
        </w:drawing>
      </w:r>
    </w:p>
    <w:p w14:paraId="74CB458F">
      <w:pPr>
        <w:widowControl w:val="0"/>
        <w:spacing w:line="360" w:lineRule="auto"/>
        <w:ind w:firstLine="482"/>
        <w:jc w:val="both"/>
        <w:rPr>
          <w:rFonts w:hint="eastAsia" w:ascii="仿宋" w:hAnsi="仿宋" w:eastAsia="仿宋" w:cs="Times New Roman"/>
          <w:color w:val="auto"/>
          <w:kern w:val="2"/>
          <w:sz w:val="24"/>
          <w:szCs w:val="24"/>
          <w:highlight w:val="none"/>
          <w:lang w:val="en-US" w:eastAsia="zh-CN" w:bidi="ar-SA"/>
        </w:rPr>
      </w:pPr>
      <w:r>
        <w:drawing>
          <wp:inline distT="0" distB="0" distL="114300" distR="114300">
            <wp:extent cx="4182110" cy="4409440"/>
            <wp:effectExtent l="0" t="0" r="8890" b="10160"/>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20"/>
                    <a:stretch>
                      <a:fillRect/>
                    </a:stretch>
                  </pic:blipFill>
                  <pic:spPr>
                    <a:xfrm>
                      <a:off x="0" y="0"/>
                      <a:ext cx="4182110" cy="4409440"/>
                    </a:xfrm>
                    <a:prstGeom prst="rect">
                      <a:avLst/>
                    </a:prstGeom>
                    <a:noFill/>
                    <a:ln w="9525">
                      <a:noFill/>
                    </a:ln>
                  </pic:spPr>
                </pic:pic>
              </a:graphicData>
            </a:graphic>
          </wp:inline>
        </w:drawing>
      </w:r>
    </w:p>
    <w:p w14:paraId="73E80701">
      <w:pPr>
        <w:widowControl w:val="0"/>
        <w:spacing w:line="360" w:lineRule="auto"/>
        <w:ind w:firstLine="482"/>
        <w:jc w:val="both"/>
        <w:rPr>
          <w:rFonts w:hint="eastAsia" w:ascii="仿宋" w:hAnsi="仿宋" w:eastAsia="仿宋" w:cs="Times New Roman"/>
          <w:color w:val="auto"/>
          <w:kern w:val="2"/>
          <w:sz w:val="24"/>
          <w:szCs w:val="24"/>
          <w:highlight w:val="none"/>
          <w:lang w:val="en-US" w:eastAsia="zh-CN" w:bidi="ar-SA"/>
        </w:rPr>
      </w:pPr>
      <w:r>
        <w:rPr>
          <w:rFonts w:hint="eastAsia" w:ascii="仿宋" w:hAnsi="仿宋" w:eastAsia="仿宋" w:cs="Times New Roman"/>
          <w:color w:val="auto"/>
          <w:kern w:val="2"/>
          <w:sz w:val="24"/>
          <w:szCs w:val="24"/>
          <w:highlight w:val="none"/>
          <w:lang w:val="en-US" w:eastAsia="zh-CN" w:bidi="ar-SA"/>
        </w:rPr>
        <w:t>（6）如果暗标制作过程需要复制其他文档，粘贴时使用右键，选择“选择性粘贴”，使用“无格式文本”。这样可以保持格式和已完成的内容一致。</w:t>
      </w:r>
    </w:p>
    <w:p w14:paraId="0961BEDE">
      <w:pPr>
        <w:widowControl w:val="0"/>
        <w:spacing w:line="360" w:lineRule="auto"/>
        <w:ind w:firstLine="482"/>
        <w:jc w:val="both"/>
        <w:rPr>
          <w:rFonts w:hint="eastAsia" w:ascii="仿宋" w:hAnsi="仿宋" w:eastAsia="仿宋" w:cs="Times New Roman"/>
          <w:color w:val="auto"/>
          <w:kern w:val="2"/>
          <w:sz w:val="24"/>
          <w:szCs w:val="24"/>
          <w:highlight w:val="none"/>
          <w:lang w:val="en-US" w:eastAsia="zh-CN" w:bidi="ar-SA"/>
        </w:rPr>
      </w:pPr>
      <w:r>
        <w:drawing>
          <wp:inline distT="0" distB="0" distL="114300" distR="114300">
            <wp:extent cx="3914775" cy="3905250"/>
            <wp:effectExtent l="0" t="0" r="9525" b="0"/>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pic:cNvPicPr>
                  </pic:nvPicPr>
                  <pic:blipFill>
                    <a:blip r:embed="rId21"/>
                    <a:stretch>
                      <a:fillRect/>
                    </a:stretch>
                  </pic:blipFill>
                  <pic:spPr>
                    <a:xfrm>
                      <a:off x="0" y="0"/>
                      <a:ext cx="3914775" cy="3905250"/>
                    </a:xfrm>
                    <a:prstGeom prst="rect">
                      <a:avLst/>
                    </a:prstGeom>
                    <a:noFill/>
                    <a:ln w="9525">
                      <a:noFill/>
                    </a:ln>
                  </pic:spPr>
                </pic:pic>
              </a:graphicData>
            </a:graphic>
          </wp:inline>
        </w:drawing>
      </w:r>
    </w:p>
    <w:p w14:paraId="1ED90223">
      <w:pPr>
        <w:widowControl w:val="0"/>
        <w:spacing w:line="360" w:lineRule="auto"/>
        <w:ind w:firstLine="482"/>
        <w:jc w:val="both"/>
        <w:rPr>
          <w:rFonts w:hint="eastAsia" w:ascii="仿宋" w:hAnsi="仿宋" w:eastAsia="仿宋" w:cs="Times New Roman"/>
          <w:color w:val="auto"/>
          <w:kern w:val="2"/>
          <w:sz w:val="24"/>
          <w:szCs w:val="24"/>
          <w:highlight w:val="none"/>
          <w:lang w:val="en-US" w:eastAsia="zh-CN" w:bidi="ar-SA"/>
        </w:rPr>
      </w:pPr>
      <w:r>
        <w:drawing>
          <wp:inline distT="0" distB="0" distL="114300" distR="114300">
            <wp:extent cx="5039360" cy="3641090"/>
            <wp:effectExtent l="0" t="0" r="8890" b="16510"/>
            <wp:docPr id="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0"/>
                    <pic:cNvPicPr>
                      <a:picLocks noChangeAspect="1"/>
                    </pic:cNvPicPr>
                  </pic:nvPicPr>
                  <pic:blipFill>
                    <a:blip r:embed="rId22"/>
                    <a:stretch>
                      <a:fillRect/>
                    </a:stretch>
                  </pic:blipFill>
                  <pic:spPr>
                    <a:xfrm>
                      <a:off x="0" y="0"/>
                      <a:ext cx="5039360" cy="3641090"/>
                    </a:xfrm>
                    <a:prstGeom prst="rect">
                      <a:avLst/>
                    </a:prstGeom>
                    <a:noFill/>
                    <a:ln w="9525">
                      <a:noFill/>
                    </a:ln>
                  </pic:spPr>
                </pic:pic>
              </a:graphicData>
            </a:graphic>
          </wp:inline>
        </w:drawing>
      </w:r>
    </w:p>
    <w:p w14:paraId="60A1E64C">
      <w:pPr>
        <w:widowControl w:val="0"/>
        <w:spacing w:line="360" w:lineRule="auto"/>
        <w:ind w:firstLine="482"/>
        <w:jc w:val="both"/>
        <w:rPr>
          <w:rFonts w:hint="eastAsia" w:ascii="仿宋" w:hAnsi="仿宋" w:eastAsia="仿宋" w:cs="Times New Roman"/>
          <w:color w:val="auto"/>
          <w:kern w:val="2"/>
          <w:sz w:val="24"/>
          <w:szCs w:val="24"/>
          <w:highlight w:val="none"/>
          <w:lang w:val="en-US" w:eastAsia="zh-CN" w:bidi="ar-SA"/>
        </w:rPr>
      </w:pPr>
      <w:r>
        <w:rPr>
          <w:rFonts w:hint="eastAsia" w:ascii="仿宋" w:hAnsi="仿宋" w:eastAsia="仿宋" w:cs="Times New Roman"/>
          <w:color w:val="auto"/>
          <w:kern w:val="2"/>
          <w:sz w:val="24"/>
          <w:szCs w:val="24"/>
          <w:highlight w:val="none"/>
          <w:lang w:val="en-US" w:eastAsia="zh-CN" w:bidi="ar-SA"/>
        </w:rPr>
        <w:t>（7）每个暗标评审点的文档都要重新开始标题编号。</w:t>
      </w:r>
    </w:p>
    <w:p w14:paraId="50E86A27">
      <w:pPr>
        <w:spacing w:line="360" w:lineRule="auto"/>
        <w:ind w:firstLine="480" w:firstLineChars="200"/>
        <w:rPr>
          <w:rFonts w:ascii="仿宋" w:hAnsi="仿宋" w:eastAsia="仿宋" w:cs="仿宋"/>
          <w:color w:val="000000"/>
          <w:sz w:val="36"/>
          <w:szCs w:val="36"/>
          <w:highlight w:val="none"/>
        </w:rPr>
      </w:pPr>
      <w:r>
        <w:rPr>
          <w:rFonts w:hint="eastAsia" w:ascii="仿宋" w:hAnsi="仿宋" w:eastAsia="仿宋" w:cs="Times New Roman"/>
          <w:color w:val="auto"/>
          <w:kern w:val="2"/>
          <w:sz w:val="24"/>
          <w:szCs w:val="24"/>
          <w:highlight w:val="none"/>
          <w:lang w:val="en-US" w:eastAsia="zh-CN" w:bidi="ar-SA"/>
        </w:rPr>
        <w:t>（8）不允许出现能透露投标人信息的内容。不能出现涉及投标供应商信息、投标产品信息、产品厂家信息及其他能够识别到投标供应商的任何信息（暗标部分信息处理：单位名称必须隐去，一律采用本公司、我公司来表示；暗标中如有相关证明材料、企业制度等，必须遮盖投标单位的名称、标志及相关可识别信息）。</w:t>
      </w:r>
    </w:p>
    <w:p w14:paraId="4B8C3787">
      <w:pPr>
        <w:rPr>
          <w:rFonts w:hint="eastAsia" w:ascii="宋体" w:hAnsi="宋体" w:eastAsia="宋体" w:cs="宋体"/>
          <w:b/>
          <w:sz w:val="28"/>
          <w:szCs w:val="24"/>
          <w:highlight w:val="none"/>
        </w:rPr>
      </w:pPr>
    </w:p>
    <w:sectPr>
      <w:footerReference r:id="rId10" w:type="default"/>
      <w:pgSz w:w="11906" w:h="16838"/>
      <w:pgMar w:top="1429" w:right="1497" w:bottom="1417" w:left="1480" w:header="0" w:footer="975"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0C3FC">
    <w:pPr>
      <w:spacing w:line="221" w:lineRule="auto"/>
      <w:ind w:right="103"/>
      <w:jc w:val="center"/>
      <w:rPr>
        <w:rFonts w:ascii="宋体" w:hAnsi="宋体" w:eastAsia="宋体" w:cs="宋体"/>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DD6862">
    <w:pPr>
      <w:spacing w:line="221" w:lineRule="auto"/>
      <w:ind w:right="103"/>
      <w:jc w:val="center"/>
      <w:rPr>
        <w:rFonts w:ascii="宋体" w:hAnsi="宋体" w:eastAsia="宋体" w:cs="宋体"/>
        <w:sz w:val="21"/>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40A22">
    <w:pPr>
      <w:spacing w:line="221" w:lineRule="auto"/>
      <w:ind w:right="103"/>
      <w:jc w:val="center"/>
      <w:rPr>
        <w:rFonts w:ascii="宋体" w:hAnsi="宋体" w:eastAsia="宋体" w:cs="宋体"/>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D4A416">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0D4A416">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F1DE0">
    <w:pPr>
      <w:spacing w:line="226" w:lineRule="exact"/>
      <w:ind w:left="438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0903F5">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53</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460903F5">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53</w:t>
                    </w:r>
                    <w:r>
                      <w:rPr>
                        <w:rFonts w:hint="eastAsia"/>
                        <w:sz w:val="18"/>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1758C">
    <w:pPr>
      <w:spacing w:line="226" w:lineRule="exact"/>
      <w:ind w:left="438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77D7FE">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72</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7C77D7FE">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72</w:t>
                    </w:r>
                    <w:r>
                      <w:rPr>
                        <w:rFonts w:hint="eastAsia"/>
                        <w:sz w:val="18"/>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5BDC3">
    <w:pPr>
      <w:spacing w:line="258" w:lineRule="exact"/>
      <w:ind w:left="4441"/>
      <w:rPr>
        <w:rFonts w:ascii="仿宋" w:hAnsi="仿宋" w:eastAsia="仿宋" w:cs="仿宋"/>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8462FF">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73</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4E8462FF">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73</w:t>
                    </w:r>
                    <w:r>
                      <w:rPr>
                        <w:rFonts w:hint="eastAsia"/>
                        <w:sz w:val="18"/>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3713E">
    <w:pPr>
      <w:spacing w:line="221" w:lineRule="auto"/>
      <w:ind w:right="103"/>
      <w:jc w:val="center"/>
      <w:rPr>
        <w:rFonts w:ascii="宋体" w:hAnsi="宋体" w:eastAsia="宋体" w:cs="宋体"/>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7D774F">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81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607D774F">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81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E1734">
    <w:pPr>
      <w:spacing w:before="11" w:line="89" w:lineRule="exact"/>
      <w:ind w:left="9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62862B"/>
    <w:multiLevelType w:val="singleLevel"/>
    <w:tmpl w:val="B962862B"/>
    <w:lvl w:ilvl="0" w:tentative="0">
      <w:start w:val="7"/>
      <w:numFmt w:val="decimal"/>
      <w:suff w:val="nothing"/>
      <w:lvlText w:val="（%1）"/>
      <w:lvlJc w:val="left"/>
    </w:lvl>
  </w:abstractNum>
  <w:abstractNum w:abstractNumId="1">
    <w:nsid w:val="0000000A"/>
    <w:multiLevelType w:val="multilevel"/>
    <w:tmpl w:val="0000000A"/>
    <w:lvl w:ilvl="0" w:tentative="0">
      <w:start w:val="1"/>
      <w:numFmt w:val="japaneseCounting"/>
      <w:lvlText w:val="第%1条"/>
      <w:lvlJc w:val="left"/>
      <w:pPr>
        <w:ind w:left="1080" w:hanging="1080"/>
      </w:pPr>
      <w:rPr>
        <w:rFonts w:hint="eastAsia"/>
        <w:b w:val="0"/>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48022A0"/>
    <w:multiLevelType w:val="singleLevel"/>
    <w:tmpl w:val="248022A0"/>
    <w:lvl w:ilvl="0" w:tentative="0">
      <w:start w:val="1"/>
      <w:numFmt w:val="decimal"/>
      <w:lvlText w:val="%1."/>
      <w:lvlJc w:val="left"/>
      <w:pPr>
        <w:tabs>
          <w:tab w:val="left" w:pos="312"/>
        </w:tabs>
      </w:pPr>
    </w:lvl>
  </w:abstractNum>
  <w:abstractNum w:abstractNumId="3">
    <w:nsid w:val="66A4F57C"/>
    <w:multiLevelType w:val="singleLevel"/>
    <w:tmpl w:val="66A4F57C"/>
    <w:lvl w:ilvl="0" w:tentative="0">
      <w:start w:val="4"/>
      <w:numFmt w:val="decimal"/>
      <w:suff w:val="nothing"/>
      <w:lvlText w:val="%1、"/>
      <w:lvlJc w:val="left"/>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210"/>
  <w:drawingGridVerticalSpacing w:val="999999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hhZmRhNjkyMzhkOTQ1Zjk2NjNlZWVhNTQxMWY3YTMifQ=="/>
  </w:docVars>
  <w:rsids>
    <w:rsidRoot w:val="008052DA"/>
    <w:rsid w:val="00000EE0"/>
    <w:rsid w:val="00004CCF"/>
    <w:rsid w:val="00021856"/>
    <w:rsid w:val="00024324"/>
    <w:rsid w:val="00034E59"/>
    <w:rsid w:val="00052150"/>
    <w:rsid w:val="000671B6"/>
    <w:rsid w:val="00094B30"/>
    <w:rsid w:val="000A4324"/>
    <w:rsid w:val="000C0CD1"/>
    <w:rsid w:val="000C3B92"/>
    <w:rsid w:val="000C5C3C"/>
    <w:rsid w:val="000E5A91"/>
    <w:rsid w:val="0010635A"/>
    <w:rsid w:val="001338F4"/>
    <w:rsid w:val="00134075"/>
    <w:rsid w:val="001408D9"/>
    <w:rsid w:val="00162DFC"/>
    <w:rsid w:val="00195CBC"/>
    <w:rsid w:val="001C4D70"/>
    <w:rsid w:val="001C5F8F"/>
    <w:rsid w:val="0024493D"/>
    <w:rsid w:val="0024500C"/>
    <w:rsid w:val="00251A05"/>
    <w:rsid w:val="00261E2D"/>
    <w:rsid w:val="00262FFD"/>
    <w:rsid w:val="00263B5E"/>
    <w:rsid w:val="0026417F"/>
    <w:rsid w:val="00282977"/>
    <w:rsid w:val="002905DD"/>
    <w:rsid w:val="00296FBF"/>
    <w:rsid w:val="002C1C70"/>
    <w:rsid w:val="00326EAF"/>
    <w:rsid w:val="00327857"/>
    <w:rsid w:val="00330321"/>
    <w:rsid w:val="00347772"/>
    <w:rsid w:val="00356637"/>
    <w:rsid w:val="0036074C"/>
    <w:rsid w:val="003761AA"/>
    <w:rsid w:val="00381315"/>
    <w:rsid w:val="003928C0"/>
    <w:rsid w:val="003A67C0"/>
    <w:rsid w:val="003C6C59"/>
    <w:rsid w:val="00447417"/>
    <w:rsid w:val="00457727"/>
    <w:rsid w:val="00463478"/>
    <w:rsid w:val="0049199D"/>
    <w:rsid w:val="004B4A52"/>
    <w:rsid w:val="004D0CD4"/>
    <w:rsid w:val="004D19F8"/>
    <w:rsid w:val="00532978"/>
    <w:rsid w:val="00536859"/>
    <w:rsid w:val="00544619"/>
    <w:rsid w:val="005774F7"/>
    <w:rsid w:val="00595511"/>
    <w:rsid w:val="00597AE3"/>
    <w:rsid w:val="005A3B44"/>
    <w:rsid w:val="005A5A24"/>
    <w:rsid w:val="005B5964"/>
    <w:rsid w:val="005B753C"/>
    <w:rsid w:val="005C1722"/>
    <w:rsid w:val="005E0F98"/>
    <w:rsid w:val="005F33DF"/>
    <w:rsid w:val="00612D4C"/>
    <w:rsid w:val="00635712"/>
    <w:rsid w:val="006440C4"/>
    <w:rsid w:val="00644770"/>
    <w:rsid w:val="00647FDD"/>
    <w:rsid w:val="00657E22"/>
    <w:rsid w:val="00666224"/>
    <w:rsid w:val="0068297D"/>
    <w:rsid w:val="006A7DC5"/>
    <w:rsid w:val="006C1C9B"/>
    <w:rsid w:val="006E4850"/>
    <w:rsid w:val="006E52CC"/>
    <w:rsid w:val="00705B96"/>
    <w:rsid w:val="007144CA"/>
    <w:rsid w:val="00737FF3"/>
    <w:rsid w:val="0075594C"/>
    <w:rsid w:val="007659DE"/>
    <w:rsid w:val="0076765A"/>
    <w:rsid w:val="00782DFF"/>
    <w:rsid w:val="00794109"/>
    <w:rsid w:val="007F18AD"/>
    <w:rsid w:val="008052DA"/>
    <w:rsid w:val="008425CF"/>
    <w:rsid w:val="00845A8A"/>
    <w:rsid w:val="00875B20"/>
    <w:rsid w:val="00875F09"/>
    <w:rsid w:val="008814E3"/>
    <w:rsid w:val="00887C3E"/>
    <w:rsid w:val="00890A2A"/>
    <w:rsid w:val="008C3862"/>
    <w:rsid w:val="008E42E8"/>
    <w:rsid w:val="00951F4A"/>
    <w:rsid w:val="00952603"/>
    <w:rsid w:val="00961535"/>
    <w:rsid w:val="00966D50"/>
    <w:rsid w:val="00971A0A"/>
    <w:rsid w:val="009935F7"/>
    <w:rsid w:val="009A31C3"/>
    <w:rsid w:val="009D53BA"/>
    <w:rsid w:val="009E6008"/>
    <w:rsid w:val="00A05FF7"/>
    <w:rsid w:val="00A07354"/>
    <w:rsid w:val="00A56485"/>
    <w:rsid w:val="00A8755E"/>
    <w:rsid w:val="00AA059C"/>
    <w:rsid w:val="00AB1A51"/>
    <w:rsid w:val="00AC46E3"/>
    <w:rsid w:val="00AD3C3F"/>
    <w:rsid w:val="00AD4828"/>
    <w:rsid w:val="00AD7E54"/>
    <w:rsid w:val="00AE46EB"/>
    <w:rsid w:val="00AE73A7"/>
    <w:rsid w:val="00AF1170"/>
    <w:rsid w:val="00AF7035"/>
    <w:rsid w:val="00B1695F"/>
    <w:rsid w:val="00B22AD3"/>
    <w:rsid w:val="00B33D6F"/>
    <w:rsid w:val="00B44F60"/>
    <w:rsid w:val="00B61622"/>
    <w:rsid w:val="00B62DED"/>
    <w:rsid w:val="00B645B5"/>
    <w:rsid w:val="00B803FD"/>
    <w:rsid w:val="00BD1B69"/>
    <w:rsid w:val="00BE0754"/>
    <w:rsid w:val="00BE2CE5"/>
    <w:rsid w:val="00BF675E"/>
    <w:rsid w:val="00C42101"/>
    <w:rsid w:val="00C4229A"/>
    <w:rsid w:val="00C507FB"/>
    <w:rsid w:val="00C569C9"/>
    <w:rsid w:val="00C86C34"/>
    <w:rsid w:val="00C92818"/>
    <w:rsid w:val="00C93BE1"/>
    <w:rsid w:val="00C97F21"/>
    <w:rsid w:val="00CE3D17"/>
    <w:rsid w:val="00CE4EDC"/>
    <w:rsid w:val="00CF76E5"/>
    <w:rsid w:val="00D21CA4"/>
    <w:rsid w:val="00D258C7"/>
    <w:rsid w:val="00D40FC9"/>
    <w:rsid w:val="00D433B7"/>
    <w:rsid w:val="00D4382C"/>
    <w:rsid w:val="00D56715"/>
    <w:rsid w:val="00D72DFA"/>
    <w:rsid w:val="00D80622"/>
    <w:rsid w:val="00D80833"/>
    <w:rsid w:val="00D81989"/>
    <w:rsid w:val="00D86BC5"/>
    <w:rsid w:val="00D96EB3"/>
    <w:rsid w:val="00DB0766"/>
    <w:rsid w:val="00DB32EA"/>
    <w:rsid w:val="00DC329C"/>
    <w:rsid w:val="00DF23F1"/>
    <w:rsid w:val="00E241FA"/>
    <w:rsid w:val="00E37488"/>
    <w:rsid w:val="00E41191"/>
    <w:rsid w:val="00E62908"/>
    <w:rsid w:val="00E63A71"/>
    <w:rsid w:val="00E80803"/>
    <w:rsid w:val="00EB256D"/>
    <w:rsid w:val="00EC2239"/>
    <w:rsid w:val="00EC266B"/>
    <w:rsid w:val="00ED5EC4"/>
    <w:rsid w:val="00EE158E"/>
    <w:rsid w:val="00EE5D1E"/>
    <w:rsid w:val="00EF5E1A"/>
    <w:rsid w:val="00EF60A7"/>
    <w:rsid w:val="00EF7ACE"/>
    <w:rsid w:val="00F01868"/>
    <w:rsid w:val="00F0775A"/>
    <w:rsid w:val="00F241F9"/>
    <w:rsid w:val="00F409D0"/>
    <w:rsid w:val="00F94294"/>
    <w:rsid w:val="00FA5797"/>
    <w:rsid w:val="00FA71FD"/>
    <w:rsid w:val="00FD5B1B"/>
    <w:rsid w:val="01217FDD"/>
    <w:rsid w:val="012C5662"/>
    <w:rsid w:val="016276E5"/>
    <w:rsid w:val="017419C2"/>
    <w:rsid w:val="01975F2A"/>
    <w:rsid w:val="01A9632F"/>
    <w:rsid w:val="01B47A59"/>
    <w:rsid w:val="01E023C1"/>
    <w:rsid w:val="01F51A1A"/>
    <w:rsid w:val="020F624C"/>
    <w:rsid w:val="022E480A"/>
    <w:rsid w:val="02562772"/>
    <w:rsid w:val="02685612"/>
    <w:rsid w:val="02686FFD"/>
    <w:rsid w:val="027F7DD0"/>
    <w:rsid w:val="02925E5C"/>
    <w:rsid w:val="02B03611"/>
    <w:rsid w:val="02C30465"/>
    <w:rsid w:val="02E80AFB"/>
    <w:rsid w:val="02F87E7C"/>
    <w:rsid w:val="030E1028"/>
    <w:rsid w:val="037405E1"/>
    <w:rsid w:val="037C247B"/>
    <w:rsid w:val="038A1114"/>
    <w:rsid w:val="03A6522C"/>
    <w:rsid w:val="042E4427"/>
    <w:rsid w:val="04566216"/>
    <w:rsid w:val="04887684"/>
    <w:rsid w:val="04A16B61"/>
    <w:rsid w:val="04B15F5F"/>
    <w:rsid w:val="04B92804"/>
    <w:rsid w:val="04CA478B"/>
    <w:rsid w:val="04FC3218"/>
    <w:rsid w:val="0515526B"/>
    <w:rsid w:val="056B42F1"/>
    <w:rsid w:val="059F3847"/>
    <w:rsid w:val="06075A68"/>
    <w:rsid w:val="06431E80"/>
    <w:rsid w:val="07027CB2"/>
    <w:rsid w:val="07043A2A"/>
    <w:rsid w:val="07284B01"/>
    <w:rsid w:val="07967E2B"/>
    <w:rsid w:val="07A52B18"/>
    <w:rsid w:val="07D43510"/>
    <w:rsid w:val="07FE1D5B"/>
    <w:rsid w:val="08250DD9"/>
    <w:rsid w:val="084A790E"/>
    <w:rsid w:val="08DA0707"/>
    <w:rsid w:val="09772BD9"/>
    <w:rsid w:val="099D7DC6"/>
    <w:rsid w:val="09B14868"/>
    <w:rsid w:val="09BF4A64"/>
    <w:rsid w:val="09BF4B3E"/>
    <w:rsid w:val="09DB09D7"/>
    <w:rsid w:val="0A1758FE"/>
    <w:rsid w:val="0A572648"/>
    <w:rsid w:val="0AA56D97"/>
    <w:rsid w:val="0AC9296F"/>
    <w:rsid w:val="0AEE2B28"/>
    <w:rsid w:val="0B1835C3"/>
    <w:rsid w:val="0B20058A"/>
    <w:rsid w:val="0B664CB3"/>
    <w:rsid w:val="0BC41D16"/>
    <w:rsid w:val="0CC73859"/>
    <w:rsid w:val="0D116E08"/>
    <w:rsid w:val="0D2C0072"/>
    <w:rsid w:val="0D464E96"/>
    <w:rsid w:val="0DC76B0F"/>
    <w:rsid w:val="0E4F0D0A"/>
    <w:rsid w:val="0E6C47D4"/>
    <w:rsid w:val="0E8D512E"/>
    <w:rsid w:val="0EB86F32"/>
    <w:rsid w:val="0ED16FB5"/>
    <w:rsid w:val="0F0E7103"/>
    <w:rsid w:val="0F3119EA"/>
    <w:rsid w:val="0F786D63"/>
    <w:rsid w:val="0FF54428"/>
    <w:rsid w:val="106A26BB"/>
    <w:rsid w:val="107D1566"/>
    <w:rsid w:val="10A16D0F"/>
    <w:rsid w:val="10C85555"/>
    <w:rsid w:val="10D77675"/>
    <w:rsid w:val="10F37D66"/>
    <w:rsid w:val="118C2F9A"/>
    <w:rsid w:val="11931406"/>
    <w:rsid w:val="11A256FB"/>
    <w:rsid w:val="121E7D1D"/>
    <w:rsid w:val="129031AF"/>
    <w:rsid w:val="12A07123"/>
    <w:rsid w:val="12D05B1C"/>
    <w:rsid w:val="1305292E"/>
    <w:rsid w:val="134753CA"/>
    <w:rsid w:val="13987DB4"/>
    <w:rsid w:val="13B848FF"/>
    <w:rsid w:val="14074B59"/>
    <w:rsid w:val="144B417B"/>
    <w:rsid w:val="14A83462"/>
    <w:rsid w:val="14E13AF8"/>
    <w:rsid w:val="14F7575C"/>
    <w:rsid w:val="15645374"/>
    <w:rsid w:val="157C76A3"/>
    <w:rsid w:val="15CB6EB5"/>
    <w:rsid w:val="15E004A9"/>
    <w:rsid w:val="16B26B5C"/>
    <w:rsid w:val="16BC60CF"/>
    <w:rsid w:val="179453F1"/>
    <w:rsid w:val="17A513B0"/>
    <w:rsid w:val="18062836"/>
    <w:rsid w:val="18151027"/>
    <w:rsid w:val="185E4830"/>
    <w:rsid w:val="186F5143"/>
    <w:rsid w:val="187A66B9"/>
    <w:rsid w:val="18AD3F21"/>
    <w:rsid w:val="19E07E4B"/>
    <w:rsid w:val="1A0C3C44"/>
    <w:rsid w:val="1ACF5D8B"/>
    <w:rsid w:val="1AE767B2"/>
    <w:rsid w:val="1AF56384"/>
    <w:rsid w:val="1AFB2C57"/>
    <w:rsid w:val="1B250D18"/>
    <w:rsid w:val="1B251220"/>
    <w:rsid w:val="1B2A217A"/>
    <w:rsid w:val="1B5A1F26"/>
    <w:rsid w:val="1BBE5263"/>
    <w:rsid w:val="1C790312"/>
    <w:rsid w:val="1C7B464A"/>
    <w:rsid w:val="1CA70C88"/>
    <w:rsid w:val="1CB91788"/>
    <w:rsid w:val="1CC57360"/>
    <w:rsid w:val="1D5C1DB3"/>
    <w:rsid w:val="1DC53ABB"/>
    <w:rsid w:val="1DCA1CE0"/>
    <w:rsid w:val="1E167451"/>
    <w:rsid w:val="1E1B7B7F"/>
    <w:rsid w:val="1E7C4292"/>
    <w:rsid w:val="1E9B2A6E"/>
    <w:rsid w:val="1F390266"/>
    <w:rsid w:val="1F515F52"/>
    <w:rsid w:val="1F8276F1"/>
    <w:rsid w:val="204236FB"/>
    <w:rsid w:val="20763368"/>
    <w:rsid w:val="213A1B76"/>
    <w:rsid w:val="21735B08"/>
    <w:rsid w:val="21AC3D9B"/>
    <w:rsid w:val="21B63FB5"/>
    <w:rsid w:val="222C38D6"/>
    <w:rsid w:val="225218D9"/>
    <w:rsid w:val="225F3D05"/>
    <w:rsid w:val="22720F54"/>
    <w:rsid w:val="22A74638"/>
    <w:rsid w:val="231934C8"/>
    <w:rsid w:val="235464E0"/>
    <w:rsid w:val="236E0D6B"/>
    <w:rsid w:val="23772DBA"/>
    <w:rsid w:val="23A36FE6"/>
    <w:rsid w:val="23D66011"/>
    <w:rsid w:val="23DA115D"/>
    <w:rsid w:val="23DC492F"/>
    <w:rsid w:val="23F25DF2"/>
    <w:rsid w:val="24064139"/>
    <w:rsid w:val="241C15E3"/>
    <w:rsid w:val="24215DED"/>
    <w:rsid w:val="24454FD2"/>
    <w:rsid w:val="245E4490"/>
    <w:rsid w:val="24977424"/>
    <w:rsid w:val="249A528B"/>
    <w:rsid w:val="24BA4089"/>
    <w:rsid w:val="2547509F"/>
    <w:rsid w:val="25750BE1"/>
    <w:rsid w:val="259326F1"/>
    <w:rsid w:val="25B641C0"/>
    <w:rsid w:val="25CC7E40"/>
    <w:rsid w:val="25ED4551"/>
    <w:rsid w:val="26112E45"/>
    <w:rsid w:val="262064DC"/>
    <w:rsid w:val="2632693A"/>
    <w:rsid w:val="266D0367"/>
    <w:rsid w:val="26B34A37"/>
    <w:rsid w:val="27631656"/>
    <w:rsid w:val="27716A62"/>
    <w:rsid w:val="27EB2370"/>
    <w:rsid w:val="28660E58"/>
    <w:rsid w:val="286B2C82"/>
    <w:rsid w:val="28F9286B"/>
    <w:rsid w:val="29253226"/>
    <w:rsid w:val="298C1CD9"/>
    <w:rsid w:val="29DF4719"/>
    <w:rsid w:val="2A0D0CC4"/>
    <w:rsid w:val="2A64640A"/>
    <w:rsid w:val="2A72684E"/>
    <w:rsid w:val="2AA95DF0"/>
    <w:rsid w:val="2AAC0CE0"/>
    <w:rsid w:val="2AB372AD"/>
    <w:rsid w:val="2AF40125"/>
    <w:rsid w:val="2AFE7800"/>
    <w:rsid w:val="2B08453A"/>
    <w:rsid w:val="2B3854C0"/>
    <w:rsid w:val="2B4B3942"/>
    <w:rsid w:val="2B506BA2"/>
    <w:rsid w:val="2B536BAA"/>
    <w:rsid w:val="2C092AC6"/>
    <w:rsid w:val="2C551A9C"/>
    <w:rsid w:val="2C99046F"/>
    <w:rsid w:val="2CA546E7"/>
    <w:rsid w:val="2CE42E30"/>
    <w:rsid w:val="2D7C297C"/>
    <w:rsid w:val="2DBB4593"/>
    <w:rsid w:val="2E3E63AB"/>
    <w:rsid w:val="2E427B73"/>
    <w:rsid w:val="2EEF4706"/>
    <w:rsid w:val="2EF9007F"/>
    <w:rsid w:val="2F0B228F"/>
    <w:rsid w:val="2F516105"/>
    <w:rsid w:val="2FBD63E7"/>
    <w:rsid w:val="2FD60273"/>
    <w:rsid w:val="305A1716"/>
    <w:rsid w:val="30994ADF"/>
    <w:rsid w:val="30A1039C"/>
    <w:rsid w:val="30C028CF"/>
    <w:rsid w:val="30F67E62"/>
    <w:rsid w:val="3135465C"/>
    <w:rsid w:val="316D2048"/>
    <w:rsid w:val="319224B7"/>
    <w:rsid w:val="31AA504A"/>
    <w:rsid w:val="321351CD"/>
    <w:rsid w:val="32636777"/>
    <w:rsid w:val="32852B12"/>
    <w:rsid w:val="32B5103B"/>
    <w:rsid w:val="32F27CD6"/>
    <w:rsid w:val="338C46B5"/>
    <w:rsid w:val="33B25FFC"/>
    <w:rsid w:val="33F73CD2"/>
    <w:rsid w:val="34480B4A"/>
    <w:rsid w:val="34C51DA1"/>
    <w:rsid w:val="34EE068F"/>
    <w:rsid w:val="352654C4"/>
    <w:rsid w:val="352A5349"/>
    <w:rsid w:val="355A0096"/>
    <w:rsid w:val="35BF3271"/>
    <w:rsid w:val="35DC59EE"/>
    <w:rsid w:val="35DF0325"/>
    <w:rsid w:val="36107F3B"/>
    <w:rsid w:val="36146F36"/>
    <w:rsid w:val="362664E5"/>
    <w:rsid w:val="3670767F"/>
    <w:rsid w:val="36716136"/>
    <w:rsid w:val="36AB1EB1"/>
    <w:rsid w:val="36AE1AEF"/>
    <w:rsid w:val="36BB01F1"/>
    <w:rsid w:val="36DF2AC7"/>
    <w:rsid w:val="374E0226"/>
    <w:rsid w:val="37515F68"/>
    <w:rsid w:val="37695F16"/>
    <w:rsid w:val="378C63BD"/>
    <w:rsid w:val="379E7933"/>
    <w:rsid w:val="37B17BB1"/>
    <w:rsid w:val="37B24F89"/>
    <w:rsid w:val="37BF39C1"/>
    <w:rsid w:val="37EE0F67"/>
    <w:rsid w:val="3807783E"/>
    <w:rsid w:val="380D2B03"/>
    <w:rsid w:val="3813028F"/>
    <w:rsid w:val="383E5CE7"/>
    <w:rsid w:val="38481FDE"/>
    <w:rsid w:val="385C6485"/>
    <w:rsid w:val="388F3FE9"/>
    <w:rsid w:val="394A196E"/>
    <w:rsid w:val="39A51945"/>
    <w:rsid w:val="39CD709B"/>
    <w:rsid w:val="39E203C4"/>
    <w:rsid w:val="39FD5F33"/>
    <w:rsid w:val="3A16675B"/>
    <w:rsid w:val="3A3C2EFF"/>
    <w:rsid w:val="3A452CF4"/>
    <w:rsid w:val="3ACA3C80"/>
    <w:rsid w:val="3AF712CC"/>
    <w:rsid w:val="3B683CCA"/>
    <w:rsid w:val="3B7031FB"/>
    <w:rsid w:val="3B710987"/>
    <w:rsid w:val="3B7F12F6"/>
    <w:rsid w:val="3B8979FF"/>
    <w:rsid w:val="3BD258C9"/>
    <w:rsid w:val="3BF96496"/>
    <w:rsid w:val="3C2A1312"/>
    <w:rsid w:val="3C512A1E"/>
    <w:rsid w:val="3CAE5F36"/>
    <w:rsid w:val="3CC10DBA"/>
    <w:rsid w:val="3CE277AA"/>
    <w:rsid w:val="3D0B38B9"/>
    <w:rsid w:val="3D646E47"/>
    <w:rsid w:val="3D976152"/>
    <w:rsid w:val="3DF115EF"/>
    <w:rsid w:val="3E1E134D"/>
    <w:rsid w:val="3E21431E"/>
    <w:rsid w:val="3E5522C2"/>
    <w:rsid w:val="3E5678AC"/>
    <w:rsid w:val="3E895FE7"/>
    <w:rsid w:val="3EAA17F0"/>
    <w:rsid w:val="3EAF5B65"/>
    <w:rsid w:val="3EF37553"/>
    <w:rsid w:val="3F1D42B8"/>
    <w:rsid w:val="3F2A5A1C"/>
    <w:rsid w:val="3F5747F4"/>
    <w:rsid w:val="3F827606"/>
    <w:rsid w:val="3FAE03FB"/>
    <w:rsid w:val="3FB21F0F"/>
    <w:rsid w:val="3FF011AB"/>
    <w:rsid w:val="3FF764CE"/>
    <w:rsid w:val="40316598"/>
    <w:rsid w:val="40830352"/>
    <w:rsid w:val="40B55EE3"/>
    <w:rsid w:val="412563AD"/>
    <w:rsid w:val="41B03F53"/>
    <w:rsid w:val="41B33D57"/>
    <w:rsid w:val="42297FF3"/>
    <w:rsid w:val="4252375D"/>
    <w:rsid w:val="425F30BA"/>
    <w:rsid w:val="429763C8"/>
    <w:rsid w:val="42BB223E"/>
    <w:rsid w:val="42BD7558"/>
    <w:rsid w:val="42E93ECF"/>
    <w:rsid w:val="430C3285"/>
    <w:rsid w:val="43217136"/>
    <w:rsid w:val="43A8409F"/>
    <w:rsid w:val="43BF12D7"/>
    <w:rsid w:val="43FB34E3"/>
    <w:rsid w:val="442F526C"/>
    <w:rsid w:val="4490480B"/>
    <w:rsid w:val="44CD6816"/>
    <w:rsid w:val="451B3901"/>
    <w:rsid w:val="452839C1"/>
    <w:rsid w:val="4573430C"/>
    <w:rsid w:val="459B1A21"/>
    <w:rsid w:val="45BE5977"/>
    <w:rsid w:val="45C0550F"/>
    <w:rsid w:val="45DE30BD"/>
    <w:rsid w:val="46184C9F"/>
    <w:rsid w:val="46A95479"/>
    <w:rsid w:val="47954D42"/>
    <w:rsid w:val="47EE3A3D"/>
    <w:rsid w:val="4803793E"/>
    <w:rsid w:val="48095AD9"/>
    <w:rsid w:val="481A2C37"/>
    <w:rsid w:val="486E0728"/>
    <w:rsid w:val="487C4AAA"/>
    <w:rsid w:val="489A41EF"/>
    <w:rsid w:val="48D961A4"/>
    <w:rsid w:val="494051B5"/>
    <w:rsid w:val="495D7F48"/>
    <w:rsid w:val="496B752E"/>
    <w:rsid w:val="498C7B7B"/>
    <w:rsid w:val="49A52D5F"/>
    <w:rsid w:val="49E11258"/>
    <w:rsid w:val="49EB772C"/>
    <w:rsid w:val="4A057E6B"/>
    <w:rsid w:val="4A137F50"/>
    <w:rsid w:val="4A38340B"/>
    <w:rsid w:val="4A734B42"/>
    <w:rsid w:val="4A89557F"/>
    <w:rsid w:val="4AF203D4"/>
    <w:rsid w:val="4B33308A"/>
    <w:rsid w:val="4BAA4BCB"/>
    <w:rsid w:val="4BB91963"/>
    <w:rsid w:val="4BDA60D4"/>
    <w:rsid w:val="4BF8069D"/>
    <w:rsid w:val="4BF9593F"/>
    <w:rsid w:val="4C57015C"/>
    <w:rsid w:val="4D095C30"/>
    <w:rsid w:val="4DA4608E"/>
    <w:rsid w:val="4DE51ADA"/>
    <w:rsid w:val="4E10291E"/>
    <w:rsid w:val="4E400EEF"/>
    <w:rsid w:val="4E460115"/>
    <w:rsid w:val="4E9436D7"/>
    <w:rsid w:val="4EDF107B"/>
    <w:rsid w:val="4EFC7D05"/>
    <w:rsid w:val="4F4C72E9"/>
    <w:rsid w:val="4F880C1E"/>
    <w:rsid w:val="4FCB6460"/>
    <w:rsid w:val="50170AF5"/>
    <w:rsid w:val="50190775"/>
    <w:rsid w:val="503E1327"/>
    <w:rsid w:val="50AA585E"/>
    <w:rsid w:val="50D91050"/>
    <w:rsid w:val="5149439D"/>
    <w:rsid w:val="515222E6"/>
    <w:rsid w:val="515E05A0"/>
    <w:rsid w:val="52865129"/>
    <w:rsid w:val="52A95C49"/>
    <w:rsid w:val="532A6DFE"/>
    <w:rsid w:val="5444374C"/>
    <w:rsid w:val="54BB1B13"/>
    <w:rsid w:val="54D531EE"/>
    <w:rsid w:val="54F0519B"/>
    <w:rsid w:val="55346855"/>
    <w:rsid w:val="553C1608"/>
    <w:rsid w:val="554B5D2F"/>
    <w:rsid w:val="55F85209"/>
    <w:rsid w:val="55FD7BA1"/>
    <w:rsid w:val="55FF2E7B"/>
    <w:rsid w:val="56264E6B"/>
    <w:rsid w:val="56424FA2"/>
    <w:rsid w:val="56586573"/>
    <w:rsid w:val="56696A03"/>
    <w:rsid w:val="569F351B"/>
    <w:rsid w:val="56E56B35"/>
    <w:rsid w:val="56F255DB"/>
    <w:rsid w:val="570D5B98"/>
    <w:rsid w:val="571B5053"/>
    <w:rsid w:val="57B72516"/>
    <w:rsid w:val="582A3461"/>
    <w:rsid w:val="58660B1F"/>
    <w:rsid w:val="58E04348"/>
    <w:rsid w:val="5911517F"/>
    <w:rsid w:val="591734E0"/>
    <w:rsid w:val="5A1D2B64"/>
    <w:rsid w:val="5B6030A2"/>
    <w:rsid w:val="5BB054F9"/>
    <w:rsid w:val="5BE30367"/>
    <w:rsid w:val="5C265E7A"/>
    <w:rsid w:val="5C3D06E5"/>
    <w:rsid w:val="5C3E1A4C"/>
    <w:rsid w:val="5C47503D"/>
    <w:rsid w:val="5C592D2E"/>
    <w:rsid w:val="5C8F0CBC"/>
    <w:rsid w:val="5CD576C5"/>
    <w:rsid w:val="5D0872EF"/>
    <w:rsid w:val="5D8C1B29"/>
    <w:rsid w:val="5DC65CED"/>
    <w:rsid w:val="5DD938F3"/>
    <w:rsid w:val="5DF02F39"/>
    <w:rsid w:val="5E14191A"/>
    <w:rsid w:val="5E9F069D"/>
    <w:rsid w:val="5ED45B6D"/>
    <w:rsid w:val="5EDD3E51"/>
    <w:rsid w:val="5F064676"/>
    <w:rsid w:val="5F124BBF"/>
    <w:rsid w:val="5F32622C"/>
    <w:rsid w:val="5F406DD9"/>
    <w:rsid w:val="5FB46F10"/>
    <w:rsid w:val="5FD06172"/>
    <w:rsid w:val="5FD3376E"/>
    <w:rsid w:val="60E455D3"/>
    <w:rsid w:val="6183303E"/>
    <w:rsid w:val="61DB4CAC"/>
    <w:rsid w:val="61E66C1B"/>
    <w:rsid w:val="62102080"/>
    <w:rsid w:val="623D46D9"/>
    <w:rsid w:val="626B1986"/>
    <w:rsid w:val="627961EF"/>
    <w:rsid w:val="62BF2393"/>
    <w:rsid w:val="62F65878"/>
    <w:rsid w:val="630E75CA"/>
    <w:rsid w:val="631448DA"/>
    <w:rsid w:val="63223221"/>
    <w:rsid w:val="63234685"/>
    <w:rsid w:val="63C24BD7"/>
    <w:rsid w:val="645706A8"/>
    <w:rsid w:val="64B824FA"/>
    <w:rsid w:val="64E75E50"/>
    <w:rsid w:val="64FD2B2A"/>
    <w:rsid w:val="659362E7"/>
    <w:rsid w:val="65C23DC7"/>
    <w:rsid w:val="661A55F3"/>
    <w:rsid w:val="6651700F"/>
    <w:rsid w:val="665C5C0C"/>
    <w:rsid w:val="66AF4687"/>
    <w:rsid w:val="66BB6DD6"/>
    <w:rsid w:val="671D1438"/>
    <w:rsid w:val="682B1C94"/>
    <w:rsid w:val="685E5E32"/>
    <w:rsid w:val="6920277B"/>
    <w:rsid w:val="69301541"/>
    <w:rsid w:val="697E2062"/>
    <w:rsid w:val="698F114B"/>
    <w:rsid w:val="69CB5649"/>
    <w:rsid w:val="6A2D1C65"/>
    <w:rsid w:val="6A6D331A"/>
    <w:rsid w:val="6B053F95"/>
    <w:rsid w:val="6B102ED2"/>
    <w:rsid w:val="6B1139A5"/>
    <w:rsid w:val="6B4472F9"/>
    <w:rsid w:val="6B4F3F91"/>
    <w:rsid w:val="6BD60D4B"/>
    <w:rsid w:val="6BDD3437"/>
    <w:rsid w:val="6C2D5008"/>
    <w:rsid w:val="6C332BE2"/>
    <w:rsid w:val="6C3B337B"/>
    <w:rsid w:val="6C6607C4"/>
    <w:rsid w:val="6D2A6A64"/>
    <w:rsid w:val="6D3C22F3"/>
    <w:rsid w:val="6DD135CF"/>
    <w:rsid w:val="6DD344D1"/>
    <w:rsid w:val="6DF67E77"/>
    <w:rsid w:val="6E1D59B3"/>
    <w:rsid w:val="6E962BAA"/>
    <w:rsid w:val="6EFD3BD7"/>
    <w:rsid w:val="6FA566DE"/>
    <w:rsid w:val="6FCC52CF"/>
    <w:rsid w:val="70090337"/>
    <w:rsid w:val="7036127C"/>
    <w:rsid w:val="70524AF2"/>
    <w:rsid w:val="705E1573"/>
    <w:rsid w:val="711233AF"/>
    <w:rsid w:val="71AF3E21"/>
    <w:rsid w:val="71B42990"/>
    <w:rsid w:val="71B530B4"/>
    <w:rsid w:val="71DB1985"/>
    <w:rsid w:val="71E47A7A"/>
    <w:rsid w:val="724A54B2"/>
    <w:rsid w:val="728D606E"/>
    <w:rsid w:val="73090EC9"/>
    <w:rsid w:val="73120A54"/>
    <w:rsid w:val="73AD4FFF"/>
    <w:rsid w:val="740B6849"/>
    <w:rsid w:val="74237D69"/>
    <w:rsid w:val="743D56A3"/>
    <w:rsid w:val="74471244"/>
    <w:rsid w:val="74B547F1"/>
    <w:rsid w:val="764D79B1"/>
    <w:rsid w:val="76617192"/>
    <w:rsid w:val="767B290A"/>
    <w:rsid w:val="77804352"/>
    <w:rsid w:val="77866EF9"/>
    <w:rsid w:val="77900C40"/>
    <w:rsid w:val="77A70DAE"/>
    <w:rsid w:val="77A93F1B"/>
    <w:rsid w:val="77B31B61"/>
    <w:rsid w:val="780F0F07"/>
    <w:rsid w:val="78957C0F"/>
    <w:rsid w:val="78EC0D13"/>
    <w:rsid w:val="793F6940"/>
    <w:rsid w:val="79450F34"/>
    <w:rsid w:val="79614A8B"/>
    <w:rsid w:val="797F5A41"/>
    <w:rsid w:val="799324B5"/>
    <w:rsid w:val="79D81462"/>
    <w:rsid w:val="79FC2F8C"/>
    <w:rsid w:val="79FF3FFE"/>
    <w:rsid w:val="7A055C29"/>
    <w:rsid w:val="7A2F3F87"/>
    <w:rsid w:val="7AD46217"/>
    <w:rsid w:val="7B276391"/>
    <w:rsid w:val="7B454BD0"/>
    <w:rsid w:val="7B4C64F6"/>
    <w:rsid w:val="7B7E2787"/>
    <w:rsid w:val="7BA349CC"/>
    <w:rsid w:val="7BAF7AC1"/>
    <w:rsid w:val="7C731726"/>
    <w:rsid w:val="7CE04B2D"/>
    <w:rsid w:val="7D160B71"/>
    <w:rsid w:val="7D5B0573"/>
    <w:rsid w:val="7D65005C"/>
    <w:rsid w:val="7E0A5534"/>
    <w:rsid w:val="7E3E5A94"/>
    <w:rsid w:val="7E7B0B36"/>
    <w:rsid w:val="7EE15BCA"/>
    <w:rsid w:val="7F8A15E6"/>
    <w:rsid w:val="7FBC3C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99" w:semiHidden="0"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qFormat="1" w:uiPriority="99" w:name="HTML Acronym"/>
    <w:lsdException w:uiPriority="99" w:name="HTML Address"/>
    <w:lsdException w:uiPriority="99" w:name="HTML Cite"/>
    <w:lsdException w:qFormat="1" w:uiPriority="99" w:name="HTML Code"/>
    <w:lsdException w:qFormat="1" w:uiPriority="99" w:name="HTML Definition"/>
    <w:lsdException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9"/>
    <w:pPr>
      <w:keepNext/>
      <w:keepLines/>
      <w:spacing w:before="360" w:after="0"/>
      <w:outlineLvl w:val="0"/>
    </w:pPr>
    <w:rPr>
      <w:rFonts w:ascii="Calibri Light" w:hAnsi="Calibri Light"/>
      <w:b/>
      <w:bCs/>
      <w:color w:val="000000"/>
      <w:sz w:val="52"/>
      <w:szCs w:val="28"/>
      <w:lang w:eastAsia="en-US"/>
    </w:rPr>
  </w:style>
  <w:style w:type="paragraph" w:styleId="4">
    <w:name w:val="heading 2"/>
    <w:basedOn w:val="1"/>
    <w:next w:val="1"/>
    <w:unhideWhenUsed/>
    <w:qFormat/>
    <w:uiPriority w:val="9"/>
    <w:pPr>
      <w:keepNext/>
      <w:keepLines/>
      <w:spacing w:before="260" w:after="260" w:line="416" w:lineRule="auto"/>
      <w:jc w:val="center"/>
      <w:outlineLvl w:val="1"/>
    </w:pPr>
    <w:rPr>
      <w:rFonts w:ascii="Arial" w:hAnsi="Arial" w:eastAsia="宋体" w:cs="Times New Roman"/>
      <w:bCs/>
      <w:sz w:val="32"/>
      <w:szCs w:val="32"/>
    </w:rPr>
  </w:style>
  <w:style w:type="paragraph" w:styleId="5">
    <w:name w:val="heading 3"/>
    <w:basedOn w:val="1"/>
    <w:next w:val="1"/>
    <w:unhideWhenUsed/>
    <w:qFormat/>
    <w:uiPriority w:val="9"/>
    <w:pPr>
      <w:keepNext/>
      <w:keepLines/>
      <w:spacing w:before="260" w:beforeLines="0" w:beforeAutospacing="0" w:after="260" w:afterLines="0" w:afterAutospacing="0" w:line="413" w:lineRule="auto"/>
      <w:jc w:val="center"/>
      <w:outlineLvl w:val="2"/>
    </w:pPr>
    <w:rPr>
      <w:rFonts w:asciiTheme="minorAscii" w:hAnsiTheme="minorAscii"/>
      <w:b/>
      <w:sz w:val="32"/>
    </w:rPr>
  </w:style>
  <w:style w:type="paragraph" w:styleId="6">
    <w:name w:val="heading 4"/>
    <w:basedOn w:val="1"/>
    <w:next w:val="7"/>
    <w:link w:val="47"/>
    <w:qFormat/>
    <w:uiPriority w:val="9"/>
    <w:pPr>
      <w:widowControl/>
      <w:kinsoku w:val="0"/>
      <w:autoSpaceDE w:val="0"/>
      <w:autoSpaceDN w:val="0"/>
      <w:adjustRightInd w:val="0"/>
      <w:snapToGrid w:val="0"/>
      <w:jc w:val="left"/>
      <w:textAlignment w:val="baseline"/>
      <w:outlineLvl w:val="3"/>
    </w:pPr>
    <w:rPr>
      <w:rFonts w:ascii="Arial" w:hAnsi="Arial" w:eastAsia="Arial" w:cs="Arial"/>
      <w:b/>
      <w:snapToGrid w:val="0"/>
      <w:color w:val="000000"/>
      <w:kern w:val="0"/>
      <w:sz w:val="36"/>
      <w:szCs w:val="21"/>
    </w:rPr>
  </w:style>
  <w:style w:type="character" w:default="1" w:styleId="28">
    <w:name w:val="Default Paragraph Font"/>
    <w:unhideWhenUsed/>
    <w:qFormat/>
    <w:uiPriority w:val="1"/>
  </w:style>
  <w:style w:type="table" w:default="1" w:styleId="26">
    <w:name w:val="Normal Table"/>
    <w:unhideWhenUsed/>
    <w:qFormat/>
    <w:uiPriority w:val="99"/>
    <w:tblPr>
      <w:tblCellMar>
        <w:top w:w="0" w:type="dxa"/>
        <w:left w:w="108" w:type="dxa"/>
        <w:bottom w:w="0" w:type="dxa"/>
        <w:right w:w="108" w:type="dxa"/>
      </w:tblCellMar>
    </w:tblPr>
  </w:style>
  <w:style w:type="paragraph" w:customStyle="1" w:styleId="2">
    <w:name w:val="正文首行缩进1"/>
    <w:next w:val="1"/>
    <w:qFormat/>
    <w:uiPriority w:val="0"/>
    <w:pPr>
      <w:widowControl w:val="0"/>
      <w:tabs>
        <w:tab w:val="left" w:pos="606"/>
      </w:tabs>
      <w:spacing w:after="120" w:afterLines="0" w:afterAutospacing="0"/>
      <w:ind w:firstLine="420" w:firstLineChars="100"/>
      <w:jc w:val="both"/>
    </w:pPr>
    <w:rPr>
      <w:rFonts w:ascii="Calibri" w:hAnsi="Calibri" w:eastAsia="宋体" w:cs="宋体"/>
      <w:kern w:val="2"/>
      <w:sz w:val="21"/>
      <w:szCs w:val="24"/>
      <w:lang w:val="en-US" w:eastAsia="zh-CN" w:bidi="ar-SA"/>
    </w:rPr>
  </w:style>
  <w:style w:type="paragraph" w:styleId="7">
    <w:name w:val="Normal Indent"/>
    <w:basedOn w:val="1"/>
    <w:next w:val="1"/>
    <w:qFormat/>
    <w:uiPriority w:val="99"/>
    <w:pPr>
      <w:widowControl/>
      <w:kinsoku w:val="0"/>
      <w:autoSpaceDE w:val="0"/>
      <w:autoSpaceDN w:val="0"/>
      <w:adjustRightInd w:val="0"/>
      <w:snapToGrid w:val="0"/>
      <w:ind w:firstLine="420"/>
      <w:jc w:val="left"/>
      <w:textAlignment w:val="baseline"/>
    </w:pPr>
    <w:rPr>
      <w:rFonts w:ascii="Times New Roman" w:hAnsi="Times New Roman" w:eastAsia="宋体" w:cs="Arial"/>
      <w:snapToGrid w:val="0"/>
      <w:color w:val="000000"/>
      <w:kern w:val="0"/>
      <w:sz w:val="22"/>
      <w:szCs w:val="20"/>
      <w:lang w:eastAsia="en-US" w:bidi="en-US"/>
    </w:rPr>
  </w:style>
  <w:style w:type="paragraph" w:styleId="8">
    <w:name w:val="annotation text"/>
    <w:basedOn w:val="1"/>
    <w:unhideWhenUsed/>
    <w:qFormat/>
    <w:uiPriority w:val="99"/>
    <w:pPr>
      <w:jc w:val="left"/>
    </w:pPr>
  </w:style>
  <w:style w:type="paragraph" w:styleId="9">
    <w:name w:val="Body Text"/>
    <w:basedOn w:val="1"/>
    <w:next w:val="10"/>
    <w:link w:val="50"/>
    <w:unhideWhenUsed/>
    <w:qFormat/>
    <w:uiPriority w:val="99"/>
    <w:pPr>
      <w:spacing w:after="120"/>
    </w:pPr>
  </w:style>
  <w:style w:type="paragraph" w:customStyle="1" w:styleId="10">
    <w:name w:val="Default"/>
    <w:basedOn w:val="11"/>
    <w:next w:val="1"/>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11">
    <w:name w:val="正文1"/>
    <w:qFormat/>
    <w:uiPriority w:val="0"/>
    <w:rPr>
      <w:rFonts w:ascii="Times New Roman" w:hAnsi="Times New Roman" w:eastAsia="Times New Roman" w:cs="Times New Roman"/>
      <w:sz w:val="24"/>
      <w:szCs w:val="24"/>
      <w:lang w:val="en-US" w:eastAsia="zh-CN" w:bidi="ar-SA"/>
    </w:rPr>
  </w:style>
  <w:style w:type="paragraph" w:styleId="12">
    <w:name w:val="Body Text Indent"/>
    <w:basedOn w:val="1"/>
    <w:next w:val="13"/>
    <w:link w:val="55"/>
    <w:unhideWhenUsed/>
    <w:qFormat/>
    <w:uiPriority w:val="99"/>
    <w:pPr>
      <w:spacing w:after="120"/>
      <w:ind w:left="420" w:leftChars="200"/>
    </w:pPr>
  </w:style>
  <w:style w:type="paragraph" w:styleId="13">
    <w:name w:val="envelope return"/>
    <w:basedOn w:val="1"/>
    <w:qFormat/>
    <w:uiPriority w:val="0"/>
  </w:style>
  <w:style w:type="paragraph" w:styleId="14">
    <w:name w:val="toc 3"/>
    <w:basedOn w:val="1"/>
    <w:next w:val="1"/>
    <w:unhideWhenUsed/>
    <w:qFormat/>
    <w:uiPriority w:val="39"/>
    <w:pPr>
      <w:ind w:left="840" w:leftChars="400"/>
    </w:pPr>
  </w:style>
  <w:style w:type="paragraph" w:styleId="15">
    <w:name w:val="Plain Text"/>
    <w:basedOn w:val="1"/>
    <w:next w:val="1"/>
    <w:qFormat/>
    <w:uiPriority w:val="0"/>
    <w:rPr>
      <w:rFonts w:ascii="宋体" w:hAnsi="Courier New"/>
      <w:sz w:val="28"/>
      <w:szCs w:val="24"/>
    </w:rPr>
  </w:style>
  <w:style w:type="paragraph" w:styleId="16">
    <w:name w:val="Body Text Indent 2"/>
    <w:basedOn w:val="1"/>
    <w:link w:val="44"/>
    <w:qFormat/>
    <w:uiPriority w:val="0"/>
    <w:pPr>
      <w:widowControl/>
      <w:spacing w:after="120" w:line="480" w:lineRule="auto"/>
      <w:ind w:left="420" w:leftChars="200"/>
      <w:jc w:val="left"/>
    </w:pPr>
    <w:rPr>
      <w:rFonts w:ascii="Calibri" w:hAnsi="Calibri" w:eastAsia="宋体" w:cs="Times New Roman"/>
      <w:sz w:val="28"/>
      <w:szCs w:val="24"/>
    </w:rPr>
  </w:style>
  <w:style w:type="paragraph" w:styleId="17">
    <w:name w:val="Balloon Text"/>
    <w:basedOn w:val="1"/>
    <w:link w:val="42"/>
    <w:unhideWhenUsed/>
    <w:qFormat/>
    <w:uiPriority w:val="99"/>
    <w:rPr>
      <w:sz w:val="18"/>
      <w:szCs w:val="18"/>
    </w:rPr>
  </w:style>
  <w:style w:type="paragraph" w:styleId="18">
    <w:name w:val="footer"/>
    <w:basedOn w:val="1"/>
    <w:link w:val="51"/>
    <w:qFormat/>
    <w:uiPriority w:val="99"/>
    <w:pPr>
      <w:widowControl/>
      <w:tabs>
        <w:tab w:val="center" w:pos="4153"/>
        <w:tab w:val="right" w:pos="8306"/>
      </w:tabs>
      <w:kinsoku w:val="0"/>
      <w:autoSpaceDE w:val="0"/>
      <w:autoSpaceDN w:val="0"/>
      <w:adjustRightInd w:val="0"/>
      <w:snapToGrid w:val="0"/>
      <w:jc w:val="left"/>
      <w:textAlignment w:val="baseline"/>
    </w:pPr>
    <w:rPr>
      <w:rFonts w:ascii="Arial" w:hAnsi="Arial" w:eastAsia="Arial" w:cs="Arial"/>
      <w:snapToGrid w:val="0"/>
      <w:color w:val="000000"/>
      <w:kern w:val="0"/>
      <w:sz w:val="18"/>
      <w:szCs w:val="21"/>
    </w:rPr>
  </w:style>
  <w:style w:type="paragraph" w:styleId="19">
    <w:name w:val="header"/>
    <w:basedOn w:val="1"/>
    <w:link w:val="52"/>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unhideWhenUsed/>
    <w:qFormat/>
    <w:uiPriority w:val="39"/>
    <w:pPr>
      <w:tabs>
        <w:tab w:val="right" w:leader="dot" w:pos="9060"/>
      </w:tabs>
      <w:snapToGrid w:val="0"/>
      <w:spacing w:line="400" w:lineRule="exact"/>
    </w:pPr>
    <w:rPr>
      <w:rFonts w:cs="宋体" w:asciiTheme="minorEastAsia" w:hAnsiTheme="minorEastAsia"/>
      <w:b/>
      <w:bCs/>
      <w:sz w:val="24"/>
      <w:szCs w:val="24"/>
    </w:rPr>
  </w:style>
  <w:style w:type="paragraph" w:styleId="21">
    <w:name w:val="toc 2"/>
    <w:basedOn w:val="1"/>
    <w:next w:val="1"/>
    <w:unhideWhenUsed/>
    <w:qFormat/>
    <w:uiPriority w:val="39"/>
    <w:pPr>
      <w:ind w:left="420" w:leftChars="200"/>
    </w:pPr>
  </w:style>
  <w:style w:type="paragraph" w:styleId="22">
    <w:name w:val="Body Text 2"/>
    <w:basedOn w:val="1"/>
    <w:qFormat/>
    <w:uiPriority w:val="0"/>
    <w:pPr>
      <w:widowControl/>
      <w:overflowPunct w:val="0"/>
      <w:autoSpaceDE w:val="0"/>
      <w:autoSpaceDN w:val="0"/>
      <w:adjustRightInd w:val="0"/>
      <w:jc w:val="left"/>
      <w:textAlignment w:val="baseline"/>
    </w:pPr>
  </w:style>
  <w:style w:type="paragraph" w:styleId="23">
    <w:name w:val="Normal (Web)"/>
    <w:basedOn w:val="1"/>
    <w:qFormat/>
    <w:uiPriority w:val="0"/>
    <w:pPr>
      <w:widowControl/>
      <w:spacing w:before="100" w:beforeAutospacing="1" w:after="100" w:afterAutospacing="1"/>
      <w:jc w:val="left"/>
    </w:pPr>
    <w:rPr>
      <w:rFonts w:ascii="ˎ̥" w:hAnsi="ˎ̥" w:eastAsia="宋体" w:cs="宋体"/>
      <w:kern w:val="0"/>
      <w:sz w:val="24"/>
      <w:szCs w:val="24"/>
    </w:rPr>
  </w:style>
  <w:style w:type="paragraph" w:styleId="24">
    <w:name w:val="Body Text First Indent"/>
    <w:basedOn w:val="9"/>
    <w:next w:val="25"/>
    <w:link w:val="54"/>
    <w:qFormat/>
    <w:uiPriority w:val="0"/>
    <w:pPr>
      <w:widowControl/>
      <w:tabs>
        <w:tab w:val="left" w:pos="606"/>
      </w:tabs>
      <w:ind w:firstLine="420" w:firstLineChars="100"/>
      <w:jc w:val="left"/>
    </w:pPr>
    <w:rPr>
      <w:rFonts w:ascii="Times New Roman" w:hAnsi="Times New Roman" w:eastAsia="宋体" w:cs="Times New Roman"/>
      <w:szCs w:val="20"/>
    </w:rPr>
  </w:style>
  <w:style w:type="paragraph" w:styleId="25">
    <w:name w:val="Body Text First Indent 2"/>
    <w:basedOn w:val="12"/>
    <w:next w:val="1"/>
    <w:link w:val="56"/>
    <w:unhideWhenUsed/>
    <w:qFormat/>
    <w:uiPriority w:val="99"/>
    <w:pPr>
      <w:ind w:firstLine="420" w:firstLineChars="200"/>
    </w:pPr>
  </w:style>
  <w:style w:type="table" w:styleId="27">
    <w:name w:val="Table Grid"/>
    <w:basedOn w:val="2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qFormat/>
    <w:uiPriority w:val="22"/>
    <w:rPr>
      <w:b/>
      <w:bCs/>
    </w:rPr>
  </w:style>
  <w:style w:type="character" w:styleId="30">
    <w:name w:val="FollowedHyperlink"/>
    <w:basedOn w:val="28"/>
    <w:semiHidden/>
    <w:unhideWhenUsed/>
    <w:uiPriority w:val="99"/>
    <w:rPr>
      <w:color w:val="5C5C5C"/>
      <w:u w:val="none"/>
    </w:rPr>
  </w:style>
  <w:style w:type="character" w:styleId="31">
    <w:name w:val="Emphasis"/>
    <w:basedOn w:val="28"/>
    <w:qFormat/>
    <w:uiPriority w:val="20"/>
    <w:rPr>
      <w:b/>
      <w:bCs/>
    </w:rPr>
  </w:style>
  <w:style w:type="character" w:styleId="32">
    <w:name w:val="HTML Definition"/>
    <w:basedOn w:val="28"/>
    <w:semiHidden/>
    <w:unhideWhenUsed/>
    <w:qFormat/>
    <w:uiPriority w:val="99"/>
  </w:style>
  <w:style w:type="character" w:styleId="33">
    <w:name w:val="HTML Typewriter"/>
    <w:basedOn w:val="28"/>
    <w:semiHidden/>
    <w:unhideWhenUsed/>
    <w:uiPriority w:val="99"/>
    <w:rPr>
      <w:rFonts w:ascii="monospace" w:hAnsi="monospace" w:eastAsia="monospace" w:cs="monospace"/>
      <w:sz w:val="20"/>
    </w:rPr>
  </w:style>
  <w:style w:type="character" w:styleId="34">
    <w:name w:val="HTML Acronym"/>
    <w:basedOn w:val="28"/>
    <w:semiHidden/>
    <w:unhideWhenUsed/>
    <w:qFormat/>
    <w:uiPriority w:val="99"/>
  </w:style>
  <w:style w:type="character" w:styleId="35">
    <w:name w:val="HTML Variable"/>
    <w:basedOn w:val="28"/>
    <w:semiHidden/>
    <w:unhideWhenUsed/>
    <w:qFormat/>
    <w:uiPriority w:val="99"/>
  </w:style>
  <w:style w:type="character" w:styleId="36">
    <w:name w:val="Hyperlink"/>
    <w:basedOn w:val="28"/>
    <w:unhideWhenUsed/>
    <w:qFormat/>
    <w:uiPriority w:val="99"/>
    <w:rPr>
      <w:color w:val="0000FF" w:themeColor="hyperlink"/>
      <w:u w:val="single"/>
      <w14:textFill>
        <w14:solidFill>
          <w14:schemeClr w14:val="hlink"/>
        </w14:solidFill>
      </w14:textFill>
    </w:rPr>
  </w:style>
  <w:style w:type="character" w:styleId="37">
    <w:name w:val="HTML Code"/>
    <w:basedOn w:val="28"/>
    <w:semiHidden/>
    <w:unhideWhenUsed/>
    <w:qFormat/>
    <w:uiPriority w:val="99"/>
    <w:rPr>
      <w:rFonts w:hint="default" w:ascii="monospace" w:hAnsi="monospace" w:eastAsia="monospace" w:cs="monospace"/>
      <w:sz w:val="20"/>
    </w:rPr>
  </w:style>
  <w:style w:type="character" w:styleId="38">
    <w:name w:val="HTML Cite"/>
    <w:basedOn w:val="28"/>
    <w:semiHidden/>
    <w:unhideWhenUsed/>
    <w:uiPriority w:val="99"/>
  </w:style>
  <w:style w:type="character" w:styleId="39">
    <w:name w:val="HTML Keyboard"/>
    <w:basedOn w:val="28"/>
    <w:semiHidden/>
    <w:unhideWhenUsed/>
    <w:uiPriority w:val="99"/>
    <w:rPr>
      <w:rFonts w:hint="default" w:ascii="monospace" w:hAnsi="monospace" w:eastAsia="monospace" w:cs="monospace"/>
      <w:color w:val="D6D6D6"/>
      <w:sz w:val="20"/>
    </w:rPr>
  </w:style>
  <w:style w:type="character" w:styleId="40">
    <w:name w:val="HTML Sample"/>
    <w:basedOn w:val="28"/>
    <w:semiHidden/>
    <w:unhideWhenUsed/>
    <w:qFormat/>
    <w:uiPriority w:val="99"/>
    <w:rPr>
      <w:rFonts w:hint="default" w:ascii="monospace" w:hAnsi="monospace" w:eastAsia="monospace" w:cs="monospace"/>
    </w:rPr>
  </w:style>
  <w:style w:type="paragraph" w:customStyle="1" w:styleId="41">
    <w:name w:val="样式 首行缩进:  2 字符"/>
    <w:qFormat/>
    <w:uiPriority w:val="0"/>
    <w:pPr>
      <w:spacing w:line="360" w:lineRule="auto"/>
      <w:ind w:firstLine="420" w:firstLineChars="200"/>
    </w:pPr>
    <w:rPr>
      <w:rFonts w:ascii="Calibri" w:hAnsi="Calibri" w:eastAsia="宋体" w:cs="Times New Roman"/>
      <w:sz w:val="24"/>
      <w:szCs w:val="22"/>
      <w:lang w:val="en-US" w:eastAsia="zh-CN" w:bidi="ar-SA"/>
    </w:rPr>
  </w:style>
  <w:style w:type="character" w:customStyle="1" w:styleId="42">
    <w:name w:val="批注框文本 Char"/>
    <w:basedOn w:val="28"/>
    <w:link w:val="17"/>
    <w:semiHidden/>
    <w:qFormat/>
    <w:uiPriority w:val="99"/>
    <w:rPr>
      <w:sz w:val="18"/>
      <w:szCs w:val="18"/>
    </w:rPr>
  </w:style>
  <w:style w:type="paragraph" w:customStyle="1" w:styleId="43">
    <w:name w:val="List Paragraph"/>
    <w:basedOn w:val="1"/>
    <w:qFormat/>
    <w:uiPriority w:val="0"/>
    <w:pPr>
      <w:ind w:firstLine="420" w:firstLineChars="200"/>
    </w:pPr>
  </w:style>
  <w:style w:type="character" w:customStyle="1" w:styleId="44">
    <w:name w:val="正文文本缩进 2 Char"/>
    <w:basedOn w:val="28"/>
    <w:link w:val="16"/>
    <w:qFormat/>
    <w:uiPriority w:val="0"/>
    <w:rPr>
      <w:rFonts w:ascii="Calibri" w:hAnsi="Calibri" w:eastAsia="宋体" w:cs="Times New Roman"/>
      <w:sz w:val="28"/>
      <w:szCs w:val="24"/>
    </w:rPr>
  </w:style>
  <w:style w:type="table" w:customStyle="1" w:styleId="45">
    <w:name w:val="Table Normal"/>
    <w:unhideWhenUsed/>
    <w:qFormat/>
    <w:uiPriority w:val="0"/>
    <w:rPr>
      <w:rFonts w:ascii="Times New Roman" w:hAnsi="Times New Roman" w:eastAsia="宋体" w:cs="Times New Roman"/>
    </w:rPr>
    <w:tblPr>
      <w:tblCellMar>
        <w:top w:w="0" w:type="dxa"/>
        <w:left w:w="0" w:type="dxa"/>
        <w:bottom w:w="0" w:type="dxa"/>
        <w:right w:w="0" w:type="dxa"/>
      </w:tblCellMar>
    </w:tblPr>
  </w:style>
  <w:style w:type="paragraph" w:customStyle="1" w:styleId="46">
    <w:name w:val="Table Paragraph"/>
    <w:basedOn w:val="1"/>
    <w:qFormat/>
    <w:uiPriority w:val="0"/>
    <w:pPr>
      <w:widowControl/>
      <w:jc w:val="left"/>
    </w:pPr>
    <w:rPr>
      <w:rFonts w:ascii="宋体" w:hAnsi="宋体" w:eastAsia="宋体" w:cs="宋体"/>
      <w:szCs w:val="24"/>
      <w:lang w:val="zh-CN" w:bidi="zh-CN"/>
    </w:rPr>
  </w:style>
  <w:style w:type="character" w:customStyle="1" w:styleId="47">
    <w:name w:val="标题 4 Char"/>
    <w:basedOn w:val="28"/>
    <w:link w:val="6"/>
    <w:qFormat/>
    <w:uiPriority w:val="9"/>
    <w:rPr>
      <w:rFonts w:ascii="Arial" w:hAnsi="Arial" w:eastAsia="Arial" w:cs="Arial"/>
      <w:b/>
      <w:snapToGrid w:val="0"/>
      <w:color w:val="000000"/>
      <w:kern w:val="0"/>
      <w:sz w:val="36"/>
      <w:szCs w:val="21"/>
    </w:rPr>
  </w:style>
  <w:style w:type="paragraph" w:customStyle="1" w:styleId="48">
    <w:name w:val="Table Text"/>
    <w:basedOn w:val="1"/>
    <w:semiHidden/>
    <w:qFormat/>
    <w:uiPriority w:val="0"/>
    <w:pPr>
      <w:widowControl/>
      <w:kinsoku w:val="0"/>
      <w:autoSpaceDE w:val="0"/>
      <w:autoSpaceDN w:val="0"/>
      <w:adjustRightInd w:val="0"/>
      <w:snapToGrid w:val="0"/>
      <w:jc w:val="left"/>
      <w:textAlignment w:val="baseline"/>
    </w:pPr>
    <w:rPr>
      <w:rFonts w:ascii="宋体" w:hAnsi="宋体" w:eastAsia="宋体" w:cs="宋体"/>
      <w:snapToGrid w:val="0"/>
      <w:color w:val="000000"/>
      <w:kern w:val="0"/>
      <w:sz w:val="24"/>
      <w:szCs w:val="24"/>
      <w:lang w:eastAsia="en-US"/>
    </w:rPr>
  </w:style>
  <w:style w:type="paragraph" w:customStyle="1" w:styleId="49">
    <w:name w:val="List Paragraph_0739cb82-d8d0-4c46-8909-8d4968c3cfbd"/>
    <w:basedOn w:val="1"/>
    <w:qFormat/>
    <w:uiPriority w:val="34"/>
    <w:pPr>
      <w:widowControl/>
      <w:ind w:firstLine="420" w:firstLineChars="200"/>
      <w:jc w:val="left"/>
    </w:pPr>
    <w:rPr>
      <w:rFonts w:ascii="Times New Roman" w:hAnsi="Times New Roman" w:eastAsia="宋体" w:cs="Times New Roman"/>
      <w:szCs w:val="24"/>
    </w:rPr>
  </w:style>
  <w:style w:type="character" w:customStyle="1" w:styleId="50">
    <w:name w:val="正文文本 Char"/>
    <w:basedOn w:val="28"/>
    <w:link w:val="9"/>
    <w:semiHidden/>
    <w:qFormat/>
    <w:uiPriority w:val="99"/>
  </w:style>
  <w:style w:type="character" w:customStyle="1" w:styleId="51">
    <w:name w:val="页脚 Char"/>
    <w:basedOn w:val="28"/>
    <w:link w:val="18"/>
    <w:qFormat/>
    <w:uiPriority w:val="99"/>
    <w:rPr>
      <w:rFonts w:ascii="Arial" w:hAnsi="Arial" w:eastAsia="Arial" w:cs="Arial"/>
      <w:snapToGrid w:val="0"/>
      <w:color w:val="000000"/>
      <w:kern w:val="0"/>
      <w:sz w:val="18"/>
      <w:szCs w:val="21"/>
    </w:rPr>
  </w:style>
  <w:style w:type="character" w:customStyle="1" w:styleId="52">
    <w:name w:val="页眉 Char"/>
    <w:basedOn w:val="28"/>
    <w:link w:val="19"/>
    <w:qFormat/>
    <w:uiPriority w:val="99"/>
    <w:rPr>
      <w:sz w:val="18"/>
      <w:szCs w:val="18"/>
    </w:rPr>
  </w:style>
  <w:style w:type="paragraph" w:customStyle="1" w:styleId="53">
    <w:name w:val="无间隔1"/>
    <w:basedOn w:val="1"/>
    <w:qFormat/>
    <w:uiPriority w:val="0"/>
    <w:pPr>
      <w:widowControl/>
      <w:kinsoku w:val="0"/>
      <w:autoSpaceDE w:val="0"/>
      <w:autoSpaceDN w:val="0"/>
      <w:adjustRightInd w:val="0"/>
      <w:snapToGrid w:val="0"/>
      <w:spacing w:line="400" w:lineRule="exact"/>
      <w:jc w:val="left"/>
      <w:textAlignment w:val="baseline"/>
    </w:pPr>
    <w:rPr>
      <w:rFonts w:ascii="Arial" w:hAnsi="Arial" w:eastAsia="Arial" w:cs="Arial"/>
      <w:snapToGrid w:val="0"/>
      <w:color w:val="000000"/>
      <w:kern w:val="0"/>
      <w:sz w:val="24"/>
      <w:szCs w:val="21"/>
    </w:rPr>
  </w:style>
  <w:style w:type="character" w:customStyle="1" w:styleId="54">
    <w:name w:val="正文首行缩进 Char"/>
    <w:basedOn w:val="50"/>
    <w:link w:val="24"/>
    <w:qFormat/>
    <w:uiPriority w:val="0"/>
    <w:rPr>
      <w:rFonts w:ascii="Times New Roman" w:hAnsi="Times New Roman" w:eastAsia="宋体" w:cs="Times New Roman"/>
      <w:kern w:val="2"/>
      <w:sz w:val="21"/>
    </w:rPr>
  </w:style>
  <w:style w:type="character" w:customStyle="1" w:styleId="55">
    <w:name w:val="正文文本缩进 Char"/>
    <w:basedOn w:val="28"/>
    <w:link w:val="12"/>
    <w:semiHidden/>
    <w:qFormat/>
    <w:uiPriority w:val="99"/>
    <w:rPr>
      <w:kern w:val="2"/>
      <w:sz w:val="21"/>
      <w:szCs w:val="22"/>
    </w:rPr>
  </w:style>
  <w:style w:type="character" w:customStyle="1" w:styleId="56">
    <w:name w:val="正文首行缩进 2 Char"/>
    <w:basedOn w:val="55"/>
    <w:link w:val="25"/>
    <w:semiHidden/>
    <w:qFormat/>
    <w:uiPriority w:val="99"/>
    <w:rPr>
      <w:kern w:val="2"/>
      <w:sz w:val="21"/>
      <w:szCs w:val="22"/>
    </w:rPr>
  </w:style>
  <w:style w:type="paragraph" w:customStyle="1" w:styleId="57">
    <w:name w:val="首行缩进"/>
    <w:basedOn w:val="1"/>
    <w:qFormat/>
    <w:uiPriority w:val="0"/>
    <w:pPr>
      <w:ind w:firstLine="480" w:firstLineChars="200"/>
    </w:pPr>
    <w:rPr>
      <w:lang w:val="zh-CN"/>
    </w:rPr>
  </w:style>
  <w:style w:type="paragraph" w:customStyle="1" w:styleId="58">
    <w:name w:val="No Spacing"/>
    <w:basedOn w:val="1"/>
    <w:qFormat/>
    <w:locked/>
    <w:uiPriority w:val="1"/>
    <w:pPr>
      <w:spacing w:after="0" w:line="400" w:lineRule="exact"/>
    </w:pPr>
    <w:rPr>
      <w:rFonts w:eastAsia="宋体"/>
      <w:sz w:val="24"/>
    </w:rPr>
  </w:style>
  <w:style w:type="character" w:customStyle="1" w:styleId="59">
    <w:name w:val="hover"/>
    <w:basedOn w:val="28"/>
    <w:qFormat/>
    <w:uiPriority w:val="0"/>
    <w:rPr>
      <w:color w:val="2590EB"/>
    </w:rPr>
  </w:style>
  <w:style w:type="character" w:customStyle="1" w:styleId="60">
    <w:name w:val="hover1"/>
    <w:basedOn w:val="28"/>
    <w:qFormat/>
    <w:uiPriority w:val="0"/>
    <w:rPr>
      <w:color w:val="2590EB"/>
    </w:rPr>
  </w:style>
  <w:style w:type="character" w:customStyle="1" w:styleId="61">
    <w:name w:val="hover2"/>
    <w:basedOn w:val="28"/>
    <w:qFormat/>
    <w:uiPriority w:val="0"/>
  </w:style>
  <w:style w:type="character" w:customStyle="1" w:styleId="62">
    <w:name w:val="hover3"/>
    <w:basedOn w:val="28"/>
    <w:qFormat/>
    <w:uiPriority w:val="0"/>
    <w:rPr>
      <w:color w:val="2590EB"/>
      <w:shd w:val="clear" w:fill="E9F4FD"/>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92</Pages>
  <Words>338</Words>
  <Characters>372</Characters>
  <Lines>318</Lines>
  <Paragraphs>89</Paragraphs>
  <TotalTime>8</TotalTime>
  <ScaleCrop>false</ScaleCrop>
  <LinksUpToDate>false</LinksUpToDate>
  <CharactersWithSpaces>409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2024-08-06T06:06:00Z</dcterms:created>
  <dc:creator>微软用户</dc:creator>
  <cp:lastModifiedBy>资深吃货</cp:lastModifiedBy>
  <cp:lastPrinted>2024-11-12T03:43:00Z</cp:lastPrinted>
  <dcterms:modified xsi:type="dcterms:W3CDTF">2026-08-06T04:08:27Z</dcterms:modified>
  <cp:revision>158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3C275579CE3144F4830409C99EBB51EE_13</vt:lpwstr>
  </property>
  <property fmtid="{D5CDD505-2E9C-101B-9397-08002B2CF9AE}" pid="4" name="KSOTemplateDocerSaveRecord">
    <vt:lpwstr>eyJoZGlkIjoiMjhlYTgzMzA1YzVkNzY2OGY5ZjllZmY0NGQyOWMzYjQiLCJ1c2VySWQiOiIxMTIwMzc2MTgwIn0=</vt:lpwstr>
  </property>
</Properties>
</file>