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0E60AC">
      <w:pPr>
        <w:spacing w:line="360" w:lineRule="auto"/>
        <w:jc w:val="center"/>
        <w:outlineLvl w:val="0"/>
        <w:rPr>
          <w:rFonts w:hint="eastAsia" w:ascii="宋体" w:hAnsi="宋体" w:eastAsia="宋体" w:cs="宋体"/>
          <w:b/>
          <w:bCs/>
          <w:color w:val="auto"/>
          <w:sz w:val="48"/>
          <w:szCs w:val="48"/>
          <w:highlight w:val="none"/>
          <w:lang w:eastAsia="zh-CN"/>
        </w:rPr>
      </w:pPr>
      <w:r>
        <w:rPr>
          <w:rFonts w:hint="eastAsia" w:ascii="宋体" w:hAnsi="宋体" w:eastAsia="宋体" w:cs="宋体"/>
          <w:b/>
          <w:bCs/>
          <w:color w:val="auto"/>
          <w:sz w:val="48"/>
          <w:szCs w:val="48"/>
          <w:highlight w:val="none"/>
          <w:lang w:eastAsia="zh-CN"/>
        </w:rPr>
        <w:t>河南省体育局购置河南省参加第十五届全运会群众赛事代表团装备项目</w:t>
      </w:r>
    </w:p>
    <w:p w14:paraId="37D6E73A">
      <w:pPr>
        <w:tabs>
          <w:tab w:val="left" w:pos="6330"/>
        </w:tabs>
        <w:spacing w:line="360" w:lineRule="auto"/>
        <w:jc w:val="left"/>
        <w:rPr>
          <w:rFonts w:ascii="宋体" w:hAnsi="宋体" w:eastAsia="宋体" w:cs="宋体"/>
          <w:b/>
          <w:bCs/>
          <w:color w:val="auto"/>
          <w:sz w:val="40"/>
          <w:szCs w:val="40"/>
          <w:highlight w:val="none"/>
        </w:rPr>
      </w:pPr>
      <w:r>
        <w:rPr>
          <w:rFonts w:hint="eastAsia" w:ascii="宋体" w:hAnsi="宋体" w:eastAsia="宋体" w:cs="宋体"/>
          <w:b/>
          <w:bCs/>
          <w:color w:val="auto"/>
          <w:sz w:val="40"/>
          <w:szCs w:val="40"/>
          <w:highlight w:val="none"/>
        </w:rPr>
        <w:tab/>
      </w:r>
    </w:p>
    <w:p w14:paraId="7E016F0A">
      <w:pPr>
        <w:spacing w:line="360" w:lineRule="auto"/>
        <w:jc w:val="center"/>
        <w:rPr>
          <w:rFonts w:ascii="宋体" w:hAnsi="宋体" w:eastAsia="宋体" w:cs="宋体"/>
          <w:b/>
          <w:bCs/>
          <w:color w:val="auto"/>
          <w:sz w:val="40"/>
          <w:szCs w:val="40"/>
          <w:highlight w:val="none"/>
        </w:rPr>
      </w:pPr>
    </w:p>
    <w:p w14:paraId="60E20046">
      <w:pPr>
        <w:spacing w:line="360" w:lineRule="auto"/>
        <w:jc w:val="center"/>
        <w:rPr>
          <w:rFonts w:ascii="宋体" w:hAnsi="宋体" w:eastAsia="宋体" w:cs="宋体"/>
          <w:b/>
          <w:bCs/>
          <w:color w:val="auto"/>
          <w:sz w:val="40"/>
          <w:szCs w:val="40"/>
          <w:highlight w:val="none"/>
        </w:rPr>
      </w:pPr>
    </w:p>
    <w:p w14:paraId="42700237">
      <w:pPr>
        <w:spacing w:line="360" w:lineRule="auto"/>
        <w:jc w:val="center"/>
        <w:rPr>
          <w:rFonts w:ascii="宋体" w:hAnsi="宋体" w:eastAsia="宋体" w:cs="宋体"/>
          <w:b/>
          <w:bCs/>
          <w:color w:val="auto"/>
          <w:sz w:val="40"/>
          <w:szCs w:val="40"/>
          <w:highlight w:val="none"/>
        </w:rPr>
      </w:pPr>
    </w:p>
    <w:p w14:paraId="591C5EC6">
      <w:pPr>
        <w:spacing w:line="360" w:lineRule="auto"/>
        <w:jc w:val="center"/>
        <w:rPr>
          <w:rFonts w:ascii="宋体" w:hAnsi="宋体" w:eastAsia="宋体" w:cs="宋体"/>
          <w:b/>
          <w:bCs/>
          <w:color w:val="auto"/>
          <w:sz w:val="40"/>
          <w:szCs w:val="40"/>
          <w:highlight w:val="none"/>
        </w:rPr>
      </w:pPr>
    </w:p>
    <w:p w14:paraId="02C04D32">
      <w:pPr>
        <w:spacing w:line="360" w:lineRule="auto"/>
        <w:jc w:val="center"/>
        <w:rPr>
          <w:rFonts w:ascii="宋体" w:hAnsi="宋体" w:eastAsia="宋体" w:cs="宋体"/>
          <w:b/>
          <w:bCs/>
          <w:color w:val="auto"/>
          <w:sz w:val="40"/>
          <w:szCs w:val="40"/>
          <w:highlight w:val="none"/>
        </w:rPr>
      </w:pPr>
    </w:p>
    <w:p w14:paraId="7DEE5E9E">
      <w:pPr>
        <w:spacing w:line="360" w:lineRule="auto"/>
        <w:jc w:val="center"/>
        <w:outlineLvl w:val="0"/>
        <w:rPr>
          <w:rFonts w:ascii="宋体" w:hAnsi="宋体" w:eastAsia="宋体" w:cs="宋体"/>
          <w:b/>
          <w:color w:val="auto"/>
          <w:sz w:val="72"/>
          <w:szCs w:val="72"/>
          <w:highlight w:val="none"/>
        </w:rPr>
      </w:pPr>
      <w:bookmarkStart w:id="0" w:name="_Toc21362"/>
      <w:r>
        <w:rPr>
          <w:rFonts w:hint="eastAsia" w:ascii="宋体" w:hAnsi="宋体" w:eastAsia="宋体" w:cs="宋体"/>
          <w:b/>
          <w:color w:val="auto"/>
          <w:sz w:val="70"/>
          <w:szCs w:val="70"/>
          <w:highlight w:val="none"/>
        </w:rPr>
        <w:t>竞争性磋商文件</w:t>
      </w:r>
      <w:bookmarkEnd w:id="0"/>
    </w:p>
    <w:p w14:paraId="437B59F5">
      <w:pPr>
        <w:spacing w:line="360" w:lineRule="auto"/>
        <w:jc w:val="center"/>
        <w:rPr>
          <w:rFonts w:ascii="宋体" w:hAnsi="宋体" w:eastAsia="宋体" w:cs="宋体"/>
          <w:b/>
          <w:bCs/>
          <w:color w:val="auto"/>
          <w:sz w:val="40"/>
          <w:szCs w:val="40"/>
          <w:highlight w:val="none"/>
        </w:rPr>
      </w:pPr>
    </w:p>
    <w:p w14:paraId="2A207EC5">
      <w:pPr>
        <w:spacing w:line="360" w:lineRule="auto"/>
        <w:jc w:val="center"/>
        <w:rPr>
          <w:rFonts w:ascii="宋体" w:hAnsi="宋体" w:eastAsia="宋体" w:cs="宋体"/>
          <w:b/>
          <w:bCs/>
          <w:color w:val="auto"/>
          <w:sz w:val="40"/>
          <w:szCs w:val="40"/>
          <w:highlight w:val="none"/>
        </w:rPr>
      </w:pPr>
    </w:p>
    <w:p w14:paraId="7F4BBAAD">
      <w:pPr>
        <w:spacing w:line="360" w:lineRule="auto"/>
        <w:jc w:val="center"/>
        <w:rPr>
          <w:rFonts w:ascii="宋体" w:hAnsi="宋体" w:eastAsia="宋体" w:cs="宋体"/>
          <w:b/>
          <w:bCs/>
          <w:color w:val="auto"/>
          <w:sz w:val="40"/>
          <w:szCs w:val="40"/>
          <w:highlight w:val="none"/>
        </w:rPr>
      </w:pPr>
    </w:p>
    <w:p w14:paraId="60644E81">
      <w:pPr>
        <w:pStyle w:val="46"/>
        <w:jc w:val="center"/>
        <w:rPr>
          <w:rFonts w:hAnsi="宋体" w:cs="宋体"/>
          <w:b/>
          <w:bCs/>
          <w:color w:val="auto"/>
          <w:sz w:val="40"/>
          <w:szCs w:val="40"/>
          <w:highlight w:val="none"/>
        </w:rPr>
      </w:pPr>
    </w:p>
    <w:p w14:paraId="5F46E3AF">
      <w:pPr>
        <w:pStyle w:val="47"/>
        <w:jc w:val="center"/>
        <w:rPr>
          <w:color w:val="auto"/>
          <w:highlight w:val="none"/>
        </w:rPr>
      </w:pPr>
    </w:p>
    <w:p w14:paraId="336A93DD">
      <w:pPr>
        <w:spacing w:line="360" w:lineRule="auto"/>
        <w:ind w:firstLine="2327" w:firstLineChars="828"/>
        <w:outlineLvl w:val="0"/>
        <w:rPr>
          <w:rFonts w:hint="eastAsia" w:ascii="宋体" w:hAnsi="宋体" w:eastAsia="宋体" w:cs="宋体"/>
          <w:b/>
          <w:bCs/>
          <w:color w:val="auto"/>
          <w:sz w:val="28"/>
          <w:szCs w:val="28"/>
          <w:highlight w:val="none"/>
          <w:lang w:eastAsia="zh-CN"/>
        </w:rPr>
      </w:pPr>
      <w:bookmarkStart w:id="1" w:name="_Toc2049"/>
      <w:r>
        <w:rPr>
          <w:rFonts w:hint="eastAsia" w:ascii="宋体" w:hAnsi="宋体" w:eastAsia="宋体" w:cs="宋体"/>
          <w:b/>
          <w:bCs/>
          <w:color w:val="auto"/>
          <w:sz w:val="28"/>
          <w:szCs w:val="28"/>
          <w:highlight w:val="none"/>
        </w:rPr>
        <w:t>项目编号：</w:t>
      </w:r>
      <w:bookmarkEnd w:id="1"/>
      <w:r>
        <w:rPr>
          <w:rFonts w:hint="eastAsia" w:ascii="宋体" w:hAnsi="宋体" w:eastAsia="宋体" w:cs="宋体"/>
          <w:b/>
          <w:bCs/>
          <w:color w:val="auto"/>
          <w:sz w:val="28"/>
          <w:szCs w:val="28"/>
          <w:highlight w:val="none"/>
          <w:lang w:eastAsia="zh-CN"/>
        </w:rPr>
        <w:t>豫财磋商采购-2025-182</w:t>
      </w:r>
    </w:p>
    <w:p w14:paraId="3C3068CD">
      <w:pPr>
        <w:spacing w:line="360" w:lineRule="auto"/>
        <w:ind w:firstLine="2327" w:firstLineChars="828"/>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采 购 人：</w:t>
      </w:r>
      <w:r>
        <w:rPr>
          <w:rFonts w:hint="eastAsia" w:ascii="宋体" w:hAnsi="宋体" w:eastAsia="宋体" w:cs="宋体"/>
          <w:b/>
          <w:bCs/>
          <w:color w:val="auto"/>
          <w:sz w:val="28"/>
          <w:szCs w:val="28"/>
          <w:highlight w:val="none"/>
          <w:lang w:eastAsia="zh-CN"/>
        </w:rPr>
        <w:t>河南省体育局</w:t>
      </w:r>
    </w:p>
    <w:p w14:paraId="0DE6B259">
      <w:pPr>
        <w:spacing w:line="360" w:lineRule="auto"/>
        <w:ind w:firstLine="2327" w:firstLineChars="828"/>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代理机构：河南省至诚招标采购服务有限公司</w:t>
      </w:r>
    </w:p>
    <w:p w14:paraId="2451878D">
      <w:pPr>
        <w:spacing w:line="360" w:lineRule="auto"/>
        <w:ind w:firstLine="2327" w:firstLineChars="828"/>
        <w:outlineLvl w:val="0"/>
        <w:rPr>
          <w:rFonts w:ascii="宋体" w:hAnsi="宋体" w:eastAsia="宋体" w:cs="宋体"/>
          <w:b/>
          <w:bCs/>
          <w:color w:val="auto"/>
          <w:sz w:val="28"/>
          <w:szCs w:val="28"/>
          <w:highlight w:val="none"/>
        </w:rPr>
      </w:pPr>
      <w:bookmarkStart w:id="2" w:name="_Toc12428"/>
      <w:r>
        <w:rPr>
          <w:rFonts w:hint="eastAsia" w:ascii="宋体" w:hAnsi="宋体" w:eastAsia="宋体" w:cs="宋体"/>
          <w:b/>
          <w:bCs/>
          <w:color w:val="auto"/>
          <w:sz w:val="28"/>
          <w:szCs w:val="28"/>
          <w:highlight w:val="none"/>
        </w:rPr>
        <w:t>日    期：二〇二</w:t>
      </w:r>
      <w:r>
        <w:rPr>
          <w:rFonts w:hint="eastAsia" w:ascii="宋体" w:hAnsi="宋体" w:eastAsia="宋体" w:cs="宋体"/>
          <w:b/>
          <w:bCs/>
          <w:color w:val="auto"/>
          <w:sz w:val="28"/>
          <w:szCs w:val="28"/>
          <w:highlight w:val="none"/>
          <w:lang w:val="en-US" w:eastAsia="zh-CN"/>
        </w:rPr>
        <w:t>五</w:t>
      </w:r>
      <w:r>
        <w:rPr>
          <w:rFonts w:hint="eastAsia" w:ascii="宋体" w:hAnsi="宋体" w:eastAsia="宋体" w:cs="宋体"/>
          <w:b/>
          <w:bCs/>
          <w:color w:val="auto"/>
          <w:sz w:val="28"/>
          <w:szCs w:val="28"/>
          <w:highlight w:val="none"/>
        </w:rPr>
        <w:t>年</w:t>
      </w:r>
      <w:r>
        <w:rPr>
          <w:rFonts w:hint="eastAsia" w:ascii="宋体" w:hAnsi="宋体" w:eastAsia="宋体" w:cs="宋体"/>
          <w:b/>
          <w:bCs/>
          <w:color w:val="auto"/>
          <w:sz w:val="28"/>
          <w:szCs w:val="28"/>
          <w:highlight w:val="none"/>
          <w:lang w:val="en-US" w:eastAsia="zh-CN"/>
        </w:rPr>
        <w:t>四</w:t>
      </w:r>
      <w:r>
        <w:rPr>
          <w:rFonts w:hint="eastAsia" w:ascii="宋体" w:hAnsi="宋体" w:eastAsia="宋体" w:cs="宋体"/>
          <w:b/>
          <w:bCs/>
          <w:color w:val="auto"/>
          <w:sz w:val="28"/>
          <w:szCs w:val="28"/>
          <w:highlight w:val="none"/>
        </w:rPr>
        <w:t>月</w:t>
      </w:r>
      <w:bookmarkEnd w:id="2"/>
    </w:p>
    <w:p w14:paraId="79368958">
      <w:pPr>
        <w:spacing w:line="360" w:lineRule="auto"/>
        <w:jc w:val="center"/>
        <w:rPr>
          <w:rFonts w:ascii="宋体" w:hAnsi="宋体" w:eastAsia="宋体" w:cs="宋体"/>
          <w:b/>
          <w:bCs/>
          <w:color w:val="auto"/>
          <w:sz w:val="30"/>
          <w:szCs w:val="30"/>
          <w:highlight w:val="none"/>
        </w:rPr>
        <w:sectPr>
          <w:headerReference r:id="rId4" w:type="first"/>
          <w:headerReference r:id="rId3" w:type="default"/>
          <w:pgSz w:w="11906" w:h="16838"/>
          <w:pgMar w:top="1417" w:right="1417" w:bottom="1417" w:left="1417" w:header="851" w:footer="992" w:gutter="0"/>
          <w:pgNumType w:start="1"/>
          <w:cols w:space="0" w:num="1"/>
          <w:titlePg/>
          <w:docGrid w:type="lines" w:linePitch="312" w:charSpace="0"/>
        </w:sectPr>
      </w:pPr>
    </w:p>
    <w:p w14:paraId="0C3123A0">
      <w:pPr>
        <w:adjustRightInd w:val="0"/>
        <w:snapToGrid w:val="0"/>
        <w:spacing w:line="440" w:lineRule="exact"/>
        <w:ind w:firstLine="482" w:firstLineChars="200"/>
        <w:outlineLvl w:val="1"/>
        <w:rPr>
          <w:rFonts w:asciiTheme="minorEastAsia" w:hAnsiTheme="minorEastAsia" w:eastAsiaTheme="minorEastAsia" w:cstheme="minorEastAsia"/>
          <w:b/>
          <w:color w:val="auto"/>
          <w:highlight w:val="none"/>
        </w:rPr>
      </w:pPr>
      <w:bookmarkStart w:id="3" w:name="_Toc19504"/>
      <w:r>
        <w:rPr>
          <w:rFonts w:hint="eastAsia" w:asciiTheme="minorEastAsia" w:hAnsiTheme="minorEastAsia" w:eastAsiaTheme="minorEastAsia" w:cstheme="minorEastAsia"/>
          <w:b/>
          <w:color w:val="auto"/>
          <w:highlight w:val="none"/>
        </w:rPr>
        <w:t>1、市场主体信息库登记</w:t>
      </w:r>
      <w:bookmarkEnd w:id="3"/>
    </w:p>
    <w:p w14:paraId="1CF59FF4">
      <w:pPr>
        <w:adjustRightInd w:val="0"/>
        <w:snapToGrid w:val="0"/>
        <w:spacing w:line="440" w:lineRule="exact"/>
        <w:ind w:firstLine="48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iCs/>
          <w:color w:val="auto"/>
          <w:highlight w:val="none"/>
        </w:rPr>
        <w:t>市场主体完成信息登记及CA数字证书办理后，方可通过河南省公共资源交易平台参与交易活动。市场主体信息登记的具体事宜请查阅河南省公共资源交易中心网站“办事指南”专区的《新交易平台使用手册（培训资料）》。</w:t>
      </w:r>
    </w:p>
    <w:p w14:paraId="237C042B">
      <w:pPr>
        <w:adjustRightInd w:val="0"/>
        <w:snapToGrid w:val="0"/>
        <w:spacing w:line="440" w:lineRule="exact"/>
        <w:ind w:firstLine="482" w:firstLineChars="200"/>
        <w:outlineLvl w:val="1"/>
        <w:rPr>
          <w:rFonts w:asciiTheme="minorEastAsia" w:hAnsiTheme="minorEastAsia" w:eastAsiaTheme="minorEastAsia" w:cstheme="minorEastAsia"/>
          <w:b/>
          <w:color w:val="auto"/>
          <w:highlight w:val="none"/>
        </w:rPr>
      </w:pPr>
      <w:bookmarkStart w:id="4" w:name="_Toc16809"/>
      <w:r>
        <w:rPr>
          <w:rFonts w:hint="eastAsia" w:asciiTheme="minorEastAsia" w:hAnsiTheme="minorEastAsia" w:eastAsiaTheme="minorEastAsia" w:cstheme="minorEastAsia"/>
          <w:b/>
          <w:color w:val="auto"/>
          <w:highlight w:val="none"/>
        </w:rPr>
        <w:t>2、磋商文件获取、响应文件制作</w:t>
      </w:r>
      <w:bookmarkEnd w:id="4"/>
    </w:p>
    <w:p w14:paraId="61D89C17">
      <w:pPr>
        <w:adjustRightInd w:val="0"/>
        <w:snapToGrid w:val="0"/>
        <w:spacing w:line="440" w:lineRule="exact"/>
        <w:ind w:firstLine="480" w:firstLineChars="200"/>
        <w:rPr>
          <w:rFonts w:asciiTheme="minorEastAsia" w:hAnsiTheme="minorEastAsia" w:eastAsiaTheme="minorEastAsia" w:cstheme="minorEastAsia"/>
          <w:bCs/>
          <w:iCs/>
          <w:color w:val="auto"/>
          <w:highlight w:val="none"/>
        </w:rPr>
      </w:pPr>
      <w:r>
        <w:rPr>
          <w:rFonts w:hint="eastAsia" w:asciiTheme="minorEastAsia" w:hAnsiTheme="minorEastAsia" w:eastAsiaTheme="minorEastAsia" w:cstheme="minorEastAsia"/>
          <w:bCs/>
          <w:iCs/>
          <w:color w:val="auto"/>
          <w:highlight w:val="none"/>
        </w:rPr>
        <w:t>2.1供应商使用CA数字证书登录河南省公共资源交易中心网站按网上提示自行下载投标项目电子磋商文件。</w:t>
      </w:r>
    </w:p>
    <w:p w14:paraId="6C6629CD">
      <w:pPr>
        <w:tabs>
          <w:tab w:val="left" w:pos="720"/>
        </w:tabs>
        <w:adjustRightInd w:val="0"/>
        <w:snapToGrid w:val="0"/>
        <w:spacing w:line="440" w:lineRule="exact"/>
        <w:ind w:firstLine="48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2.2获取磋商文件后，供应商请到河南省公共资源交易中心网站“办事指南”专区的《新交易平台使用手册（培训资料）》下载最新版本的投标文件制作工具安装包和签章软件iSignature，并使用安装后的最新版本投标文件制作工具制作电子响应文件。</w:t>
      </w:r>
    </w:p>
    <w:p w14:paraId="2FC5A303">
      <w:pPr>
        <w:tabs>
          <w:tab w:val="left" w:pos="720"/>
        </w:tabs>
        <w:adjustRightInd w:val="0"/>
        <w:snapToGrid w:val="0"/>
        <w:spacing w:line="440" w:lineRule="exact"/>
        <w:ind w:firstLine="48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2.3响应文件的上传</w:t>
      </w:r>
    </w:p>
    <w:p w14:paraId="1250B993">
      <w:pPr>
        <w:tabs>
          <w:tab w:val="left" w:pos="720"/>
        </w:tabs>
        <w:adjustRightInd w:val="0"/>
        <w:snapToGrid w:val="0"/>
        <w:spacing w:line="440" w:lineRule="exact"/>
        <w:ind w:firstLine="48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加密电子响应文件须在响应文件递交截止时间前通过“河南省公共资源交易中心（www.hnggzy.net）”电子交易平台加密上传。</w:t>
      </w:r>
    </w:p>
    <w:p w14:paraId="29189CCF">
      <w:pPr>
        <w:tabs>
          <w:tab w:val="left" w:pos="720"/>
        </w:tabs>
        <w:adjustRightInd w:val="0"/>
        <w:snapToGrid w:val="0"/>
        <w:spacing w:line="440" w:lineRule="exact"/>
        <w:ind w:firstLine="48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2.4加密电子响应文件为“河南省公共资源交易中心（www.hnggzy.net）” 网站提供的“投标文件制作工具”软件制作生成的加密版响应文件。</w:t>
      </w:r>
    </w:p>
    <w:p w14:paraId="03E2F8C1">
      <w:pPr>
        <w:tabs>
          <w:tab w:val="left" w:pos="720"/>
        </w:tabs>
        <w:adjustRightInd w:val="0"/>
        <w:snapToGrid w:val="0"/>
        <w:spacing w:line="440" w:lineRule="exact"/>
        <w:ind w:firstLine="48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2.5供应商</w:t>
      </w:r>
      <w:r>
        <w:rPr>
          <w:rFonts w:hint="eastAsia" w:asciiTheme="minorEastAsia" w:hAnsiTheme="minorEastAsia" w:eastAsiaTheme="minorEastAsia" w:cstheme="minorEastAsia"/>
          <w:color w:val="auto"/>
          <w:highlight w:val="none"/>
          <w:lang w:val="zh-CN"/>
        </w:rPr>
        <w:t>在制作电子响应文件时，须按格式内容要求进行电子签章（包括企业电子签章、个人电子签章）</w:t>
      </w:r>
      <w:r>
        <w:rPr>
          <w:rFonts w:hint="eastAsia" w:asciiTheme="minorEastAsia" w:hAnsiTheme="minorEastAsia" w:eastAsiaTheme="minorEastAsia" w:cstheme="minorEastAsia"/>
          <w:color w:val="auto"/>
          <w:highlight w:val="none"/>
        </w:rPr>
        <w:t>。</w:t>
      </w:r>
    </w:p>
    <w:p w14:paraId="445A6CE9">
      <w:pPr>
        <w:tabs>
          <w:tab w:val="left" w:pos="720"/>
        </w:tabs>
        <w:adjustRightInd w:val="0"/>
        <w:snapToGrid w:val="0"/>
        <w:spacing w:line="440" w:lineRule="exact"/>
        <w:ind w:firstLine="48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2.6供应商在制作电子响应文件时，报价一览表须严格按照格式编辑，并作为电子开标系统上传的依据。</w:t>
      </w:r>
    </w:p>
    <w:p w14:paraId="011B0F4E">
      <w:pPr>
        <w:numPr>
          <w:ilvl w:val="0"/>
          <w:numId w:val="1"/>
        </w:numPr>
        <w:adjustRightInd w:val="0"/>
        <w:snapToGrid w:val="0"/>
        <w:spacing w:line="440" w:lineRule="exact"/>
        <w:ind w:firstLine="496" w:firstLineChars="206"/>
        <w:outlineLvl w:val="1"/>
        <w:rPr>
          <w:rFonts w:asciiTheme="minorEastAsia" w:hAnsiTheme="minorEastAsia" w:eastAsiaTheme="minorEastAsia" w:cstheme="minorEastAsia"/>
          <w:b/>
          <w:color w:val="auto"/>
          <w:highlight w:val="none"/>
        </w:rPr>
      </w:pPr>
      <w:bookmarkStart w:id="5" w:name="_Toc12163"/>
      <w:r>
        <w:rPr>
          <w:rFonts w:hint="eastAsia" w:asciiTheme="minorEastAsia" w:hAnsiTheme="minorEastAsia" w:eastAsiaTheme="minorEastAsia" w:cstheme="minorEastAsia"/>
          <w:b/>
          <w:color w:val="auto"/>
          <w:highlight w:val="none"/>
        </w:rPr>
        <w:t>磋商文件的澄清与修改</w:t>
      </w:r>
      <w:bookmarkEnd w:id="5"/>
    </w:p>
    <w:p w14:paraId="72AE2AC5">
      <w:pPr>
        <w:tabs>
          <w:tab w:val="left" w:pos="720"/>
        </w:tabs>
        <w:adjustRightInd w:val="0"/>
        <w:snapToGrid w:val="0"/>
        <w:spacing w:line="440" w:lineRule="exact"/>
        <w:ind w:firstLine="48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在响应文件递交截止时间前须自行查看项目进展、下载磋商文件的澄清及修改等，因供应商未及时查看和下载而造成的后果自负。</w:t>
      </w:r>
    </w:p>
    <w:p w14:paraId="09AC86B9">
      <w:pPr>
        <w:tabs>
          <w:tab w:val="left" w:pos="720"/>
        </w:tabs>
        <w:adjustRightInd w:val="0"/>
        <w:snapToGrid w:val="0"/>
        <w:spacing w:line="440" w:lineRule="exact"/>
        <w:ind w:firstLine="48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4.请参照河南省公共资源交易中心首页“办事指南”专区的《新交易平台使用手册（培训资料）》，本次项目实行远程不见面磋商。</w:t>
      </w:r>
    </w:p>
    <w:p w14:paraId="71E23E26">
      <w:pPr>
        <w:tabs>
          <w:tab w:val="left" w:pos="720"/>
        </w:tabs>
        <w:adjustRightInd w:val="0"/>
        <w:snapToGrid w:val="0"/>
        <w:spacing w:line="440" w:lineRule="exact"/>
        <w:ind w:firstLine="48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5.在响应文件提交的截止时间，供应商不到现场解密，请持编制竞争性磋商响应文件的 CA 钥匙进行在线远程解密，逾期解密或超时解密将被拒绝。</w:t>
      </w:r>
    </w:p>
    <w:p w14:paraId="7829A3CC">
      <w:pPr>
        <w:tabs>
          <w:tab w:val="left" w:pos="720"/>
        </w:tabs>
        <w:adjustRightInd w:val="0"/>
        <w:snapToGrid w:val="0"/>
        <w:spacing w:line="440" w:lineRule="exact"/>
        <w:ind w:firstLine="480" w:firstLineChars="200"/>
        <w:rPr>
          <w:rFonts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color w:val="auto"/>
          <w:highlight w:val="none"/>
        </w:rPr>
        <w:t>6.</w:t>
      </w:r>
      <w:r>
        <w:rPr>
          <w:rFonts w:hint="eastAsia" w:asciiTheme="minorEastAsia" w:hAnsiTheme="minorEastAsia" w:eastAsiaTheme="minorEastAsia" w:cstheme="minorEastAsia"/>
          <w:b/>
          <w:bCs/>
          <w:color w:val="auto"/>
          <w:highlight w:val="none"/>
        </w:rPr>
        <w:t>竞争性磋商最终（二轮）报价采用远程报价。供应商登录远程开标项目，在评审过程中收到远程报价通知时，即可远程在线报价，因逾期或超时报价，将默认初次报价为最终报价。二轮报价，不得超过响应文件报价，否则按无效响应。</w:t>
      </w:r>
    </w:p>
    <w:p w14:paraId="5C5543FD">
      <w:pP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7D42E81D">
      <w:pPr>
        <w:adjustRightInd w:val="0"/>
        <w:snapToGrid w:val="0"/>
        <w:spacing w:before="156" w:beforeLines="50" w:after="156" w:afterLines="50" w:line="360" w:lineRule="auto"/>
        <w:jc w:val="center"/>
        <w:rPr>
          <w:rFonts w:ascii="宋体" w:hAnsi="宋体" w:eastAsia="宋体" w:cs="宋体"/>
          <w:bCs/>
          <w:caps/>
          <w:color w:val="auto"/>
          <w:sz w:val="32"/>
          <w:szCs w:val="32"/>
          <w:highlight w:val="none"/>
        </w:rPr>
      </w:pPr>
      <w:r>
        <w:rPr>
          <w:rFonts w:hint="eastAsia" w:ascii="宋体" w:hAnsi="宋体" w:eastAsia="宋体" w:cs="宋体"/>
          <w:b/>
          <w:bCs/>
          <w:color w:val="auto"/>
          <w:sz w:val="32"/>
          <w:szCs w:val="32"/>
          <w:highlight w:val="none"/>
        </w:rPr>
        <w:t>目   录</w:t>
      </w:r>
    </w:p>
    <w:sdt>
      <w:sdtPr>
        <w:rPr>
          <w:rFonts w:ascii="宋体" w:hAnsi="宋体"/>
          <w:color w:val="auto"/>
          <w:kern w:val="2"/>
          <w:sz w:val="21"/>
          <w:szCs w:val="24"/>
          <w:highlight w:val="none"/>
        </w:rPr>
        <w:id w:val="147458918"/>
        <w15:color w:val="DBDBDB"/>
        <w:docPartObj>
          <w:docPartGallery w:val="Table of Contents"/>
          <w:docPartUnique/>
        </w:docPartObj>
      </w:sdtPr>
      <w:sdtEndPr>
        <w:rPr>
          <w:rFonts w:hint="eastAsia" w:ascii="Calibri" w:hAnsi="Calibri" w:eastAsia="仿宋"/>
          <w:b/>
          <w:color w:val="auto"/>
          <w:kern w:val="2"/>
          <w:sz w:val="24"/>
          <w:szCs w:val="21"/>
          <w:highlight w:val="none"/>
        </w:rPr>
      </w:sdtEndPr>
      <w:sdtContent>
        <w:p w14:paraId="365A8660">
          <w:pPr>
            <w:pStyle w:val="68"/>
            <w:tabs>
              <w:tab w:val="right" w:leader="dot" w:pos="9072"/>
            </w:tabs>
            <w:ind w:left="480"/>
            <w:rPr>
              <w:color w:val="auto"/>
              <w:highlight w:val="none"/>
            </w:rPr>
          </w:pPr>
          <w:r>
            <w:rPr>
              <w:rFonts w:hint="eastAsia"/>
              <w:color w:val="auto"/>
              <w:highlight w:val="none"/>
            </w:rPr>
            <w:fldChar w:fldCharType="begin"/>
          </w:r>
          <w:r>
            <w:rPr>
              <w:rFonts w:hint="eastAsia"/>
              <w:color w:val="auto"/>
              <w:highlight w:val="none"/>
            </w:rPr>
            <w:instrText xml:space="preserve">TOC \o "1-2" \h \u </w:instrText>
          </w:r>
          <w:r>
            <w:rPr>
              <w:rFonts w:hint="eastAsia"/>
              <w:color w:val="auto"/>
              <w:highlight w:val="none"/>
            </w:rPr>
            <w:fldChar w:fldCharType="separate"/>
          </w:r>
        </w:p>
        <w:p w14:paraId="5AAF1773">
          <w:pPr>
            <w:pStyle w:val="67"/>
            <w:tabs>
              <w:tab w:val="right" w:leader="dot" w:pos="9072"/>
            </w:tabs>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"_Toc17618" </w:instrText>
          </w:r>
          <w:r>
            <w:rPr>
              <w:color w:val="auto"/>
              <w:highlight w:val="none"/>
            </w:rPr>
            <w:fldChar w:fldCharType="separate"/>
          </w:r>
          <w:r>
            <w:rPr>
              <w:rFonts w:hint="eastAsia" w:ascii="宋体" w:hAnsi="宋体" w:cs="宋体"/>
              <w:b/>
              <w:bCs/>
              <w:color w:val="auto"/>
              <w:sz w:val="28"/>
              <w:szCs w:val="28"/>
              <w:highlight w:val="none"/>
            </w:rPr>
            <w:t>第一章  竞争性磋商公告</w:t>
          </w:r>
          <w:r>
            <w:rPr>
              <w:rFonts w:hint="eastAsia" w:ascii="宋体" w:hAnsi="宋体" w:cs="宋体"/>
              <w:b/>
              <w:color w:val="auto"/>
              <w:sz w:val="28"/>
              <w:szCs w:val="28"/>
              <w:highlight w:val="none"/>
            </w:rPr>
            <w:tab/>
          </w:r>
          <w:r>
            <w:rPr>
              <w:rFonts w:hint="eastAsia" w:ascii="宋体" w:hAnsi="宋体" w:cs="宋体"/>
              <w:b/>
              <w:color w:val="auto"/>
              <w:sz w:val="28"/>
              <w:szCs w:val="28"/>
              <w:highlight w:val="none"/>
            </w:rPr>
            <w:fldChar w:fldCharType="begin"/>
          </w:r>
          <w:r>
            <w:rPr>
              <w:rFonts w:hint="eastAsia" w:ascii="宋体" w:hAnsi="宋体" w:cs="宋体"/>
              <w:b/>
              <w:color w:val="auto"/>
              <w:sz w:val="28"/>
              <w:szCs w:val="28"/>
              <w:highlight w:val="none"/>
            </w:rPr>
            <w:instrText xml:space="preserve"> PAGEREF _Toc17618 \h </w:instrText>
          </w:r>
          <w:r>
            <w:rPr>
              <w:rFonts w:hint="eastAsia" w:ascii="宋体" w:hAnsi="宋体" w:cs="宋体"/>
              <w:b/>
              <w:color w:val="auto"/>
              <w:sz w:val="28"/>
              <w:szCs w:val="28"/>
              <w:highlight w:val="none"/>
            </w:rPr>
            <w:fldChar w:fldCharType="separate"/>
          </w:r>
          <w:r>
            <w:rPr>
              <w:rFonts w:hint="eastAsia" w:ascii="宋体" w:hAnsi="宋体" w:cs="宋体"/>
              <w:b/>
              <w:color w:val="auto"/>
              <w:sz w:val="28"/>
              <w:szCs w:val="28"/>
              <w:highlight w:val="none"/>
            </w:rPr>
            <w:t>1</w:t>
          </w:r>
          <w:r>
            <w:rPr>
              <w:rFonts w:hint="eastAsia" w:ascii="宋体" w:hAnsi="宋体" w:cs="宋体"/>
              <w:b/>
              <w:color w:val="auto"/>
              <w:sz w:val="28"/>
              <w:szCs w:val="28"/>
              <w:highlight w:val="none"/>
            </w:rPr>
            <w:fldChar w:fldCharType="end"/>
          </w:r>
          <w:r>
            <w:rPr>
              <w:rFonts w:hint="eastAsia" w:ascii="宋体" w:hAnsi="宋体" w:cs="宋体"/>
              <w:b/>
              <w:color w:val="auto"/>
              <w:sz w:val="28"/>
              <w:szCs w:val="28"/>
              <w:highlight w:val="none"/>
            </w:rPr>
            <w:fldChar w:fldCharType="end"/>
          </w:r>
        </w:p>
        <w:p w14:paraId="00BCCBE9">
          <w:pPr>
            <w:pStyle w:val="67"/>
            <w:tabs>
              <w:tab w:val="right" w:leader="dot" w:pos="9072"/>
            </w:tabs>
            <w:rPr>
              <w:rFonts w:ascii="宋体" w:hAnsi="宋体" w:cs="宋体"/>
              <w:b/>
              <w:color w:val="auto"/>
              <w:sz w:val="28"/>
              <w:szCs w:val="28"/>
              <w:highlight w:val="none"/>
            </w:rPr>
          </w:pPr>
          <w:r>
            <w:rPr>
              <w:color w:val="auto"/>
              <w:highlight w:val="none"/>
            </w:rPr>
            <w:fldChar w:fldCharType="begin"/>
          </w:r>
          <w:r>
            <w:rPr>
              <w:color w:val="auto"/>
              <w:highlight w:val="none"/>
            </w:rPr>
            <w:instrText xml:space="preserve"> HYPERLINK \l "_Toc6082" </w:instrText>
          </w:r>
          <w:r>
            <w:rPr>
              <w:color w:val="auto"/>
              <w:highlight w:val="none"/>
            </w:rPr>
            <w:fldChar w:fldCharType="separate"/>
          </w:r>
          <w:r>
            <w:rPr>
              <w:rFonts w:hint="eastAsia" w:ascii="宋体" w:hAnsi="宋体" w:cs="宋体"/>
              <w:b/>
              <w:caps/>
              <w:color w:val="auto"/>
              <w:sz w:val="28"/>
              <w:szCs w:val="28"/>
              <w:highlight w:val="none"/>
            </w:rPr>
            <w:t>第二章</w:t>
          </w:r>
          <w:r>
            <w:rPr>
              <w:rFonts w:hint="eastAsia" w:ascii="宋体" w:hAnsi="宋体" w:cs="宋体"/>
              <w:b/>
              <w:color w:val="auto"/>
              <w:sz w:val="28"/>
              <w:szCs w:val="28"/>
              <w:highlight w:val="none"/>
            </w:rPr>
            <w:t xml:space="preserve">  供应商须知</w:t>
          </w:r>
          <w:r>
            <w:rPr>
              <w:rFonts w:hint="eastAsia" w:ascii="宋体" w:hAnsi="宋体" w:cs="宋体"/>
              <w:b/>
              <w:color w:val="auto"/>
              <w:sz w:val="28"/>
              <w:szCs w:val="28"/>
              <w:highlight w:val="none"/>
            </w:rPr>
            <w:tab/>
          </w:r>
          <w:r>
            <w:rPr>
              <w:rFonts w:hint="eastAsia" w:ascii="宋体" w:hAnsi="宋体" w:cs="宋体"/>
              <w:b/>
              <w:color w:val="auto"/>
              <w:sz w:val="28"/>
              <w:szCs w:val="28"/>
              <w:highlight w:val="none"/>
            </w:rPr>
            <w:fldChar w:fldCharType="begin"/>
          </w:r>
          <w:r>
            <w:rPr>
              <w:rFonts w:hint="eastAsia" w:ascii="宋体" w:hAnsi="宋体" w:cs="宋体"/>
              <w:b/>
              <w:color w:val="auto"/>
              <w:sz w:val="28"/>
              <w:szCs w:val="28"/>
              <w:highlight w:val="none"/>
            </w:rPr>
            <w:instrText xml:space="preserve"> PAGEREF _Toc6082 \h </w:instrText>
          </w:r>
          <w:r>
            <w:rPr>
              <w:rFonts w:hint="eastAsia" w:ascii="宋体" w:hAnsi="宋体" w:cs="宋体"/>
              <w:b/>
              <w:color w:val="auto"/>
              <w:sz w:val="28"/>
              <w:szCs w:val="28"/>
              <w:highlight w:val="none"/>
            </w:rPr>
            <w:fldChar w:fldCharType="separate"/>
          </w:r>
          <w:r>
            <w:rPr>
              <w:rFonts w:hint="eastAsia" w:ascii="宋体" w:hAnsi="宋体" w:cs="宋体"/>
              <w:b/>
              <w:color w:val="auto"/>
              <w:sz w:val="28"/>
              <w:szCs w:val="28"/>
              <w:highlight w:val="none"/>
            </w:rPr>
            <w:t>4</w:t>
          </w:r>
          <w:r>
            <w:rPr>
              <w:rFonts w:hint="eastAsia" w:ascii="宋体" w:hAnsi="宋体" w:cs="宋体"/>
              <w:b/>
              <w:color w:val="auto"/>
              <w:sz w:val="28"/>
              <w:szCs w:val="28"/>
              <w:highlight w:val="none"/>
            </w:rPr>
            <w:fldChar w:fldCharType="end"/>
          </w:r>
          <w:r>
            <w:rPr>
              <w:rFonts w:hint="eastAsia" w:ascii="宋体" w:hAnsi="宋体" w:cs="宋体"/>
              <w:b/>
              <w:color w:val="auto"/>
              <w:sz w:val="28"/>
              <w:szCs w:val="28"/>
              <w:highlight w:val="none"/>
            </w:rPr>
            <w:fldChar w:fldCharType="end"/>
          </w:r>
        </w:p>
        <w:p w14:paraId="5B0089BE">
          <w:pPr>
            <w:pStyle w:val="68"/>
            <w:tabs>
              <w:tab w:val="right" w:leader="dot" w:pos="9072"/>
            </w:tabs>
            <w:ind w:left="480"/>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"_Toc5562" </w:instrText>
          </w:r>
          <w:r>
            <w:rPr>
              <w:color w:val="auto"/>
              <w:highlight w:val="none"/>
            </w:rPr>
            <w:fldChar w:fldCharType="separate"/>
          </w:r>
          <w:r>
            <w:rPr>
              <w:rFonts w:hint="eastAsia" w:ascii="宋体" w:hAnsi="宋体" w:cs="宋体"/>
              <w:color w:val="auto"/>
              <w:sz w:val="28"/>
              <w:szCs w:val="28"/>
              <w:highlight w:val="none"/>
            </w:rPr>
            <w:t>供应商须知前附表</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_Toc5562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4</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62D36B5B">
          <w:pPr>
            <w:pStyle w:val="68"/>
            <w:tabs>
              <w:tab w:val="right" w:leader="dot" w:pos="9072"/>
            </w:tabs>
            <w:ind w:left="480"/>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"_Toc26046" </w:instrText>
          </w:r>
          <w:r>
            <w:rPr>
              <w:color w:val="auto"/>
              <w:highlight w:val="none"/>
            </w:rPr>
            <w:fldChar w:fldCharType="separate"/>
          </w:r>
          <w:r>
            <w:rPr>
              <w:rFonts w:hint="eastAsia" w:ascii="宋体" w:hAnsi="宋体" w:cs="宋体"/>
              <w:bCs/>
              <w:color w:val="auto"/>
              <w:sz w:val="28"/>
              <w:szCs w:val="28"/>
              <w:highlight w:val="none"/>
            </w:rPr>
            <w:t>1. 总则</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_Toc26046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10</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6D179530">
          <w:pPr>
            <w:pStyle w:val="68"/>
            <w:tabs>
              <w:tab w:val="right" w:leader="dot" w:pos="9072"/>
            </w:tabs>
            <w:ind w:left="480"/>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"_Toc1693" </w:instrText>
          </w:r>
          <w:r>
            <w:rPr>
              <w:color w:val="auto"/>
              <w:highlight w:val="none"/>
            </w:rPr>
            <w:fldChar w:fldCharType="separate"/>
          </w:r>
          <w:r>
            <w:rPr>
              <w:rFonts w:hint="eastAsia" w:ascii="宋体" w:hAnsi="宋体" w:cs="宋体"/>
              <w:color w:val="auto"/>
              <w:sz w:val="28"/>
              <w:szCs w:val="28"/>
              <w:highlight w:val="none"/>
            </w:rPr>
            <w:t>2. 磋商文件</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_Toc1693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12</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4ECC3C2A">
          <w:pPr>
            <w:pStyle w:val="68"/>
            <w:tabs>
              <w:tab w:val="right" w:leader="dot" w:pos="9072"/>
            </w:tabs>
            <w:ind w:left="480"/>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"_Toc25900" </w:instrText>
          </w:r>
          <w:r>
            <w:rPr>
              <w:color w:val="auto"/>
              <w:highlight w:val="none"/>
            </w:rPr>
            <w:fldChar w:fldCharType="separate"/>
          </w:r>
          <w:r>
            <w:rPr>
              <w:rFonts w:hint="eastAsia" w:ascii="宋体" w:hAnsi="宋体" w:cs="宋体"/>
              <w:color w:val="auto"/>
              <w:sz w:val="28"/>
              <w:szCs w:val="28"/>
              <w:highlight w:val="none"/>
            </w:rPr>
            <w:t>3. 响应文件</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_Toc25900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12</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406DAC6F">
          <w:pPr>
            <w:pStyle w:val="68"/>
            <w:tabs>
              <w:tab w:val="right" w:leader="dot" w:pos="9072"/>
            </w:tabs>
            <w:ind w:left="480"/>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"_Toc27182" </w:instrText>
          </w:r>
          <w:r>
            <w:rPr>
              <w:color w:val="auto"/>
              <w:highlight w:val="none"/>
            </w:rPr>
            <w:fldChar w:fldCharType="separate"/>
          </w:r>
          <w:r>
            <w:rPr>
              <w:rFonts w:hint="eastAsia" w:ascii="宋体" w:hAnsi="宋体" w:cs="宋体"/>
              <w:color w:val="auto"/>
              <w:sz w:val="28"/>
              <w:szCs w:val="28"/>
              <w:highlight w:val="none"/>
            </w:rPr>
            <w:t>4. 响应文件提交</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_Toc27182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14</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2D4D0868">
          <w:pPr>
            <w:pStyle w:val="68"/>
            <w:tabs>
              <w:tab w:val="right" w:leader="dot" w:pos="9072"/>
            </w:tabs>
            <w:ind w:left="480"/>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"_Toc3214" </w:instrText>
          </w:r>
          <w:r>
            <w:rPr>
              <w:color w:val="auto"/>
              <w:highlight w:val="none"/>
            </w:rPr>
            <w:fldChar w:fldCharType="separate"/>
          </w:r>
          <w:r>
            <w:rPr>
              <w:rFonts w:hint="eastAsia" w:ascii="宋体" w:hAnsi="宋体" w:cs="宋体"/>
              <w:color w:val="auto"/>
              <w:sz w:val="28"/>
              <w:szCs w:val="28"/>
              <w:highlight w:val="none"/>
            </w:rPr>
            <w:t>5. 响应文件开启</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_Toc3214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14</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41D8C567">
          <w:pPr>
            <w:pStyle w:val="68"/>
            <w:tabs>
              <w:tab w:val="right" w:leader="dot" w:pos="9072"/>
            </w:tabs>
            <w:ind w:left="480"/>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"_Toc5869" </w:instrText>
          </w:r>
          <w:r>
            <w:rPr>
              <w:color w:val="auto"/>
              <w:highlight w:val="none"/>
            </w:rPr>
            <w:fldChar w:fldCharType="separate"/>
          </w:r>
          <w:r>
            <w:rPr>
              <w:rFonts w:hint="eastAsia" w:ascii="宋体" w:hAnsi="宋体" w:cs="宋体"/>
              <w:bCs/>
              <w:color w:val="auto"/>
              <w:sz w:val="28"/>
              <w:szCs w:val="28"/>
              <w:highlight w:val="none"/>
            </w:rPr>
            <w:t>6. 评审及磋商</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_Toc5869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15</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1560521F">
          <w:pPr>
            <w:pStyle w:val="68"/>
            <w:tabs>
              <w:tab w:val="right" w:leader="dot" w:pos="9072"/>
            </w:tabs>
            <w:ind w:left="480"/>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"_Toc21058" </w:instrText>
          </w:r>
          <w:r>
            <w:rPr>
              <w:color w:val="auto"/>
              <w:highlight w:val="none"/>
            </w:rPr>
            <w:fldChar w:fldCharType="separate"/>
          </w:r>
          <w:r>
            <w:rPr>
              <w:rFonts w:hint="eastAsia" w:ascii="宋体" w:hAnsi="宋体" w:cs="宋体"/>
              <w:bCs/>
              <w:color w:val="auto"/>
              <w:sz w:val="28"/>
              <w:szCs w:val="28"/>
              <w:highlight w:val="none"/>
            </w:rPr>
            <w:t>7. 授予合同</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_Toc21058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21</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3CBBA452">
          <w:pPr>
            <w:pStyle w:val="68"/>
            <w:tabs>
              <w:tab w:val="right" w:leader="dot" w:pos="9072"/>
            </w:tabs>
            <w:ind w:left="480"/>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"_Toc17432" </w:instrText>
          </w:r>
          <w:r>
            <w:rPr>
              <w:color w:val="auto"/>
              <w:highlight w:val="none"/>
            </w:rPr>
            <w:fldChar w:fldCharType="separate"/>
          </w:r>
          <w:r>
            <w:rPr>
              <w:rFonts w:hint="eastAsia" w:ascii="宋体" w:hAnsi="宋体" w:cs="宋体"/>
              <w:bCs/>
              <w:color w:val="auto"/>
              <w:sz w:val="28"/>
              <w:szCs w:val="28"/>
              <w:highlight w:val="none"/>
            </w:rPr>
            <w:t>8. 其他</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_Toc17432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22</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21B527AE">
          <w:pPr>
            <w:pStyle w:val="67"/>
            <w:tabs>
              <w:tab w:val="right" w:leader="dot" w:pos="9072"/>
            </w:tabs>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"_Toc10628" </w:instrText>
          </w:r>
          <w:r>
            <w:rPr>
              <w:color w:val="auto"/>
              <w:highlight w:val="none"/>
            </w:rPr>
            <w:fldChar w:fldCharType="separate"/>
          </w:r>
          <w:r>
            <w:rPr>
              <w:rFonts w:hint="eastAsia" w:ascii="宋体" w:hAnsi="宋体" w:cs="宋体"/>
              <w:b/>
              <w:color w:val="auto"/>
              <w:sz w:val="28"/>
              <w:szCs w:val="28"/>
              <w:highlight w:val="none"/>
            </w:rPr>
            <w:t>第三章  项目需求及技术参数要求</w:t>
          </w:r>
          <w:r>
            <w:rPr>
              <w:rFonts w:hint="eastAsia" w:ascii="宋体" w:hAnsi="宋体" w:cs="宋体"/>
              <w:b/>
              <w:color w:val="auto"/>
              <w:sz w:val="28"/>
              <w:szCs w:val="28"/>
              <w:highlight w:val="none"/>
            </w:rPr>
            <w:tab/>
          </w:r>
          <w:r>
            <w:rPr>
              <w:rFonts w:hint="eastAsia" w:ascii="宋体" w:hAnsi="宋体" w:cs="宋体"/>
              <w:b/>
              <w:color w:val="auto"/>
              <w:sz w:val="28"/>
              <w:szCs w:val="28"/>
              <w:highlight w:val="none"/>
            </w:rPr>
            <w:fldChar w:fldCharType="begin"/>
          </w:r>
          <w:r>
            <w:rPr>
              <w:rFonts w:hint="eastAsia" w:ascii="宋体" w:hAnsi="宋体" w:cs="宋体"/>
              <w:b/>
              <w:color w:val="auto"/>
              <w:sz w:val="28"/>
              <w:szCs w:val="28"/>
              <w:highlight w:val="none"/>
            </w:rPr>
            <w:instrText xml:space="preserve"> PAGEREF _Toc10628 \h </w:instrText>
          </w:r>
          <w:r>
            <w:rPr>
              <w:rFonts w:hint="eastAsia" w:ascii="宋体" w:hAnsi="宋体" w:cs="宋体"/>
              <w:b/>
              <w:color w:val="auto"/>
              <w:sz w:val="28"/>
              <w:szCs w:val="28"/>
              <w:highlight w:val="none"/>
            </w:rPr>
            <w:fldChar w:fldCharType="separate"/>
          </w:r>
          <w:r>
            <w:rPr>
              <w:rFonts w:hint="eastAsia" w:ascii="宋体" w:hAnsi="宋体" w:cs="宋体"/>
              <w:b/>
              <w:color w:val="auto"/>
              <w:sz w:val="28"/>
              <w:szCs w:val="28"/>
              <w:highlight w:val="none"/>
            </w:rPr>
            <w:t>23</w:t>
          </w:r>
          <w:r>
            <w:rPr>
              <w:rFonts w:hint="eastAsia" w:ascii="宋体" w:hAnsi="宋体" w:cs="宋体"/>
              <w:b/>
              <w:color w:val="auto"/>
              <w:sz w:val="28"/>
              <w:szCs w:val="28"/>
              <w:highlight w:val="none"/>
            </w:rPr>
            <w:fldChar w:fldCharType="end"/>
          </w:r>
          <w:r>
            <w:rPr>
              <w:rFonts w:hint="eastAsia" w:ascii="宋体" w:hAnsi="宋体" w:cs="宋体"/>
              <w:b/>
              <w:color w:val="auto"/>
              <w:sz w:val="28"/>
              <w:szCs w:val="28"/>
              <w:highlight w:val="none"/>
            </w:rPr>
            <w:fldChar w:fldCharType="end"/>
          </w:r>
        </w:p>
        <w:p w14:paraId="50969DAD">
          <w:pPr>
            <w:pStyle w:val="67"/>
            <w:tabs>
              <w:tab w:val="right" w:leader="dot" w:pos="9072"/>
            </w:tabs>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"_Toc1113" </w:instrText>
          </w:r>
          <w:r>
            <w:rPr>
              <w:color w:val="auto"/>
              <w:highlight w:val="none"/>
            </w:rPr>
            <w:fldChar w:fldCharType="separate"/>
          </w:r>
          <w:r>
            <w:rPr>
              <w:rFonts w:hint="eastAsia" w:ascii="宋体" w:hAnsi="宋体" w:cs="宋体"/>
              <w:b/>
              <w:bCs/>
              <w:color w:val="auto"/>
              <w:sz w:val="28"/>
              <w:szCs w:val="28"/>
              <w:highlight w:val="none"/>
            </w:rPr>
            <w:t>第四章  合同协议书（格式）</w:t>
          </w:r>
          <w:r>
            <w:rPr>
              <w:rFonts w:hint="eastAsia" w:ascii="宋体" w:hAnsi="宋体" w:cs="宋体"/>
              <w:b/>
              <w:color w:val="auto"/>
              <w:sz w:val="28"/>
              <w:szCs w:val="28"/>
              <w:highlight w:val="none"/>
            </w:rPr>
            <w:tab/>
          </w:r>
          <w:r>
            <w:rPr>
              <w:rFonts w:hint="eastAsia" w:ascii="宋体" w:hAnsi="宋体" w:cs="宋体"/>
              <w:b/>
              <w:color w:val="auto"/>
              <w:sz w:val="28"/>
              <w:szCs w:val="28"/>
              <w:highlight w:val="none"/>
            </w:rPr>
            <w:fldChar w:fldCharType="begin"/>
          </w:r>
          <w:r>
            <w:rPr>
              <w:rFonts w:hint="eastAsia" w:ascii="宋体" w:hAnsi="宋体" w:cs="宋体"/>
              <w:b/>
              <w:color w:val="auto"/>
              <w:sz w:val="28"/>
              <w:szCs w:val="28"/>
              <w:highlight w:val="none"/>
            </w:rPr>
            <w:instrText xml:space="preserve"> PAGEREF _Toc1113 \h </w:instrText>
          </w:r>
          <w:r>
            <w:rPr>
              <w:rFonts w:hint="eastAsia" w:ascii="宋体" w:hAnsi="宋体" w:cs="宋体"/>
              <w:b/>
              <w:color w:val="auto"/>
              <w:sz w:val="28"/>
              <w:szCs w:val="28"/>
              <w:highlight w:val="none"/>
            </w:rPr>
            <w:fldChar w:fldCharType="separate"/>
          </w:r>
          <w:r>
            <w:rPr>
              <w:rFonts w:hint="eastAsia" w:ascii="宋体" w:hAnsi="宋体" w:cs="宋体"/>
              <w:b/>
              <w:color w:val="auto"/>
              <w:sz w:val="28"/>
              <w:szCs w:val="28"/>
              <w:highlight w:val="none"/>
            </w:rPr>
            <w:t>23</w:t>
          </w:r>
          <w:r>
            <w:rPr>
              <w:rFonts w:hint="eastAsia" w:ascii="宋体" w:hAnsi="宋体" w:cs="宋体"/>
              <w:b/>
              <w:color w:val="auto"/>
              <w:sz w:val="28"/>
              <w:szCs w:val="28"/>
              <w:highlight w:val="none"/>
            </w:rPr>
            <w:fldChar w:fldCharType="end"/>
          </w:r>
          <w:r>
            <w:rPr>
              <w:rFonts w:hint="eastAsia" w:ascii="宋体" w:hAnsi="宋体" w:cs="宋体"/>
              <w:b/>
              <w:color w:val="auto"/>
              <w:sz w:val="28"/>
              <w:szCs w:val="28"/>
              <w:highlight w:val="none"/>
            </w:rPr>
            <w:fldChar w:fldCharType="end"/>
          </w:r>
        </w:p>
        <w:p w14:paraId="6F4FC4A8">
          <w:pPr>
            <w:pStyle w:val="67"/>
            <w:tabs>
              <w:tab w:val="right" w:leader="dot" w:pos="9072"/>
            </w:tabs>
            <w:rPr>
              <w:rFonts w:ascii="宋体" w:hAnsi="宋体" w:cs="宋体"/>
              <w:b/>
              <w:color w:val="auto"/>
              <w:sz w:val="28"/>
              <w:szCs w:val="28"/>
              <w:highlight w:val="none"/>
            </w:rPr>
          </w:pPr>
          <w:r>
            <w:rPr>
              <w:color w:val="auto"/>
              <w:highlight w:val="none"/>
            </w:rPr>
            <w:fldChar w:fldCharType="begin"/>
          </w:r>
          <w:r>
            <w:rPr>
              <w:color w:val="auto"/>
              <w:highlight w:val="none"/>
            </w:rPr>
            <w:instrText xml:space="preserve"> HYPERLINK \l "_Toc31173" </w:instrText>
          </w:r>
          <w:r>
            <w:rPr>
              <w:color w:val="auto"/>
              <w:highlight w:val="none"/>
            </w:rPr>
            <w:fldChar w:fldCharType="separate"/>
          </w:r>
          <w:r>
            <w:rPr>
              <w:rFonts w:hint="eastAsia" w:ascii="宋体" w:hAnsi="宋体" w:cs="宋体"/>
              <w:b/>
              <w:color w:val="auto"/>
              <w:sz w:val="28"/>
              <w:szCs w:val="28"/>
              <w:highlight w:val="none"/>
            </w:rPr>
            <w:t>第五章  响应文件部分格式</w:t>
          </w:r>
          <w:r>
            <w:rPr>
              <w:rFonts w:hint="eastAsia" w:ascii="宋体" w:hAnsi="宋体" w:cs="宋体"/>
              <w:b/>
              <w:color w:val="auto"/>
              <w:sz w:val="28"/>
              <w:szCs w:val="28"/>
              <w:highlight w:val="none"/>
            </w:rPr>
            <w:tab/>
          </w:r>
          <w:r>
            <w:rPr>
              <w:rFonts w:hint="eastAsia" w:ascii="宋体" w:hAnsi="宋体" w:cs="宋体"/>
              <w:b/>
              <w:color w:val="auto"/>
              <w:sz w:val="28"/>
              <w:szCs w:val="28"/>
              <w:highlight w:val="none"/>
            </w:rPr>
            <w:fldChar w:fldCharType="begin"/>
          </w:r>
          <w:r>
            <w:rPr>
              <w:rFonts w:hint="eastAsia" w:ascii="宋体" w:hAnsi="宋体" w:cs="宋体"/>
              <w:b/>
              <w:color w:val="auto"/>
              <w:sz w:val="28"/>
              <w:szCs w:val="28"/>
              <w:highlight w:val="none"/>
            </w:rPr>
            <w:instrText xml:space="preserve"> PAGEREF _Toc31173 \h </w:instrText>
          </w:r>
          <w:r>
            <w:rPr>
              <w:rFonts w:hint="eastAsia" w:ascii="宋体" w:hAnsi="宋体" w:cs="宋体"/>
              <w:b/>
              <w:color w:val="auto"/>
              <w:sz w:val="28"/>
              <w:szCs w:val="28"/>
              <w:highlight w:val="none"/>
            </w:rPr>
            <w:fldChar w:fldCharType="separate"/>
          </w:r>
          <w:r>
            <w:rPr>
              <w:rFonts w:hint="eastAsia" w:ascii="宋体" w:hAnsi="宋体" w:cs="宋体"/>
              <w:b/>
              <w:color w:val="auto"/>
              <w:sz w:val="28"/>
              <w:szCs w:val="28"/>
              <w:highlight w:val="none"/>
            </w:rPr>
            <w:t>39</w:t>
          </w:r>
          <w:r>
            <w:rPr>
              <w:rFonts w:hint="eastAsia" w:ascii="宋体" w:hAnsi="宋体" w:cs="宋体"/>
              <w:b/>
              <w:color w:val="auto"/>
              <w:sz w:val="28"/>
              <w:szCs w:val="28"/>
              <w:highlight w:val="none"/>
            </w:rPr>
            <w:fldChar w:fldCharType="end"/>
          </w:r>
          <w:r>
            <w:rPr>
              <w:rFonts w:hint="eastAsia" w:ascii="宋体" w:hAnsi="宋体" w:cs="宋体"/>
              <w:b/>
              <w:color w:val="auto"/>
              <w:sz w:val="28"/>
              <w:szCs w:val="28"/>
              <w:highlight w:val="none"/>
            </w:rPr>
            <w:fldChar w:fldCharType="end"/>
          </w:r>
        </w:p>
        <w:p w14:paraId="24C890E9">
          <w:pPr>
            <w:pStyle w:val="67"/>
            <w:tabs>
              <w:tab w:val="right" w:leader="dot" w:pos="9072"/>
            </w:tabs>
            <w:rPr>
              <w:b/>
              <w:color w:val="auto"/>
              <w:highlight w:val="none"/>
            </w:rPr>
          </w:pPr>
        </w:p>
        <w:p w14:paraId="14D64549">
          <w:pPr>
            <w:pStyle w:val="47"/>
            <w:adjustRightInd w:val="0"/>
            <w:snapToGrid w:val="0"/>
            <w:spacing w:line="600" w:lineRule="exact"/>
            <w:rPr>
              <w:color w:val="auto"/>
              <w:highlight w:val="none"/>
            </w:rPr>
            <w:sectPr>
              <w:footerReference r:id="rId6" w:type="first"/>
              <w:footerReference r:id="rId5" w:type="default"/>
              <w:pgSz w:w="11906" w:h="16838"/>
              <w:pgMar w:top="1417" w:right="1417" w:bottom="1417" w:left="1417" w:header="680" w:footer="907" w:gutter="0"/>
              <w:pgNumType w:start="1"/>
              <w:cols w:space="0" w:num="1"/>
              <w:docGrid w:type="lines" w:linePitch="312" w:charSpace="0"/>
            </w:sectPr>
          </w:pPr>
          <w:r>
            <w:rPr>
              <w:rFonts w:hint="eastAsia"/>
              <w:b/>
              <w:color w:val="auto"/>
              <w:highlight w:val="none"/>
            </w:rPr>
            <w:fldChar w:fldCharType="end"/>
          </w:r>
        </w:p>
      </w:sdtContent>
    </w:sdt>
    <w:p w14:paraId="572CB3AD">
      <w:pPr>
        <w:tabs>
          <w:tab w:val="right" w:pos="7560"/>
        </w:tabs>
        <w:spacing w:line="360" w:lineRule="auto"/>
        <w:jc w:val="center"/>
        <w:outlineLvl w:val="0"/>
        <w:rPr>
          <w:rFonts w:ascii="宋体" w:hAnsi="宋体" w:eastAsia="宋体" w:cs="宋体"/>
          <w:b/>
          <w:bCs/>
          <w:color w:val="auto"/>
          <w:sz w:val="28"/>
          <w:szCs w:val="28"/>
          <w:highlight w:val="none"/>
        </w:rPr>
      </w:pPr>
      <w:bookmarkStart w:id="6" w:name="_Toc31908"/>
      <w:bookmarkEnd w:id="6"/>
      <w:bookmarkStart w:id="7" w:name="_Toc12937"/>
      <w:bookmarkEnd w:id="7"/>
      <w:bookmarkStart w:id="8" w:name="_Toc11727"/>
      <w:bookmarkEnd w:id="8"/>
      <w:bookmarkStart w:id="9" w:name="_Toc17618"/>
      <w:r>
        <w:rPr>
          <w:rFonts w:hint="eastAsia" w:ascii="宋体" w:hAnsi="宋体" w:eastAsia="宋体" w:cs="宋体"/>
          <w:b/>
          <w:bCs/>
          <w:color w:val="auto"/>
          <w:sz w:val="28"/>
          <w:szCs w:val="28"/>
          <w:highlight w:val="none"/>
        </w:rPr>
        <w:t>第一章  竞争性磋商公告</w:t>
      </w:r>
      <w:bookmarkEnd w:id="9"/>
    </w:p>
    <w:p w14:paraId="04C1BE6F">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项目概况：</w:t>
      </w:r>
    </w:p>
    <w:p w14:paraId="5C85D1D1">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河南省体育局购置河南省参加第十五届全运会群众赛事代表团装备项目</w:t>
      </w:r>
      <w:r>
        <w:rPr>
          <w:rFonts w:hint="eastAsia" w:ascii="宋体" w:hAnsi="宋体" w:eastAsia="宋体" w:cs="宋体"/>
          <w:color w:val="auto"/>
          <w:sz w:val="21"/>
          <w:szCs w:val="21"/>
          <w:highlight w:val="none"/>
        </w:rPr>
        <w:t>招标项目的潜在投标人应在河南省公共资源交易中心网（http://www.hnggzy.net/）获取磋商文件，并于</w:t>
      </w:r>
      <w:r>
        <w:rPr>
          <w:rFonts w:hint="eastAsia" w:ascii="宋体" w:hAnsi="宋体" w:eastAsia="宋体" w:cs="宋体"/>
          <w:color w:val="auto"/>
          <w:sz w:val="21"/>
          <w:szCs w:val="21"/>
          <w:highlight w:val="none"/>
          <w:lang w:val="en-US" w:eastAsia="zh-CN"/>
        </w:rPr>
        <w:t>2025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rPr>
        <w:t>日9时00分（北京时间）前提交响应文件。</w:t>
      </w:r>
    </w:p>
    <w:p w14:paraId="6A48F689">
      <w:pPr>
        <w:adjustRightInd w:val="0"/>
        <w:snapToGrid w:val="0"/>
        <w:spacing w:line="360" w:lineRule="auto"/>
        <w:ind w:firstLine="420" w:firstLineChars="200"/>
        <w:outlineLvl w:val="1"/>
        <w:rPr>
          <w:rFonts w:ascii="宋体" w:hAnsi="宋体" w:eastAsia="宋体" w:cs="宋体"/>
          <w:color w:val="auto"/>
          <w:sz w:val="21"/>
          <w:szCs w:val="21"/>
          <w:highlight w:val="none"/>
        </w:rPr>
      </w:pPr>
      <w:bookmarkStart w:id="10" w:name="_Toc31587"/>
      <w:bookmarkStart w:id="11" w:name="_Toc19265"/>
      <w:r>
        <w:rPr>
          <w:rFonts w:hint="eastAsia" w:ascii="宋体" w:hAnsi="宋体" w:eastAsia="宋体" w:cs="宋体"/>
          <w:color w:val="auto"/>
          <w:sz w:val="21"/>
          <w:szCs w:val="21"/>
          <w:highlight w:val="none"/>
        </w:rPr>
        <w:t>一、项目基本情况</w:t>
      </w:r>
      <w:bookmarkEnd w:id="10"/>
      <w:bookmarkEnd w:id="11"/>
    </w:p>
    <w:p w14:paraId="0619EBB5">
      <w:pPr>
        <w:adjustRightInd w:val="0"/>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1.项目编号：</w:t>
      </w:r>
      <w:r>
        <w:rPr>
          <w:rFonts w:hint="eastAsia" w:ascii="宋体" w:hAnsi="宋体" w:eastAsia="宋体" w:cs="宋体"/>
          <w:color w:val="auto"/>
          <w:sz w:val="21"/>
          <w:szCs w:val="21"/>
          <w:highlight w:val="none"/>
          <w:lang w:eastAsia="zh-CN"/>
        </w:rPr>
        <w:t>豫财磋商采购-2025-182</w:t>
      </w:r>
    </w:p>
    <w:p w14:paraId="2DCF4A43">
      <w:pPr>
        <w:adjustRightInd w:val="0"/>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w:t>
      </w:r>
      <w:bookmarkStart w:id="282" w:name="_GoBack"/>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eastAsia="zh-CN"/>
        </w:rPr>
        <w:t>河南省体育局购置河南省参加第十五届全运会群众赛事代表团装备项目</w:t>
      </w:r>
      <w:bookmarkEnd w:id="282"/>
    </w:p>
    <w:p w14:paraId="610C4043">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3.采购方式：竞争性磋商</w:t>
      </w:r>
    </w:p>
    <w:p w14:paraId="2B623BC2">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4.预算金额：</w:t>
      </w:r>
      <w:r>
        <w:rPr>
          <w:rFonts w:hint="eastAsia" w:ascii="宋体" w:hAnsi="宋体" w:eastAsia="宋体" w:cs="宋体"/>
          <w:color w:val="auto"/>
          <w:sz w:val="21"/>
          <w:szCs w:val="21"/>
          <w:highlight w:val="none"/>
          <w:lang w:eastAsia="zh-CN"/>
        </w:rPr>
        <w:t>1,800,000.00</w:t>
      </w:r>
      <w:r>
        <w:rPr>
          <w:rFonts w:hint="eastAsia" w:ascii="宋体" w:hAnsi="宋体" w:eastAsia="宋体" w:cs="宋体"/>
          <w:color w:val="auto"/>
          <w:sz w:val="21"/>
          <w:szCs w:val="21"/>
          <w:highlight w:val="none"/>
        </w:rPr>
        <w:t>元</w:t>
      </w:r>
    </w:p>
    <w:p w14:paraId="45B6B239">
      <w:pPr>
        <w:adjustRightInd w:val="0"/>
        <w:snapToGrid w:val="0"/>
        <w:spacing w:line="360" w:lineRule="auto"/>
        <w:ind w:firstLine="630" w:firstLineChars="300"/>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最高限价：</w:t>
      </w:r>
      <w:r>
        <w:rPr>
          <w:rFonts w:hint="eastAsia" w:ascii="宋体" w:hAnsi="宋体" w:eastAsia="宋体" w:cs="宋体"/>
          <w:color w:val="auto"/>
          <w:sz w:val="21"/>
          <w:szCs w:val="21"/>
          <w:highlight w:val="none"/>
          <w:lang w:eastAsia="zh-CN"/>
        </w:rPr>
        <w:t>1,800,000.00</w:t>
      </w:r>
      <w:r>
        <w:rPr>
          <w:rFonts w:hint="eastAsia" w:ascii="宋体" w:hAnsi="宋体" w:eastAsia="宋体" w:cs="宋体"/>
          <w:bCs/>
          <w:color w:val="auto"/>
          <w:sz w:val="21"/>
          <w:szCs w:val="21"/>
          <w:highlight w:val="none"/>
        </w:rPr>
        <w:t>元</w:t>
      </w:r>
    </w:p>
    <w:tbl>
      <w:tblPr>
        <w:tblStyle w:val="27"/>
        <w:tblW w:w="8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549"/>
        <w:gridCol w:w="2838"/>
        <w:gridCol w:w="1726"/>
        <w:gridCol w:w="1520"/>
      </w:tblGrid>
      <w:tr w14:paraId="1ADDA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1" w:type="dxa"/>
            <w:tcBorders>
              <w:top w:val="single" w:color="auto" w:sz="4" w:space="0"/>
              <w:left w:val="single" w:color="auto" w:sz="4" w:space="0"/>
              <w:bottom w:val="single" w:color="auto" w:sz="4" w:space="0"/>
              <w:right w:val="single" w:color="auto" w:sz="4" w:space="0"/>
            </w:tcBorders>
            <w:vAlign w:val="center"/>
          </w:tcPr>
          <w:p w14:paraId="32F40B08">
            <w:pPr>
              <w:adjustRightInd w:val="0"/>
              <w:snapToGrid w:val="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549" w:type="dxa"/>
            <w:tcBorders>
              <w:top w:val="single" w:color="auto" w:sz="4" w:space="0"/>
              <w:left w:val="single" w:color="auto" w:sz="4" w:space="0"/>
              <w:bottom w:val="single" w:color="auto" w:sz="4" w:space="0"/>
              <w:right w:val="single" w:color="auto" w:sz="4" w:space="0"/>
            </w:tcBorders>
            <w:vAlign w:val="center"/>
          </w:tcPr>
          <w:p w14:paraId="66C8AB71">
            <w:pPr>
              <w:adjustRightInd w:val="0"/>
              <w:snapToGrid w:val="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包号</w:t>
            </w:r>
          </w:p>
        </w:tc>
        <w:tc>
          <w:tcPr>
            <w:tcW w:w="2838" w:type="dxa"/>
            <w:tcBorders>
              <w:top w:val="single" w:color="auto" w:sz="4" w:space="0"/>
              <w:left w:val="single" w:color="auto" w:sz="4" w:space="0"/>
              <w:bottom w:val="single" w:color="auto" w:sz="4" w:space="0"/>
              <w:right w:val="single" w:color="auto" w:sz="4" w:space="0"/>
            </w:tcBorders>
            <w:vAlign w:val="center"/>
          </w:tcPr>
          <w:p w14:paraId="4C515F1F">
            <w:pPr>
              <w:adjustRightInd w:val="0"/>
              <w:snapToGrid w:val="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包名称</w:t>
            </w:r>
          </w:p>
        </w:tc>
        <w:tc>
          <w:tcPr>
            <w:tcW w:w="1726" w:type="dxa"/>
            <w:tcBorders>
              <w:top w:val="single" w:color="auto" w:sz="4" w:space="0"/>
              <w:left w:val="single" w:color="auto" w:sz="4" w:space="0"/>
              <w:bottom w:val="single" w:color="auto" w:sz="4" w:space="0"/>
              <w:right w:val="single" w:color="auto" w:sz="4" w:space="0"/>
            </w:tcBorders>
            <w:vAlign w:val="center"/>
          </w:tcPr>
          <w:p w14:paraId="0D8F848D">
            <w:pPr>
              <w:adjustRightInd w:val="0"/>
              <w:snapToGrid w:val="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包预算（元）</w:t>
            </w:r>
          </w:p>
        </w:tc>
        <w:tc>
          <w:tcPr>
            <w:tcW w:w="1520" w:type="dxa"/>
            <w:tcBorders>
              <w:top w:val="single" w:color="auto" w:sz="4" w:space="0"/>
              <w:left w:val="single" w:color="auto" w:sz="4" w:space="0"/>
              <w:bottom w:val="single" w:color="auto" w:sz="4" w:space="0"/>
              <w:right w:val="single" w:color="auto" w:sz="4" w:space="0"/>
            </w:tcBorders>
            <w:vAlign w:val="center"/>
          </w:tcPr>
          <w:p w14:paraId="233C1902">
            <w:pPr>
              <w:adjustRightInd w:val="0"/>
              <w:snapToGrid w:val="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包最高限价（元）</w:t>
            </w:r>
          </w:p>
        </w:tc>
      </w:tr>
      <w:tr w14:paraId="0ACB7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61" w:type="dxa"/>
            <w:tcBorders>
              <w:top w:val="single" w:color="auto" w:sz="4" w:space="0"/>
              <w:left w:val="single" w:color="auto" w:sz="4" w:space="0"/>
              <w:bottom w:val="single" w:color="auto" w:sz="4" w:space="0"/>
              <w:right w:val="single" w:color="auto" w:sz="4" w:space="0"/>
            </w:tcBorders>
            <w:vAlign w:val="center"/>
          </w:tcPr>
          <w:p w14:paraId="2A2F0E1E">
            <w:pPr>
              <w:adjustRightInd w:val="0"/>
              <w:snapToGrid w:val="0"/>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49" w:type="dxa"/>
            <w:tcBorders>
              <w:top w:val="single" w:color="auto" w:sz="4" w:space="0"/>
              <w:left w:val="single" w:color="auto" w:sz="4" w:space="0"/>
              <w:bottom w:val="single" w:color="auto" w:sz="4" w:space="0"/>
              <w:right w:val="single" w:color="auto" w:sz="4" w:space="0"/>
            </w:tcBorders>
            <w:vAlign w:val="center"/>
          </w:tcPr>
          <w:p w14:paraId="4997A844">
            <w:pPr>
              <w:adjustRightInd w:val="0"/>
              <w:snapToGrid w:val="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豫政采(2)20250324-1</w:t>
            </w:r>
          </w:p>
        </w:tc>
        <w:tc>
          <w:tcPr>
            <w:tcW w:w="2838" w:type="dxa"/>
            <w:tcBorders>
              <w:top w:val="single" w:color="auto" w:sz="4" w:space="0"/>
              <w:left w:val="single" w:color="auto" w:sz="4" w:space="0"/>
              <w:bottom w:val="single" w:color="auto" w:sz="4" w:space="0"/>
              <w:right w:val="single" w:color="auto" w:sz="4" w:space="0"/>
            </w:tcBorders>
            <w:vAlign w:val="center"/>
          </w:tcPr>
          <w:p w14:paraId="6CE43FB0">
            <w:pPr>
              <w:adjustRightInd w:val="0"/>
              <w:snapToGrid w:val="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河南省体育局购置河南省参加第十五届全运会群众赛事代表团装备项目</w:t>
            </w:r>
          </w:p>
        </w:tc>
        <w:tc>
          <w:tcPr>
            <w:tcW w:w="1726" w:type="dxa"/>
            <w:tcBorders>
              <w:top w:val="single" w:color="auto" w:sz="4" w:space="0"/>
              <w:left w:val="single" w:color="auto" w:sz="4" w:space="0"/>
              <w:bottom w:val="single" w:color="auto" w:sz="4" w:space="0"/>
              <w:right w:val="single" w:color="auto" w:sz="4" w:space="0"/>
            </w:tcBorders>
            <w:vAlign w:val="center"/>
          </w:tcPr>
          <w:p w14:paraId="1476718C">
            <w:pPr>
              <w:adjustRightInd w:val="0"/>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1,800,000.00</w:t>
            </w:r>
          </w:p>
        </w:tc>
        <w:tc>
          <w:tcPr>
            <w:tcW w:w="1520" w:type="dxa"/>
            <w:tcBorders>
              <w:top w:val="single" w:color="auto" w:sz="4" w:space="0"/>
              <w:left w:val="single" w:color="auto" w:sz="4" w:space="0"/>
              <w:bottom w:val="single" w:color="auto" w:sz="4" w:space="0"/>
              <w:right w:val="single" w:color="auto" w:sz="4" w:space="0"/>
            </w:tcBorders>
            <w:vAlign w:val="center"/>
          </w:tcPr>
          <w:p w14:paraId="1F4895BB">
            <w:pPr>
              <w:adjustRightInd w:val="0"/>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1,800,000.00</w:t>
            </w:r>
          </w:p>
        </w:tc>
      </w:tr>
    </w:tbl>
    <w:p w14:paraId="49E6DFF7">
      <w:pPr>
        <w:adjustRightInd w:val="0"/>
        <w:snapToGrid w:val="0"/>
        <w:spacing w:before="190" w:beforeLines="50"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5.采购需求：（包括但不限于标的的名称、数量、简要技术需求或服务要求等）</w:t>
      </w:r>
    </w:p>
    <w:p w14:paraId="0DF2CC1B">
      <w:pPr>
        <w:adjustRightInd w:val="0"/>
        <w:snapToGrid w:val="0"/>
        <w:spacing w:line="360" w:lineRule="auto"/>
        <w:ind w:firstLine="420" w:firstLineChars="200"/>
        <w:outlineLvl w:val="2"/>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5.1项目内容：</w:t>
      </w:r>
      <w:r>
        <w:rPr>
          <w:rFonts w:hint="eastAsia" w:ascii="宋体" w:hAnsi="宋体" w:eastAsia="宋体" w:cs="宋体"/>
          <w:color w:val="auto"/>
          <w:sz w:val="21"/>
          <w:szCs w:val="21"/>
          <w:highlight w:val="none"/>
          <w:lang w:eastAsia="zh-CN"/>
        </w:rPr>
        <w:t>河南省参加第十五届全运会群众赛事活动代表团服装项目，</w:t>
      </w:r>
      <w:r>
        <w:rPr>
          <w:rFonts w:hint="eastAsia" w:ascii="宋体" w:hAnsi="宋体" w:eastAsia="宋体" w:cs="宋体"/>
          <w:color w:val="auto"/>
          <w:sz w:val="21"/>
          <w:szCs w:val="21"/>
          <w:highlight w:val="none"/>
          <w:lang w:val="en-US" w:eastAsia="zh-CN"/>
        </w:rPr>
        <w:t>预算金额4000元/套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装备发放对象为进入决赛阶段的运动员、教练员以及代表团等相关人员每人一套。</w:t>
      </w:r>
      <w:r>
        <w:rPr>
          <w:rFonts w:hint="eastAsia" w:ascii="宋体" w:hAnsi="宋体" w:eastAsia="宋体" w:cs="宋体"/>
          <w:color w:val="auto"/>
          <w:sz w:val="21"/>
          <w:szCs w:val="21"/>
          <w:highlight w:val="none"/>
          <w:lang w:eastAsia="zh-CN"/>
        </w:rPr>
        <w:t>每套装备包括风衣1</w:t>
      </w:r>
      <w:r>
        <w:rPr>
          <w:rFonts w:hint="eastAsia" w:ascii="宋体" w:hAnsi="宋体" w:eastAsia="宋体" w:cs="宋体"/>
          <w:color w:val="auto"/>
          <w:sz w:val="21"/>
          <w:szCs w:val="21"/>
          <w:highlight w:val="none"/>
          <w:lang w:val="en-US" w:eastAsia="zh-CN"/>
        </w:rPr>
        <w:t>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防晒衣1件、</w:t>
      </w:r>
      <w:r>
        <w:rPr>
          <w:rFonts w:hint="eastAsia" w:ascii="宋体" w:hAnsi="宋体" w:eastAsia="宋体" w:cs="宋体"/>
          <w:color w:val="auto"/>
          <w:sz w:val="21"/>
          <w:szCs w:val="21"/>
          <w:highlight w:val="none"/>
          <w:lang w:eastAsia="zh-CN"/>
        </w:rPr>
        <w:t>领奖服1</w:t>
      </w:r>
      <w:r>
        <w:rPr>
          <w:rFonts w:hint="eastAsia" w:ascii="宋体" w:hAnsi="宋体" w:eastAsia="宋体" w:cs="宋体"/>
          <w:color w:val="auto"/>
          <w:sz w:val="21"/>
          <w:szCs w:val="21"/>
          <w:highlight w:val="none"/>
          <w:lang w:val="en-US" w:eastAsia="zh-CN"/>
        </w:rPr>
        <w:t>套</w:t>
      </w:r>
      <w:r>
        <w:rPr>
          <w:rFonts w:hint="eastAsia" w:ascii="宋体" w:hAnsi="宋体" w:eastAsia="宋体" w:cs="宋体"/>
          <w:color w:val="auto"/>
          <w:sz w:val="21"/>
          <w:szCs w:val="21"/>
          <w:highlight w:val="none"/>
          <w:lang w:eastAsia="zh-CN"/>
        </w:rPr>
        <w:t>、翻领短袖T恤</w:t>
      </w:r>
      <w:r>
        <w:rPr>
          <w:rFonts w:hint="eastAsia" w:ascii="宋体" w:hAnsi="宋体" w:eastAsia="宋体" w:cs="宋体"/>
          <w:color w:val="auto"/>
          <w:sz w:val="21"/>
          <w:szCs w:val="21"/>
          <w:highlight w:val="none"/>
          <w:lang w:val="en-US" w:eastAsia="zh-CN"/>
        </w:rPr>
        <w:t>2件</w:t>
      </w:r>
      <w:r>
        <w:rPr>
          <w:rFonts w:hint="eastAsia" w:ascii="宋体" w:hAnsi="宋体" w:eastAsia="宋体" w:cs="宋体"/>
          <w:color w:val="auto"/>
          <w:sz w:val="21"/>
          <w:szCs w:val="21"/>
          <w:highlight w:val="none"/>
          <w:lang w:eastAsia="zh-CN"/>
        </w:rPr>
        <w:t>、圆领短袖T恤</w:t>
      </w:r>
      <w:r>
        <w:rPr>
          <w:rFonts w:hint="eastAsia" w:ascii="宋体" w:hAnsi="宋体" w:eastAsia="宋体" w:cs="宋体"/>
          <w:color w:val="auto"/>
          <w:sz w:val="21"/>
          <w:szCs w:val="21"/>
          <w:highlight w:val="none"/>
          <w:lang w:val="en-US" w:eastAsia="zh-CN"/>
        </w:rPr>
        <w:t>2件</w:t>
      </w:r>
      <w:r>
        <w:rPr>
          <w:rFonts w:hint="eastAsia" w:ascii="宋体" w:hAnsi="宋体" w:eastAsia="宋体" w:cs="宋体"/>
          <w:color w:val="auto"/>
          <w:sz w:val="21"/>
          <w:szCs w:val="21"/>
          <w:highlight w:val="none"/>
          <w:lang w:eastAsia="zh-CN"/>
        </w:rPr>
        <w:t>、运动短裤2</w:t>
      </w:r>
      <w:r>
        <w:rPr>
          <w:rFonts w:hint="eastAsia" w:ascii="宋体" w:hAnsi="宋体" w:eastAsia="宋体" w:cs="宋体"/>
          <w:color w:val="auto"/>
          <w:sz w:val="21"/>
          <w:szCs w:val="21"/>
          <w:highlight w:val="none"/>
          <w:lang w:val="en-US" w:eastAsia="zh-CN"/>
        </w:rPr>
        <w:t>条</w:t>
      </w:r>
      <w:r>
        <w:rPr>
          <w:rFonts w:hint="eastAsia" w:ascii="宋体" w:hAnsi="宋体" w:eastAsia="宋体" w:cs="宋体"/>
          <w:color w:val="auto"/>
          <w:sz w:val="21"/>
          <w:szCs w:val="21"/>
          <w:highlight w:val="none"/>
          <w:lang w:eastAsia="zh-CN"/>
        </w:rPr>
        <w:t>、运动鞋1</w:t>
      </w:r>
      <w:r>
        <w:rPr>
          <w:rFonts w:hint="eastAsia" w:ascii="宋体" w:hAnsi="宋体" w:eastAsia="宋体" w:cs="宋体"/>
          <w:color w:val="auto"/>
          <w:sz w:val="21"/>
          <w:szCs w:val="21"/>
          <w:highlight w:val="none"/>
          <w:lang w:val="en-US" w:eastAsia="zh-CN"/>
        </w:rPr>
        <w:t>双</w:t>
      </w:r>
      <w:r>
        <w:rPr>
          <w:rFonts w:hint="eastAsia" w:ascii="宋体" w:hAnsi="宋体" w:eastAsia="宋体" w:cs="宋体"/>
          <w:color w:val="auto"/>
          <w:sz w:val="21"/>
          <w:szCs w:val="21"/>
          <w:highlight w:val="none"/>
          <w:lang w:eastAsia="zh-CN"/>
        </w:rPr>
        <w:t>、运动袜2</w:t>
      </w:r>
      <w:r>
        <w:rPr>
          <w:rFonts w:hint="eastAsia" w:ascii="宋体" w:hAnsi="宋体" w:eastAsia="宋体" w:cs="宋体"/>
          <w:color w:val="auto"/>
          <w:sz w:val="21"/>
          <w:szCs w:val="21"/>
          <w:highlight w:val="none"/>
          <w:lang w:val="en-US" w:eastAsia="zh-CN"/>
        </w:rPr>
        <w:t>双</w:t>
      </w:r>
      <w:r>
        <w:rPr>
          <w:rFonts w:hint="eastAsia" w:ascii="宋体" w:hAnsi="宋体" w:eastAsia="宋体" w:cs="宋体"/>
          <w:color w:val="auto"/>
          <w:sz w:val="21"/>
          <w:szCs w:val="21"/>
          <w:highlight w:val="none"/>
          <w:lang w:eastAsia="zh-CN"/>
        </w:rPr>
        <w:t>、拖鞋1</w:t>
      </w:r>
      <w:r>
        <w:rPr>
          <w:rFonts w:hint="eastAsia" w:ascii="宋体" w:hAnsi="宋体" w:eastAsia="宋体" w:cs="宋体"/>
          <w:color w:val="auto"/>
          <w:sz w:val="21"/>
          <w:szCs w:val="21"/>
          <w:highlight w:val="none"/>
          <w:lang w:val="en-US" w:eastAsia="zh-CN"/>
        </w:rPr>
        <w:t>双</w:t>
      </w:r>
      <w:r>
        <w:rPr>
          <w:rFonts w:hint="eastAsia" w:ascii="宋体" w:hAnsi="宋体" w:eastAsia="宋体" w:cs="宋体"/>
          <w:color w:val="auto"/>
          <w:sz w:val="21"/>
          <w:szCs w:val="21"/>
          <w:highlight w:val="none"/>
          <w:lang w:eastAsia="zh-CN"/>
        </w:rPr>
        <w:t>、运动帽1</w:t>
      </w:r>
      <w:r>
        <w:rPr>
          <w:rFonts w:hint="eastAsia" w:ascii="宋体" w:hAnsi="宋体" w:eastAsia="宋体" w:cs="宋体"/>
          <w:color w:val="auto"/>
          <w:sz w:val="21"/>
          <w:szCs w:val="21"/>
          <w:highlight w:val="none"/>
          <w:lang w:val="en-US" w:eastAsia="zh-CN"/>
        </w:rPr>
        <w:t>顶</w:t>
      </w:r>
      <w:r>
        <w:rPr>
          <w:rFonts w:hint="eastAsia" w:ascii="宋体" w:hAnsi="宋体" w:eastAsia="宋体" w:cs="宋体"/>
          <w:color w:val="auto"/>
          <w:sz w:val="21"/>
          <w:szCs w:val="21"/>
          <w:highlight w:val="none"/>
          <w:lang w:eastAsia="zh-CN"/>
        </w:rPr>
        <w:t>、斜挎包1</w:t>
      </w:r>
      <w:r>
        <w:rPr>
          <w:rFonts w:hint="eastAsia" w:ascii="宋体" w:hAnsi="宋体" w:eastAsia="宋体" w:cs="宋体"/>
          <w:color w:val="auto"/>
          <w:sz w:val="21"/>
          <w:szCs w:val="21"/>
          <w:highlight w:val="none"/>
          <w:lang w:val="en-US" w:eastAsia="zh-CN"/>
        </w:rPr>
        <w:t>个</w:t>
      </w:r>
      <w:r>
        <w:rPr>
          <w:rFonts w:hint="eastAsia" w:ascii="宋体" w:hAnsi="宋体" w:eastAsia="宋体" w:cs="宋体"/>
          <w:color w:val="auto"/>
          <w:sz w:val="21"/>
          <w:szCs w:val="21"/>
          <w:highlight w:val="none"/>
          <w:lang w:eastAsia="zh-CN"/>
        </w:rPr>
        <w:t>、双肩背包1</w:t>
      </w:r>
      <w:r>
        <w:rPr>
          <w:rFonts w:hint="eastAsia" w:ascii="宋体" w:hAnsi="宋体" w:eastAsia="宋体" w:cs="宋体"/>
          <w:color w:val="auto"/>
          <w:sz w:val="21"/>
          <w:szCs w:val="21"/>
          <w:highlight w:val="none"/>
          <w:lang w:val="en-US" w:eastAsia="zh-CN"/>
        </w:rPr>
        <w:t>个</w:t>
      </w:r>
      <w:r>
        <w:rPr>
          <w:rFonts w:hint="eastAsia" w:ascii="宋体" w:hAnsi="宋体" w:eastAsia="宋体" w:cs="宋体"/>
          <w:color w:val="auto"/>
          <w:sz w:val="21"/>
          <w:szCs w:val="21"/>
          <w:highlight w:val="none"/>
          <w:lang w:eastAsia="zh-CN"/>
        </w:rPr>
        <w:t>、拉杆箱1</w:t>
      </w:r>
      <w:r>
        <w:rPr>
          <w:rFonts w:hint="eastAsia" w:ascii="宋体" w:hAnsi="宋体" w:eastAsia="宋体" w:cs="宋体"/>
          <w:color w:val="auto"/>
          <w:sz w:val="21"/>
          <w:szCs w:val="21"/>
          <w:highlight w:val="none"/>
          <w:lang w:val="en-US" w:eastAsia="zh-CN"/>
        </w:rPr>
        <w:t>个等</w:t>
      </w:r>
      <w:r>
        <w:rPr>
          <w:rFonts w:hint="eastAsia" w:ascii="宋体" w:hAnsi="宋体" w:eastAsia="宋体" w:cs="宋体"/>
          <w:color w:val="auto"/>
          <w:sz w:val="21"/>
          <w:szCs w:val="21"/>
          <w:highlight w:val="none"/>
          <w:lang w:eastAsia="zh-CN"/>
        </w:rPr>
        <w:t>（具体内容详见磋商文件第三章）</w:t>
      </w:r>
    </w:p>
    <w:p w14:paraId="1A349AB0">
      <w:pPr>
        <w:adjustRightInd w:val="0"/>
        <w:snapToGrid w:val="0"/>
        <w:spacing w:line="360" w:lineRule="auto"/>
        <w:ind w:firstLine="420" w:firstLineChars="200"/>
        <w:outlineLvl w:val="2"/>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5.2</w:t>
      </w:r>
      <w:r>
        <w:rPr>
          <w:rFonts w:hint="eastAsia" w:ascii="宋体" w:hAnsi="宋体" w:eastAsia="宋体" w:cs="宋体"/>
          <w:color w:val="auto"/>
          <w:sz w:val="21"/>
          <w:szCs w:val="21"/>
          <w:highlight w:val="none"/>
          <w:lang w:eastAsia="zh-CN"/>
        </w:rPr>
        <w:t>质量保证期</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自验收合格使用之日起质保1年</w:t>
      </w:r>
      <w:r>
        <w:rPr>
          <w:rFonts w:hint="eastAsia" w:ascii="宋体" w:hAnsi="宋体" w:eastAsia="宋体" w:cs="宋体"/>
          <w:color w:val="auto"/>
          <w:sz w:val="21"/>
          <w:szCs w:val="21"/>
          <w:highlight w:val="none"/>
        </w:rPr>
        <w:t>；</w:t>
      </w:r>
    </w:p>
    <w:p w14:paraId="459E270E">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5.3</w:t>
      </w:r>
      <w:r>
        <w:rPr>
          <w:rFonts w:hint="eastAsia" w:ascii="宋体" w:hAnsi="宋体" w:eastAsia="宋体" w:cs="宋体"/>
          <w:color w:val="auto"/>
          <w:sz w:val="21"/>
          <w:szCs w:val="21"/>
          <w:highlight w:val="none"/>
          <w:lang w:eastAsia="zh-CN"/>
        </w:rPr>
        <w:t>交货期</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2025年4月22日起至2025年10月20日前根据采购人要求规定时间内分批次供货完成，每批次最长供货期不得超过10天。</w:t>
      </w:r>
    </w:p>
    <w:p w14:paraId="7B031972">
      <w:pPr>
        <w:adjustRightInd w:val="0"/>
        <w:snapToGrid w:val="0"/>
        <w:spacing w:line="360" w:lineRule="auto"/>
        <w:ind w:firstLine="420" w:firstLineChars="200"/>
        <w:outlineLvl w:val="2"/>
        <w:rPr>
          <w:rFonts w:hint="eastAsia" w:eastAsia="宋体"/>
          <w:color w:val="auto"/>
          <w:highlight w:val="none"/>
          <w:lang w:eastAsia="zh-CN"/>
        </w:rPr>
      </w:pPr>
      <w:r>
        <w:rPr>
          <w:rFonts w:hint="eastAsia" w:ascii="宋体" w:hAnsi="宋体" w:eastAsia="宋体" w:cs="宋体"/>
          <w:color w:val="auto"/>
          <w:sz w:val="21"/>
          <w:szCs w:val="21"/>
          <w:highlight w:val="none"/>
        </w:rPr>
        <w:t>5.4质量标准：合格，符合国家标准及采购人要求</w:t>
      </w:r>
      <w:r>
        <w:rPr>
          <w:rFonts w:hint="eastAsia" w:ascii="宋体" w:hAnsi="宋体" w:eastAsia="宋体" w:cs="宋体"/>
          <w:color w:val="auto"/>
          <w:sz w:val="21"/>
          <w:szCs w:val="21"/>
          <w:highlight w:val="none"/>
          <w:lang w:eastAsia="zh-CN"/>
        </w:rPr>
        <w:t>；</w:t>
      </w:r>
    </w:p>
    <w:p w14:paraId="592354FB">
      <w:pPr>
        <w:adjustRightInd w:val="0"/>
        <w:snapToGrid w:val="0"/>
        <w:spacing w:line="360" w:lineRule="auto"/>
        <w:ind w:firstLine="420" w:firstLineChars="200"/>
        <w:outlineLvl w:val="2"/>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5.5交货及安装地点：采购人指定地点。</w:t>
      </w:r>
    </w:p>
    <w:p w14:paraId="154C4BC2">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6.合同履行期限：</w:t>
      </w:r>
      <w:r>
        <w:rPr>
          <w:rFonts w:hint="eastAsia" w:ascii="宋体" w:hAnsi="宋体" w:eastAsia="宋体" w:cs="宋体"/>
          <w:color w:val="auto"/>
          <w:sz w:val="21"/>
          <w:szCs w:val="21"/>
          <w:highlight w:val="none"/>
          <w:lang w:val="en-US" w:eastAsia="zh-CN"/>
        </w:rPr>
        <w:t>同交货期</w:t>
      </w:r>
      <w:r>
        <w:rPr>
          <w:rFonts w:hint="eastAsia" w:ascii="宋体" w:hAnsi="宋体" w:eastAsia="宋体" w:cs="宋体"/>
          <w:color w:val="auto"/>
          <w:sz w:val="21"/>
          <w:szCs w:val="21"/>
          <w:highlight w:val="none"/>
        </w:rPr>
        <w:t>；</w:t>
      </w:r>
    </w:p>
    <w:p w14:paraId="0978DD69">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7.本项目是否接受联合体：否；</w:t>
      </w:r>
    </w:p>
    <w:p w14:paraId="1E0C5D15">
      <w:pPr>
        <w:adjustRightInd w:val="0"/>
        <w:snapToGrid w:val="0"/>
        <w:spacing w:line="360" w:lineRule="auto"/>
        <w:ind w:firstLine="420" w:firstLineChars="200"/>
        <w:rPr>
          <w:rFonts w:hint="eastAsia" w:ascii="宋体" w:hAnsi="宋体" w:eastAsia="宋体" w:cs="宋体"/>
          <w:color w:val="auto"/>
          <w:sz w:val="21"/>
          <w:szCs w:val="21"/>
          <w:highlight w:val="none"/>
          <w:lang w:eastAsia="zh-CN"/>
        </w:rPr>
      </w:pPr>
      <w:bookmarkStart w:id="12" w:name="_Toc46215479"/>
      <w:r>
        <w:rPr>
          <w:rFonts w:hint="eastAsia" w:ascii="宋体" w:hAnsi="宋体" w:eastAsia="宋体" w:cs="宋体"/>
          <w:color w:val="auto"/>
          <w:sz w:val="21"/>
          <w:szCs w:val="21"/>
          <w:highlight w:val="none"/>
        </w:rPr>
        <w:t>8.是否接受进口产品：</w:t>
      </w:r>
      <w:bookmarkEnd w:id="12"/>
      <w:r>
        <w:rPr>
          <w:rFonts w:hint="eastAsia" w:ascii="宋体" w:hAnsi="宋体" w:eastAsia="宋体" w:cs="宋体"/>
          <w:color w:val="auto"/>
          <w:sz w:val="21"/>
          <w:szCs w:val="21"/>
          <w:highlight w:val="none"/>
        </w:rPr>
        <w:t>否</w:t>
      </w:r>
      <w:r>
        <w:rPr>
          <w:rFonts w:hint="eastAsia" w:ascii="宋体" w:hAnsi="宋体" w:eastAsia="宋体" w:cs="宋体"/>
          <w:color w:val="auto"/>
          <w:sz w:val="21"/>
          <w:szCs w:val="21"/>
          <w:highlight w:val="none"/>
          <w:lang w:eastAsia="zh-CN"/>
        </w:rPr>
        <w:t>；</w:t>
      </w:r>
    </w:p>
    <w:p w14:paraId="7BAED6C7">
      <w:pPr>
        <w:adjustRightInd w:val="0"/>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是否专门面向中小企业：</w:t>
      </w:r>
      <w:r>
        <w:rPr>
          <w:rFonts w:hint="eastAsia" w:ascii="宋体" w:hAnsi="宋体" w:eastAsia="宋体" w:cs="宋体"/>
          <w:color w:val="auto"/>
          <w:sz w:val="21"/>
          <w:szCs w:val="21"/>
          <w:highlight w:val="none"/>
          <w:lang w:val="en-US" w:eastAsia="zh-CN"/>
        </w:rPr>
        <w:t>否</w:t>
      </w:r>
      <w:r>
        <w:rPr>
          <w:rFonts w:hint="eastAsia" w:ascii="宋体" w:hAnsi="宋体" w:eastAsia="宋体" w:cs="宋体"/>
          <w:color w:val="auto"/>
          <w:sz w:val="21"/>
          <w:szCs w:val="21"/>
          <w:highlight w:val="none"/>
          <w:lang w:eastAsia="zh-CN"/>
        </w:rPr>
        <w:t>。</w:t>
      </w:r>
    </w:p>
    <w:p w14:paraId="650EE061">
      <w:pPr>
        <w:adjustRightInd w:val="0"/>
        <w:snapToGrid w:val="0"/>
        <w:spacing w:line="360" w:lineRule="auto"/>
        <w:ind w:firstLine="420" w:firstLineChars="200"/>
        <w:outlineLvl w:val="1"/>
        <w:rPr>
          <w:rFonts w:ascii="宋体" w:hAnsi="宋体" w:eastAsia="宋体" w:cs="宋体"/>
          <w:color w:val="auto"/>
          <w:sz w:val="21"/>
          <w:szCs w:val="21"/>
          <w:highlight w:val="none"/>
        </w:rPr>
      </w:pPr>
      <w:bookmarkStart w:id="13" w:name="_Toc32379"/>
      <w:bookmarkStart w:id="14" w:name="_Toc31759"/>
      <w:r>
        <w:rPr>
          <w:rFonts w:hint="eastAsia" w:ascii="宋体" w:hAnsi="宋体" w:eastAsia="宋体" w:cs="宋体"/>
          <w:color w:val="auto"/>
          <w:sz w:val="21"/>
          <w:szCs w:val="21"/>
          <w:highlight w:val="none"/>
        </w:rPr>
        <w:t>二、申请人资格要求：</w:t>
      </w:r>
      <w:bookmarkEnd w:id="13"/>
      <w:bookmarkEnd w:id="14"/>
    </w:p>
    <w:p w14:paraId="52CFAA40">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1.满足《中华人民共和国政府采购法》第二十二条规定；</w:t>
      </w:r>
    </w:p>
    <w:p w14:paraId="4F43D768">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2.落实政府采购政策满足的资格要求：无</w:t>
      </w:r>
    </w:p>
    <w:p w14:paraId="71FA6F37">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3.本项目的特定资格要求：</w:t>
      </w:r>
    </w:p>
    <w:p w14:paraId="2CD1A4B2">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（1）对被列入失信被执行人、重大税收违法失信主体、政府采购严重违法失信行为记录名单的供应商，拒绝其参与政府采购活动；</w:t>
      </w:r>
    </w:p>
    <w:p w14:paraId="75C690A9">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（2）单位负责人为同一人或者存在直接控股、管理关系的不同供应商，不得参加同一合同项下的政府采购活动。</w:t>
      </w:r>
    </w:p>
    <w:p w14:paraId="356A3A68">
      <w:pPr>
        <w:adjustRightInd w:val="0"/>
        <w:snapToGrid w:val="0"/>
        <w:spacing w:line="360" w:lineRule="auto"/>
        <w:ind w:firstLine="420" w:firstLineChars="200"/>
        <w:outlineLvl w:val="1"/>
        <w:rPr>
          <w:rFonts w:ascii="宋体" w:hAnsi="宋体" w:eastAsia="宋体" w:cs="宋体"/>
          <w:color w:val="auto"/>
          <w:sz w:val="21"/>
          <w:szCs w:val="21"/>
          <w:highlight w:val="none"/>
        </w:rPr>
      </w:pPr>
      <w:bookmarkStart w:id="15" w:name="_Toc9556"/>
      <w:bookmarkStart w:id="16" w:name="_Toc6081"/>
      <w:r>
        <w:rPr>
          <w:rFonts w:hint="eastAsia" w:ascii="宋体" w:hAnsi="宋体" w:eastAsia="宋体" w:cs="宋体"/>
          <w:color w:val="auto"/>
          <w:sz w:val="21"/>
          <w:szCs w:val="21"/>
          <w:highlight w:val="none"/>
        </w:rPr>
        <w:t>三、获取采购文件</w:t>
      </w:r>
      <w:bookmarkEnd w:id="15"/>
      <w:bookmarkEnd w:id="16"/>
    </w:p>
    <w:p w14:paraId="68ACDE69">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1.时间：</w:t>
      </w:r>
      <w:r>
        <w:rPr>
          <w:rFonts w:hint="eastAsia" w:ascii="宋体" w:hAnsi="宋体" w:eastAsia="宋体" w:cs="宋体"/>
          <w:color w:val="auto"/>
          <w:sz w:val="21"/>
          <w:szCs w:val="21"/>
          <w:highlight w:val="none"/>
          <w:lang w:val="en-US" w:eastAsia="zh-CN"/>
        </w:rPr>
        <w:t>2025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日至</w:t>
      </w:r>
      <w:r>
        <w:rPr>
          <w:rFonts w:hint="eastAsia" w:ascii="宋体" w:hAnsi="宋体" w:eastAsia="宋体" w:cs="宋体"/>
          <w:color w:val="auto"/>
          <w:sz w:val="21"/>
          <w:szCs w:val="21"/>
          <w:highlight w:val="none"/>
          <w:lang w:val="en-US" w:eastAsia="zh-CN"/>
        </w:rPr>
        <w:t>2025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rPr>
        <w:t>日，每天上午0</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:00至12:00，下午12:00至23:59（北京时间，法定节假日除外。）</w:t>
      </w:r>
    </w:p>
    <w:p w14:paraId="02370966">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2.地点：河南省公共资源交易中心网站（</w:t>
      </w:r>
      <w:r>
        <w:rPr>
          <w:color w:val="auto"/>
          <w:highlight w:val="none"/>
        </w:rPr>
        <w:fldChar w:fldCharType="begin"/>
      </w:r>
      <w:r>
        <w:rPr>
          <w:color w:val="auto"/>
          <w:highlight w:val="none"/>
        </w:rPr>
        <w:instrText xml:space="preserve"> HYPERLINK "http://www.hnggzy.com" </w:instrText>
      </w:r>
      <w:r>
        <w:rPr>
          <w:color w:val="auto"/>
          <w:highlight w:val="none"/>
        </w:rPr>
        <w:fldChar w:fldCharType="separate"/>
      </w:r>
      <w:r>
        <w:rPr>
          <w:rFonts w:hint="eastAsia" w:ascii="宋体" w:hAnsi="宋体" w:eastAsia="宋体" w:cs="宋体"/>
          <w:color w:val="auto"/>
          <w:sz w:val="21"/>
          <w:szCs w:val="21"/>
          <w:highlight w:val="none"/>
        </w:rPr>
        <w:t>http://www.hnggzy.net</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w:t>
      </w:r>
    </w:p>
    <w:p w14:paraId="6E9E17E3">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3.方式：登录“河南省公共资源交易中心（http://www.hnggzy.net/）”，凭企业身份认证锁（CA密钥）按网上提示进行网上下载磋商文件；</w:t>
      </w:r>
    </w:p>
    <w:p w14:paraId="5DAA0C18">
      <w:pPr>
        <w:adjustRightInd w:val="0"/>
        <w:snapToGrid w:val="0"/>
        <w:spacing w:line="360" w:lineRule="auto"/>
        <w:ind w:firstLine="420" w:firstLineChars="200"/>
        <w:outlineLvl w:val="2"/>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4.售价：0元。</w:t>
      </w:r>
    </w:p>
    <w:p w14:paraId="1EFB5623">
      <w:pPr>
        <w:adjustRightInd w:val="0"/>
        <w:snapToGrid w:val="0"/>
        <w:spacing w:line="360" w:lineRule="auto"/>
        <w:ind w:firstLine="420" w:firstLineChars="200"/>
        <w:outlineLvl w:val="1"/>
        <w:rPr>
          <w:rFonts w:ascii="宋体" w:hAnsi="宋体" w:eastAsia="宋体" w:cs="宋体"/>
          <w:color w:val="auto"/>
          <w:sz w:val="21"/>
          <w:szCs w:val="21"/>
          <w:highlight w:val="none"/>
        </w:rPr>
      </w:pPr>
      <w:bookmarkStart w:id="17" w:name="_Toc2822"/>
      <w:bookmarkStart w:id="18" w:name="_Toc31707"/>
      <w:r>
        <w:rPr>
          <w:rFonts w:hint="eastAsia" w:ascii="宋体" w:hAnsi="宋体" w:eastAsia="宋体" w:cs="宋体"/>
          <w:color w:val="auto"/>
          <w:sz w:val="21"/>
          <w:szCs w:val="21"/>
          <w:highlight w:val="none"/>
        </w:rPr>
        <w:t>四、响应文件提交</w:t>
      </w:r>
      <w:bookmarkEnd w:id="17"/>
      <w:bookmarkEnd w:id="18"/>
    </w:p>
    <w:p w14:paraId="6C778EDD">
      <w:pPr>
        <w:adjustRightInd w:val="0"/>
        <w:snapToGrid w:val="0"/>
        <w:spacing w:line="360" w:lineRule="auto"/>
        <w:ind w:firstLine="420" w:firstLineChars="200"/>
        <w:outlineLvl w:val="2"/>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1.截止时间：</w:t>
      </w:r>
      <w:r>
        <w:rPr>
          <w:rFonts w:hint="eastAsia" w:ascii="宋体" w:hAnsi="宋体" w:eastAsia="宋体" w:cs="宋体"/>
          <w:color w:val="auto"/>
          <w:sz w:val="21"/>
          <w:szCs w:val="21"/>
          <w:highlight w:val="none"/>
          <w:lang w:val="en-US" w:eastAsia="zh-CN"/>
        </w:rPr>
        <w:t>2025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rPr>
        <w:t>日上午9时00分（北京时间）</w:t>
      </w:r>
    </w:p>
    <w:p w14:paraId="45BA12DC">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2.地点：河南省公共资源交易中心</w:t>
      </w:r>
      <w:r>
        <w:rPr>
          <w:rFonts w:hint="eastAsia" w:ascii="宋体" w:hAnsi="宋体" w:eastAsia="宋体" w:cs="宋体"/>
          <w:color w:val="auto"/>
          <w:sz w:val="21"/>
          <w:szCs w:val="21"/>
          <w:highlight w:val="none"/>
          <w:lang w:eastAsia="zh-CN"/>
        </w:rPr>
        <w:t>远程开标室(五)-2</w:t>
      </w:r>
      <w:r>
        <w:rPr>
          <w:rFonts w:hint="eastAsia" w:ascii="宋体" w:hAnsi="宋体" w:eastAsia="宋体" w:cs="宋体"/>
          <w:color w:val="auto"/>
          <w:sz w:val="21"/>
          <w:szCs w:val="21"/>
          <w:highlight w:val="none"/>
        </w:rPr>
        <w:t>（经二路与纬四路向南50米路西）。</w:t>
      </w:r>
    </w:p>
    <w:p w14:paraId="1B320943">
      <w:pPr>
        <w:adjustRightInd w:val="0"/>
        <w:snapToGrid w:val="0"/>
        <w:spacing w:line="360" w:lineRule="auto"/>
        <w:ind w:firstLine="420" w:firstLineChars="200"/>
        <w:outlineLvl w:val="1"/>
        <w:rPr>
          <w:rFonts w:ascii="宋体" w:hAnsi="宋体" w:eastAsia="宋体" w:cs="宋体"/>
          <w:color w:val="auto"/>
          <w:sz w:val="21"/>
          <w:szCs w:val="21"/>
          <w:highlight w:val="none"/>
        </w:rPr>
      </w:pPr>
      <w:bookmarkStart w:id="19" w:name="_Toc11288"/>
      <w:bookmarkStart w:id="20" w:name="_Toc17607"/>
      <w:r>
        <w:rPr>
          <w:rFonts w:hint="eastAsia" w:ascii="宋体" w:hAnsi="宋体" w:eastAsia="宋体" w:cs="宋体"/>
          <w:color w:val="auto"/>
          <w:sz w:val="21"/>
          <w:szCs w:val="21"/>
          <w:highlight w:val="none"/>
        </w:rPr>
        <w:t>五、响应文件开启</w:t>
      </w:r>
      <w:bookmarkEnd w:id="19"/>
      <w:bookmarkEnd w:id="20"/>
    </w:p>
    <w:p w14:paraId="3B1A22C5">
      <w:pPr>
        <w:adjustRightInd w:val="0"/>
        <w:snapToGrid w:val="0"/>
        <w:spacing w:line="360" w:lineRule="auto"/>
        <w:ind w:firstLine="420" w:firstLineChars="200"/>
        <w:outlineLvl w:val="2"/>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1.时间：</w:t>
      </w:r>
      <w:bookmarkStart w:id="21" w:name="OLE_LINK9"/>
      <w:r>
        <w:rPr>
          <w:rFonts w:hint="eastAsia" w:ascii="宋体" w:hAnsi="宋体" w:eastAsia="宋体" w:cs="宋体"/>
          <w:color w:val="auto"/>
          <w:sz w:val="21"/>
          <w:szCs w:val="21"/>
          <w:highlight w:val="none"/>
          <w:lang w:val="en-US" w:eastAsia="zh-CN"/>
        </w:rPr>
        <w:t>2025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rPr>
        <w:t>日上午9时00分</w:t>
      </w:r>
      <w:bookmarkEnd w:id="21"/>
      <w:r>
        <w:rPr>
          <w:rFonts w:hint="eastAsia" w:ascii="宋体" w:hAnsi="宋体" w:eastAsia="宋体" w:cs="宋体"/>
          <w:color w:val="auto"/>
          <w:sz w:val="21"/>
          <w:szCs w:val="21"/>
          <w:highlight w:val="none"/>
        </w:rPr>
        <w:t>（北京时间）</w:t>
      </w:r>
    </w:p>
    <w:p w14:paraId="3B998591">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2.地点：</w:t>
      </w:r>
      <w:bookmarkStart w:id="22" w:name="OLE_LINK23"/>
      <w:r>
        <w:rPr>
          <w:rFonts w:hint="eastAsia" w:ascii="宋体" w:hAnsi="宋体" w:eastAsia="宋体" w:cs="宋体"/>
          <w:color w:val="auto"/>
          <w:sz w:val="21"/>
          <w:szCs w:val="21"/>
          <w:highlight w:val="none"/>
        </w:rPr>
        <w:t>河南省公共资源交易中心</w:t>
      </w:r>
      <w:bookmarkEnd w:id="22"/>
      <w:r>
        <w:rPr>
          <w:rFonts w:hint="eastAsia" w:ascii="宋体" w:hAnsi="宋体" w:eastAsia="宋体" w:cs="宋体"/>
          <w:color w:val="auto"/>
          <w:sz w:val="21"/>
          <w:szCs w:val="21"/>
          <w:highlight w:val="none"/>
          <w:lang w:eastAsia="zh-CN"/>
        </w:rPr>
        <w:t>远程开标室(五)-2</w:t>
      </w:r>
      <w:r>
        <w:rPr>
          <w:rFonts w:hint="eastAsia" w:ascii="宋体" w:hAnsi="宋体" w:eastAsia="宋体" w:cs="宋体"/>
          <w:color w:val="auto"/>
          <w:sz w:val="21"/>
          <w:szCs w:val="21"/>
          <w:highlight w:val="none"/>
        </w:rPr>
        <w:t>（经二路与纬四路向南50米路西）。</w:t>
      </w:r>
    </w:p>
    <w:p w14:paraId="1234C5F4">
      <w:pPr>
        <w:adjustRightInd w:val="0"/>
        <w:snapToGrid w:val="0"/>
        <w:spacing w:line="360" w:lineRule="auto"/>
        <w:ind w:firstLine="420" w:firstLineChars="200"/>
        <w:outlineLvl w:val="1"/>
        <w:rPr>
          <w:rFonts w:ascii="宋体" w:hAnsi="宋体" w:eastAsia="宋体" w:cs="宋体"/>
          <w:color w:val="auto"/>
          <w:sz w:val="21"/>
          <w:szCs w:val="21"/>
          <w:highlight w:val="none"/>
        </w:rPr>
      </w:pPr>
      <w:bookmarkStart w:id="23" w:name="_Toc15215"/>
      <w:bookmarkStart w:id="24" w:name="_Toc11891"/>
      <w:r>
        <w:rPr>
          <w:rFonts w:hint="eastAsia" w:ascii="宋体" w:hAnsi="宋体" w:eastAsia="宋体" w:cs="宋体"/>
          <w:color w:val="auto"/>
          <w:sz w:val="21"/>
          <w:szCs w:val="21"/>
          <w:highlight w:val="none"/>
        </w:rPr>
        <w:t>六、发布公告的媒介及采购公告期限</w:t>
      </w:r>
      <w:bookmarkEnd w:id="23"/>
      <w:bookmarkEnd w:id="24"/>
    </w:p>
    <w:p w14:paraId="48EE19B5">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本次公告在《河南省政府采购网》《河南省公共资源交易中心网》网站上发布。公告期限为三个工作日。</w:t>
      </w:r>
    </w:p>
    <w:p w14:paraId="53B56A7F">
      <w:pPr>
        <w:adjustRightInd w:val="0"/>
        <w:snapToGrid w:val="0"/>
        <w:spacing w:line="360" w:lineRule="auto"/>
        <w:ind w:firstLine="420" w:firstLineChars="200"/>
        <w:outlineLvl w:val="1"/>
        <w:rPr>
          <w:rFonts w:ascii="宋体" w:hAnsi="宋体" w:eastAsia="宋体" w:cs="宋体"/>
          <w:color w:val="auto"/>
          <w:sz w:val="21"/>
          <w:szCs w:val="21"/>
          <w:highlight w:val="none"/>
        </w:rPr>
      </w:pPr>
      <w:bookmarkStart w:id="25" w:name="_Toc13342"/>
      <w:bookmarkStart w:id="26" w:name="_Toc32353"/>
      <w:r>
        <w:rPr>
          <w:rFonts w:hint="eastAsia" w:ascii="宋体" w:hAnsi="宋体" w:eastAsia="宋体" w:cs="宋体"/>
          <w:color w:val="auto"/>
          <w:sz w:val="21"/>
          <w:szCs w:val="21"/>
          <w:highlight w:val="none"/>
        </w:rPr>
        <w:t>七、其他补充事宜：</w:t>
      </w:r>
      <w:bookmarkEnd w:id="25"/>
      <w:bookmarkEnd w:id="26"/>
    </w:p>
    <w:p w14:paraId="28A306CB">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7.1.本项目执行优先采购节能环保、环境标志性产品、优先采购自主创新产品，扶持不发达地区和少数民族地区，促进中小企业、监狱企业、残疾人福利性企业发展等相关政策。</w:t>
      </w:r>
    </w:p>
    <w:p w14:paraId="61087FEB">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7.2.本项目采购标的对应的中小企业划分标准所属行业</w:t>
      </w:r>
      <w:r>
        <w:rPr>
          <w:rFonts w:hint="eastAsia" w:ascii="宋体" w:hAnsi="宋体" w:eastAsia="宋体" w:cs="宋体"/>
          <w:b w:val="0"/>
          <w:bCs w:val="0"/>
          <w:color w:val="auto"/>
          <w:sz w:val="21"/>
          <w:szCs w:val="21"/>
          <w:highlight w:val="none"/>
        </w:rPr>
        <w:t>：</w:t>
      </w:r>
      <w:r>
        <w:rPr>
          <w:rFonts w:hint="eastAsia" w:ascii="宋体" w:hAnsi="宋体" w:eastAsia="宋体" w:cs="宋体"/>
          <w:b/>
          <w:bCs/>
          <w:color w:val="auto"/>
          <w:sz w:val="21"/>
          <w:szCs w:val="21"/>
          <w:highlight w:val="none"/>
          <w:u w:val="single"/>
        </w:rPr>
        <w:t>工业</w:t>
      </w:r>
      <w:r>
        <w:rPr>
          <w:rFonts w:hint="eastAsia" w:ascii="宋体" w:hAnsi="宋体" w:eastAsia="宋体" w:cs="宋体"/>
          <w:color w:val="auto"/>
          <w:sz w:val="21"/>
          <w:szCs w:val="21"/>
          <w:highlight w:val="none"/>
        </w:rPr>
        <w:t>，中小微企业划分按照《国家统计局关于印发&lt;统计上大中小微型企业划分办法（2017）&gt;的通知》（国统字〔2017〕213号）文件及《工业和信息化部、国家统计局、国家发展和改革委员会、财政部关于印发&lt;中小企业划型标准规定&gt;的通知》（工信部联企业[2011]300号）规定的划分标准为依据（符合中小企业划分标准的个体工商户，在政府采购活动中视同中小企业）。</w:t>
      </w:r>
    </w:p>
    <w:p w14:paraId="60536856">
      <w:pPr>
        <w:adjustRightInd w:val="0"/>
        <w:snapToGrid w:val="0"/>
        <w:spacing w:line="360" w:lineRule="auto"/>
        <w:ind w:firstLine="420" w:firstLineChars="200"/>
        <w:rPr>
          <w:rFonts w:ascii="宋体" w:hAnsi="宋体" w:eastAsia="宋体" w:cs="宋体"/>
          <w:color w:val="auto"/>
          <w:sz w:val="21"/>
          <w:szCs w:val="21"/>
          <w:highlight w:val="none"/>
        </w:rPr>
      </w:pPr>
      <w:bookmarkStart w:id="27" w:name="_Toc12096"/>
      <w:r>
        <w:rPr>
          <w:rFonts w:hint="eastAsia" w:ascii="宋体" w:hAnsi="宋体" w:eastAsia="宋体" w:cs="宋体"/>
          <w:color w:val="auto"/>
          <w:sz w:val="21"/>
          <w:szCs w:val="21"/>
          <w:highlight w:val="none"/>
        </w:rPr>
        <w:t>7.3.本项目支持河南省政府采购合同融资政策，详见第二章供应商须知前附表中《河南省政府采购合同融资政策告知函》。</w:t>
      </w:r>
    </w:p>
    <w:p w14:paraId="597421BB">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7.4供应商无需到河南省公共资源交易中心现场参加开标会议，无需到达现场提交原件资料。不见面服务的具体事宜请查阅河南省公共资源交易中心网站“办事指南”专区的《新交易平台使用手册（培训资料）》。</w:t>
      </w:r>
    </w:p>
    <w:p w14:paraId="495F7656">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7.5 CA数字证书及电子签章由河南省信息化发展有限公司（河南省信息安全电子认证中心）办理，办理地址为郑州市龙子湖平安大道与明理路交叉口西南角博雅广场4号楼15楼。咨询电话： 0371-86109777。</w:t>
      </w:r>
    </w:p>
    <w:p w14:paraId="16B3DD26">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7.6 招标代理服务费：</w:t>
      </w:r>
      <w:r>
        <w:rPr>
          <w:rFonts w:hint="eastAsia" w:ascii="宋体" w:hAnsi="宋体" w:eastAsia="宋体" w:cs="宋体"/>
          <w:color w:val="auto"/>
          <w:sz w:val="21"/>
          <w:szCs w:val="21"/>
          <w:highlight w:val="none"/>
          <w:lang w:eastAsia="zh-CN"/>
        </w:rPr>
        <w:t>参照河南省招标投标协会《关于印发&lt;河南省招标代理服务收费标准&gt;的通知》（豫招协[2023]002号）规定的标准收取，由中标（成交）人支付</w:t>
      </w:r>
      <w:r>
        <w:rPr>
          <w:rFonts w:hint="eastAsia" w:ascii="宋体" w:hAnsi="宋体" w:eastAsia="宋体" w:cs="宋体"/>
          <w:color w:val="auto"/>
          <w:sz w:val="21"/>
          <w:szCs w:val="21"/>
          <w:highlight w:val="none"/>
        </w:rPr>
        <w:t>。</w:t>
      </w:r>
    </w:p>
    <w:p w14:paraId="6DE438CD">
      <w:pPr>
        <w:adjustRightInd w:val="0"/>
        <w:snapToGrid w:val="0"/>
        <w:spacing w:line="360" w:lineRule="auto"/>
        <w:ind w:firstLine="420" w:firstLineChars="200"/>
        <w:outlineLvl w:val="1"/>
        <w:rPr>
          <w:rFonts w:ascii="宋体" w:hAnsi="宋体" w:eastAsia="宋体" w:cs="宋体"/>
          <w:color w:val="auto"/>
          <w:sz w:val="21"/>
          <w:szCs w:val="21"/>
          <w:highlight w:val="none"/>
        </w:rPr>
      </w:pPr>
      <w:bookmarkStart w:id="28" w:name="_Toc1172"/>
      <w:r>
        <w:rPr>
          <w:rFonts w:hint="eastAsia" w:ascii="宋体" w:hAnsi="宋体" w:eastAsia="宋体" w:cs="宋体"/>
          <w:color w:val="auto"/>
          <w:sz w:val="21"/>
          <w:szCs w:val="21"/>
          <w:highlight w:val="none"/>
        </w:rPr>
        <w:t>八、凡对本次采购提出询问，请按以下方式联系</w:t>
      </w:r>
      <w:bookmarkEnd w:id="27"/>
      <w:bookmarkEnd w:id="28"/>
    </w:p>
    <w:p w14:paraId="78D32077">
      <w:pPr>
        <w:adjustRightInd w:val="0"/>
        <w:snapToGrid w:val="0"/>
        <w:spacing w:line="360" w:lineRule="auto"/>
        <w:ind w:firstLine="420" w:firstLineChars="200"/>
        <w:outlineLvl w:val="2"/>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1.采购人信息</w:t>
      </w:r>
    </w:p>
    <w:p w14:paraId="147ABA44">
      <w:pPr>
        <w:adjustRightInd w:val="0"/>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    称：</w:t>
      </w:r>
      <w:r>
        <w:rPr>
          <w:rFonts w:hint="eastAsia" w:ascii="宋体" w:hAnsi="宋体" w:eastAsia="宋体" w:cs="宋体"/>
          <w:color w:val="auto"/>
          <w:sz w:val="21"/>
          <w:szCs w:val="21"/>
          <w:highlight w:val="none"/>
          <w:lang w:eastAsia="zh-CN"/>
        </w:rPr>
        <w:t>河南省体育局</w:t>
      </w:r>
    </w:p>
    <w:p w14:paraId="4EA8983F">
      <w:pPr>
        <w:adjustRightInd w:val="0"/>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址：</w:t>
      </w:r>
      <w:r>
        <w:rPr>
          <w:rFonts w:hint="eastAsia" w:ascii="宋体" w:hAnsi="宋体" w:eastAsia="宋体" w:cs="宋体"/>
          <w:color w:val="auto"/>
          <w:sz w:val="21"/>
          <w:szCs w:val="21"/>
          <w:highlight w:val="none"/>
          <w:lang w:eastAsia="zh-CN"/>
        </w:rPr>
        <w:t>郑州市金水区健康路150号</w:t>
      </w:r>
    </w:p>
    <w:p w14:paraId="63BFB3BE">
      <w:pPr>
        <w:adjustRightInd w:val="0"/>
        <w:snapToGrid w:val="0"/>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系</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人：</w:t>
      </w:r>
      <w:r>
        <w:rPr>
          <w:rFonts w:hint="eastAsia" w:ascii="宋体" w:hAnsi="宋体" w:eastAsia="宋体" w:cs="宋体"/>
          <w:color w:val="auto"/>
          <w:sz w:val="21"/>
          <w:szCs w:val="21"/>
          <w:highlight w:val="none"/>
          <w:lang w:val="en-US" w:eastAsia="zh-CN"/>
        </w:rPr>
        <w:t>陈老师</w:t>
      </w:r>
    </w:p>
    <w:p w14:paraId="46401155">
      <w:pPr>
        <w:adjustRightInd w:val="0"/>
        <w:snapToGrid w:val="0"/>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联系方式：0371-6386</w:t>
      </w:r>
      <w:r>
        <w:rPr>
          <w:rFonts w:hint="eastAsia" w:ascii="宋体" w:hAnsi="宋体" w:eastAsia="宋体" w:cs="宋体"/>
          <w:color w:val="auto"/>
          <w:sz w:val="21"/>
          <w:szCs w:val="21"/>
          <w:highlight w:val="none"/>
          <w:lang w:val="en-US" w:eastAsia="zh-CN"/>
        </w:rPr>
        <w:t>2538</w:t>
      </w:r>
    </w:p>
    <w:p w14:paraId="0644E6AC">
      <w:pPr>
        <w:adjustRightInd w:val="0"/>
        <w:snapToGrid w:val="0"/>
        <w:spacing w:line="360" w:lineRule="auto"/>
        <w:ind w:firstLine="420" w:firstLineChars="200"/>
        <w:outlineLvl w:val="2"/>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2.采购代理机构信息</w:t>
      </w:r>
    </w:p>
    <w:p w14:paraId="31F5ABF6">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名    称：河南省至诚招标采购服务有限公司</w:t>
      </w:r>
    </w:p>
    <w:p w14:paraId="7217CE10">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地    址：郑州市中州大道与黄河路交叉口西北角金成时代广场9号楼1103室</w:t>
      </w:r>
    </w:p>
    <w:p w14:paraId="47E5180D">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联 系 人：</w:t>
      </w:r>
      <w:r>
        <w:rPr>
          <w:rFonts w:hint="eastAsia" w:ascii="宋体" w:hAnsi="宋体" w:eastAsia="宋体" w:cs="宋体"/>
          <w:color w:val="auto"/>
          <w:sz w:val="21"/>
          <w:szCs w:val="21"/>
          <w:highlight w:val="none"/>
          <w:lang w:val="en-US" w:eastAsia="zh-CN"/>
        </w:rPr>
        <w:t>李征、张昳、陈静、陈保国、王保全</w:t>
      </w:r>
    </w:p>
    <w:p w14:paraId="6A22E312">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联系方式：0371-63868876/97</w:t>
      </w:r>
    </w:p>
    <w:p w14:paraId="3692F614">
      <w:pPr>
        <w:adjustRightInd w:val="0"/>
        <w:snapToGrid w:val="0"/>
        <w:spacing w:line="360" w:lineRule="auto"/>
        <w:ind w:firstLine="420" w:firstLineChars="200"/>
        <w:outlineLvl w:val="2"/>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3.项目联系方式</w:t>
      </w:r>
    </w:p>
    <w:p w14:paraId="6F744E5B">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项目联系人：</w:t>
      </w:r>
      <w:r>
        <w:rPr>
          <w:rFonts w:hint="eastAsia" w:ascii="宋体" w:hAnsi="宋体" w:eastAsia="宋体" w:cs="宋体"/>
          <w:color w:val="auto"/>
          <w:sz w:val="21"/>
          <w:szCs w:val="21"/>
          <w:highlight w:val="none"/>
          <w:lang w:val="en-US" w:eastAsia="zh-CN"/>
        </w:rPr>
        <w:t>李征、张昳、陈静、陈保国、王保全</w:t>
      </w:r>
    </w:p>
    <w:p w14:paraId="03A9EFFE">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电      话：0371-63868876/97</w:t>
      </w:r>
    </w:p>
    <w:p w14:paraId="66D33338">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邮</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箱：zhichengzhaobiao@126.com</w:t>
      </w:r>
    </w:p>
    <w:p w14:paraId="769D3107">
      <w:pPr>
        <w:adjustRightInd w:val="0"/>
        <w:snapToGrid w:val="0"/>
        <w:spacing w:line="360" w:lineRule="auto"/>
        <w:ind w:firstLine="420" w:firstLineChars="200"/>
        <w:rPr>
          <w:rFonts w:ascii="宋体" w:hAnsi="宋体" w:eastAsia="宋体" w:cs="宋体"/>
          <w:color w:val="auto"/>
          <w:sz w:val="21"/>
          <w:szCs w:val="21"/>
          <w:highlight w:val="none"/>
        </w:rPr>
      </w:pPr>
    </w:p>
    <w:p w14:paraId="2C10691B">
      <w:pPr>
        <w:adjustRightInd w:val="0"/>
        <w:snapToGrid w:val="0"/>
        <w:spacing w:line="360" w:lineRule="auto"/>
        <w:ind w:firstLine="420" w:firstLineChars="200"/>
        <w:rPr>
          <w:rFonts w:ascii="宋体" w:hAnsi="宋体" w:eastAsia="宋体" w:cs="宋体"/>
          <w:color w:val="auto"/>
          <w:sz w:val="21"/>
          <w:szCs w:val="21"/>
          <w:highlight w:val="none"/>
        </w:rPr>
      </w:pPr>
    </w:p>
    <w:p w14:paraId="5C5480FD">
      <w:pPr>
        <w:adjustRightInd w:val="0"/>
        <w:snapToGrid w:val="0"/>
        <w:spacing w:line="360" w:lineRule="auto"/>
        <w:ind w:firstLine="420" w:firstLineChars="200"/>
        <w:jc w:val="righ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河南省至诚招标采购服务有限公司</w:t>
      </w:r>
    </w:p>
    <w:p w14:paraId="0F4D7F46">
      <w:pPr>
        <w:adjustRightInd w:val="0"/>
        <w:snapToGrid w:val="0"/>
        <w:spacing w:line="360" w:lineRule="auto"/>
        <w:ind w:firstLine="420" w:firstLineChars="200"/>
        <w:jc w:val="righ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月</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日</w:t>
      </w:r>
    </w:p>
    <w:p w14:paraId="5447D4F5">
      <w:pPr>
        <w:adjustRightInd w:val="0"/>
        <w:snapToGrid w:val="0"/>
        <w:spacing w:line="360" w:lineRule="auto"/>
        <w:ind w:firstLine="420" w:firstLineChars="200"/>
        <w:jc w:val="right"/>
        <w:rPr>
          <w:rFonts w:ascii="宋体" w:hAnsi="宋体" w:eastAsia="宋体" w:cs="宋体"/>
          <w:color w:val="auto"/>
          <w:sz w:val="21"/>
          <w:szCs w:val="21"/>
          <w:highlight w:val="none"/>
        </w:rPr>
      </w:pPr>
    </w:p>
    <w:p w14:paraId="6DDFDE1B">
      <w:pPr>
        <w:adjustRightInd w:val="0"/>
        <w:snapToGrid w:val="0"/>
        <w:spacing w:line="360" w:lineRule="auto"/>
        <w:ind w:firstLine="482" w:firstLineChars="200"/>
        <w:rPr>
          <w:rFonts w:ascii="宋体" w:hAnsi="宋体" w:eastAsia="宋体" w:cs="宋体"/>
          <w:b/>
          <w:bCs/>
          <w:color w:val="auto"/>
          <w:szCs w:val="21"/>
          <w:highlight w:val="none"/>
        </w:rPr>
      </w:pPr>
    </w:p>
    <w:p w14:paraId="3BBCA3AE">
      <w:pPr>
        <w:rPr>
          <w:rFonts w:ascii="宋体" w:hAnsi="宋体" w:eastAsia="宋体" w:cs="宋体"/>
          <w:caps/>
          <w:color w:val="auto"/>
          <w:szCs w:val="32"/>
          <w:highlight w:val="none"/>
        </w:rPr>
      </w:pPr>
      <w:bookmarkStart w:id="29" w:name="_Toc33260053"/>
      <w:bookmarkStart w:id="30" w:name="_Toc21555"/>
      <w:bookmarkStart w:id="31" w:name="_Toc15795_WPSOffice_Level1"/>
      <w:r>
        <w:rPr>
          <w:rFonts w:hint="eastAsia" w:ascii="宋体" w:hAnsi="宋体" w:eastAsia="宋体" w:cs="宋体"/>
          <w:caps/>
          <w:color w:val="auto"/>
          <w:szCs w:val="32"/>
          <w:highlight w:val="none"/>
        </w:rPr>
        <w:br w:type="page"/>
      </w:r>
    </w:p>
    <w:bookmarkEnd w:id="29"/>
    <w:bookmarkEnd w:id="30"/>
    <w:bookmarkEnd w:id="31"/>
    <w:p w14:paraId="4A7FA91E">
      <w:pPr>
        <w:pStyle w:val="4"/>
        <w:adjustRightInd w:val="0"/>
        <w:snapToGrid w:val="0"/>
        <w:spacing w:before="0" w:after="0" w:line="360" w:lineRule="auto"/>
        <w:rPr>
          <w:rFonts w:ascii="宋体" w:hAnsi="宋体" w:eastAsia="宋体" w:cs="宋体"/>
          <w:color w:val="auto"/>
          <w:sz w:val="28"/>
          <w:szCs w:val="28"/>
          <w:highlight w:val="none"/>
        </w:rPr>
      </w:pPr>
      <w:bookmarkStart w:id="32" w:name="_Toc26277"/>
      <w:bookmarkEnd w:id="32"/>
      <w:bookmarkStart w:id="33" w:name="_Toc1897"/>
      <w:bookmarkEnd w:id="33"/>
      <w:bookmarkStart w:id="34" w:name="_Toc6082"/>
      <w:r>
        <w:rPr>
          <w:rFonts w:hint="eastAsia" w:ascii="宋体" w:hAnsi="宋体" w:eastAsia="宋体" w:cs="宋体"/>
          <w:caps/>
          <w:color w:val="auto"/>
          <w:sz w:val="28"/>
          <w:szCs w:val="28"/>
          <w:highlight w:val="none"/>
        </w:rPr>
        <w:t>第二章</w:t>
      </w:r>
      <w:r>
        <w:rPr>
          <w:rFonts w:hint="eastAsia" w:ascii="宋体" w:hAnsi="宋体" w:eastAsia="宋体" w:cs="宋体"/>
          <w:color w:val="auto"/>
          <w:sz w:val="28"/>
          <w:szCs w:val="28"/>
          <w:highlight w:val="none"/>
        </w:rPr>
        <w:t xml:space="preserve">  供应商须知</w:t>
      </w:r>
      <w:bookmarkEnd w:id="34"/>
    </w:p>
    <w:p w14:paraId="4A2DA8B8">
      <w:pPr>
        <w:pStyle w:val="5"/>
        <w:adjustRightInd w:val="0"/>
        <w:snapToGrid w:val="0"/>
        <w:spacing w:before="0" w:after="0" w:line="360" w:lineRule="auto"/>
        <w:jc w:val="center"/>
        <w:rPr>
          <w:rFonts w:ascii="宋体" w:hAnsi="宋体" w:eastAsia="宋体" w:cs="宋体"/>
          <w:color w:val="auto"/>
          <w:sz w:val="24"/>
          <w:szCs w:val="24"/>
          <w:highlight w:val="none"/>
        </w:rPr>
      </w:pPr>
      <w:bookmarkStart w:id="35" w:name="_Toc5255"/>
      <w:bookmarkEnd w:id="35"/>
      <w:bookmarkStart w:id="36" w:name="_Toc29115"/>
      <w:bookmarkEnd w:id="36"/>
      <w:bookmarkStart w:id="37" w:name="_Toc33260054"/>
      <w:bookmarkEnd w:id="37"/>
      <w:bookmarkStart w:id="38" w:name="_Toc30075"/>
      <w:bookmarkEnd w:id="38"/>
      <w:bookmarkStart w:id="39" w:name="_Toc5562"/>
      <w:r>
        <w:rPr>
          <w:rFonts w:hint="eastAsia" w:ascii="宋体" w:hAnsi="宋体" w:eastAsia="宋体" w:cs="宋体"/>
          <w:color w:val="auto"/>
          <w:sz w:val="24"/>
          <w:szCs w:val="24"/>
          <w:highlight w:val="none"/>
        </w:rPr>
        <w:t>供应商须知前附表</w:t>
      </w:r>
      <w:bookmarkEnd w:id="39"/>
    </w:p>
    <w:p w14:paraId="32FA45E3">
      <w:pPr>
        <w:adjustRightInd w:val="0"/>
        <w:snapToGrid w:val="0"/>
        <w:spacing w:line="360" w:lineRule="auto"/>
        <w:ind w:firstLine="525" w:firstLineChars="250"/>
        <w:jc w:val="left"/>
        <w:rPr>
          <w:rFonts w:ascii="宋体" w:hAnsi="宋体" w:eastAsia="宋体" w:cs="宋体"/>
          <w:b/>
          <w:color w:val="auto"/>
          <w:sz w:val="21"/>
          <w:szCs w:val="21"/>
          <w:highlight w:val="none"/>
        </w:rPr>
      </w:pPr>
      <w:r>
        <w:rPr>
          <w:rFonts w:hint="eastAsia" w:ascii="宋体" w:hAnsi="宋体" w:eastAsia="宋体" w:cs="宋体"/>
          <w:color w:val="auto"/>
          <w:sz w:val="21"/>
          <w:szCs w:val="21"/>
          <w:highlight w:val="none"/>
        </w:rPr>
        <w:t>供应商须知前附表中凡标有“*”的条款均被视为供应商必须满足的要求。供应商要特别加以注意且必须对此作出回答并完全满足这些要求，任何负偏离都有可能导致无效响应或响应文件不予接受。</w:t>
      </w:r>
    </w:p>
    <w:tbl>
      <w:tblPr>
        <w:tblStyle w:val="27"/>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1631"/>
        <w:gridCol w:w="6567"/>
      </w:tblGrid>
      <w:tr w14:paraId="107A0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016" w:type="dxa"/>
            <w:vAlign w:val="center"/>
          </w:tcPr>
          <w:p w14:paraId="23EB0A71">
            <w:pPr>
              <w:snapToGrid w:val="0"/>
              <w:jc w:val="center"/>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1631" w:type="dxa"/>
            <w:vAlign w:val="center"/>
          </w:tcPr>
          <w:p w14:paraId="47E111D8">
            <w:pPr>
              <w:snapToGrid w:val="0"/>
              <w:jc w:val="center"/>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名 称</w:t>
            </w:r>
          </w:p>
        </w:tc>
        <w:tc>
          <w:tcPr>
            <w:tcW w:w="6567" w:type="dxa"/>
            <w:vAlign w:val="center"/>
          </w:tcPr>
          <w:p w14:paraId="0F712E28">
            <w:pPr>
              <w:snapToGrid w:val="0"/>
              <w:jc w:val="center"/>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内   容</w:t>
            </w:r>
          </w:p>
        </w:tc>
      </w:tr>
      <w:tr w14:paraId="68F5D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jc w:val="center"/>
        </w:trPr>
        <w:tc>
          <w:tcPr>
            <w:tcW w:w="1016" w:type="dxa"/>
            <w:vAlign w:val="center"/>
          </w:tcPr>
          <w:p w14:paraId="335A82CE">
            <w:pPr>
              <w:snapToGrid w:val="0"/>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1.2.2</w:t>
            </w:r>
          </w:p>
        </w:tc>
        <w:tc>
          <w:tcPr>
            <w:tcW w:w="1631" w:type="dxa"/>
            <w:vAlign w:val="center"/>
          </w:tcPr>
          <w:p w14:paraId="47FE4EEA">
            <w:pPr>
              <w:wordWrap w:val="0"/>
              <w:snapToGrid w:val="0"/>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p>
        </w:tc>
        <w:tc>
          <w:tcPr>
            <w:tcW w:w="6567" w:type="dxa"/>
            <w:vAlign w:val="center"/>
          </w:tcPr>
          <w:p w14:paraId="32DD4200">
            <w:pPr>
              <w:wordWrap w:val="0"/>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lang w:eastAsia="zh-CN"/>
              </w:rPr>
              <w:t>河南省体育局</w:t>
            </w:r>
          </w:p>
          <w:p w14:paraId="54E935A3">
            <w:pPr>
              <w:wordWrap w:val="0"/>
              <w:snapToGrid w:val="0"/>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lang w:eastAsia="zh-CN"/>
              </w:rPr>
              <w:t>郑州市金水区健康路150号</w:t>
            </w:r>
          </w:p>
          <w:p w14:paraId="036BB9B9">
            <w:pPr>
              <w:wordWrap w:val="0"/>
              <w:snapToGrid w:val="0"/>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val="en-US" w:eastAsia="zh-CN"/>
              </w:rPr>
              <w:t>陈老师</w:t>
            </w:r>
          </w:p>
          <w:p w14:paraId="49B3FB08">
            <w:pPr>
              <w:wordWrap w:val="0"/>
              <w:snapToGrid w:val="0"/>
              <w:spacing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联系方式：0371-6386</w:t>
            </w:r>
            <w:r>
              <w:rPr>
                <w:rFonts w:hint="eastAsia" w:ascii="宋体" w:hAnsi="宋体" w:eastAsia="宋体" w:cs="宋体"/>
                <w:color w:val="auto"/>
                <w:sz w:val="21"/>
                <w:szCs w:val="21"/>
                <w:highlight w:val="none"/>
                <w:lang w:val="en-US" w:eastAsia="zh-CN"/>
              </w:rPr>
              <w:t>2538</w:t>
            </w:r>
          </w:p>
        </w:tc>
      </w:tr>
      <w:tr w14:paraId="43DEF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6" w:type="dxa"/>
            <w:vAlign w:val="center"/>
          </w:tcPr>
          <w:p w14:paraId="4FB8F8DE">
            <w:pPr>
              <w:snapToGrid w:val="0"/>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1.2.3</w:t>
            </w:r>
          </w:p>
        </w:tc>
        <w:tc>
          <w:tcPr>
            <w:tcW w:w="1631" w:type="dxa"/>
            <w:vAlign w:val="center"/>
          </w:tcPr>
          <w:p w14:paraId="327A849C">
            <w:pPr>
              <w:snapToGrid w:val="0"/>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采购</w:t>
            </w:r>
          </w:p>
          <w:p w14:paraId="67C95BD6">
            <w:pPr>
              <w:snapToGrid w:val="0"/>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代理机构</w:t>
            </w:r>
          </w:p>
        </w:tc>
        <w:tc>
          <w:tcPr>
            <w:tcW w:w="6567" w:type="dxa"/>
            <w:vAlign w:val="center"/>
          </w:tcPr>
          <w:p w14:paraId="4D99EEF5">
            <w:pPr>
              <w:wordWrap w:val="0"/>
              <w:snapToGrid w:val="0"/>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名  称：河南省至诚招标采购服务有限公司</w:t>
            </w:r>
          </w:p>
          <w:p w14:paraId="4B5AFFC1">
            <w:pPr>
              <w:wordWrap w:val="0"/>
              <w:snapToGrid w:val="0"/>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地址：郑州市中州大道与黄河路交叉口西北角金成时代广场9号楼1103室</w:t>
            </w:r>
          </w:p>
          <w:p w14:paraId="02E02ED5">
            <w:pPr>
              <w:wordWrap w:val="0"/>
              <w:snapToGrid w:val="0"/>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val="en-US" w:eastAsia="zh-CN"/>
              </w:rPr>
              <w:t>李征、张昳、陈静、陈保国、王保全</w:t>
            </w:r>
          </w:p>
          <w:p w14:paraId="2A90097E">
            <w:pPr>
              <w:wordWrap w:val="0"/>
              <w:snapToGrid w:val="0"/>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电  话：0371-63868876/97</w:t>
            </w:r>
          </w:p>
          <w:p w14:paraId="7E963348">
            <w:pPr>
              <w:tabs>
                <w:tab w:val="left" w:pos="840"/>
              </w:tabs>
              <w:snapToGrid w:val="0"/>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邮箱：zhichengzhaobiao@126.com</w:t>
            </w:r>
          </w:p>
        </w:tc>
      </w:tr>
      <w:tr w14:paraId="263B3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016" w:type="dxa"/>
            <w:vAlign w:val="center"/>
          </w:tcPr>
          <w:p w14:paraId="01F5C675">
            <w:pPr>
              <w:snapToGrid w:val="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1.2.4</w:t>
            </w:r>
          </w:p>
        </w:tc>
        <w:tc>
          <w:tcPr>
            <w:tcW w:w="1631" w:type="dxa"/>
            <w:vAlign w:val="center"/>
          </w:tcPr>
          <w:p w14:paraId="632C4F92">
            <w:pPr>
              <w:snapToGrid w:val="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6567" w:type="dxa"/>
            <w:vAlign w:val="center"/>
          </w:tcPr>
          <w:p w14:paraId="7F725450">
            <w:pPr>
              <w:snapToGrid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河南省体育局购置河南省参加第十五届全运会群众赛事代表团装备项目</w:t>
            </w:r>
          </w:p>
        </w:tc>
      </w:tr>
      <w:tr w14:paraId="3B25C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16" w:type="dxa"/>
            <w:vAlign w:val="center"/>
          </w:tcPr>
          <w:p w14:paraId="2C68597C">
            <w:pPr>
              <w:snapToGrid w:val="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1.2.5</w:t>
            </w:r>
          </w:p>
        </w:tc>
        <w:tc>
          <w:tcPr>
            <w:tcW w:w="1631" w:type="dxa"/>
            <w:vAlign w:val="center"/>
          </w:tcPr>
          <w:p w14:paraId="4A7ED46F">
            <w:pPr>
              <w:snapToGrid w:val="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p>
        </w:tc>
        <w:tc>
          <w:tcPr>
            <w:tcW w:w="6567" w:type="dxa"/>
            <w:vAlign w:val="center"/>
          </w:tcPr>
          <w:p w14:paraId="3BEC4C14">
            <w:pPr>
              <w:snapToGrid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豫财磋商采购-2025-182</w:t>
            </w:r>
          </w:p>
        </w:tc>
      </w:tr>
      <w:tr w14:paraId="4B819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16" w:type="dxa"/>
            <w:vAlign w:val="center"/>
          </w:tcPr>
          <w:p w14:paraId="6B4FCE16">
            <w:pPr>
              <w:snapToGrid w:val="0"/>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631" w:type="dxa"/>
            <w:vAlign w:val="center"/>
          </w:tcPr>
          <w:p w14:paraId="7E514022">
            <w:pPr>
              <w:snapToGrid w:val="0"/>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预算金额及政府采购最高限价</w:t>
            </w:r>
          </w:p>
        </w:tc>
        <w:tc>
          <w:tcPr>
            <w:tcW w:w="6567" w:type="dxa"/>
            <w:vAlign w:val="center"/>
          </w:tcPr>
          <w:p w14:paraId="336DD0A3">
            <w:pPr>
              <w:wordWrap w:val="0"/>
              <w:adjustRightInd w:val="0"/>
              <w:snapToGrid w:val="0"/>
              <w:spacing w:line="360" w:lineRule="auto"/>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预算金额：</w:t>
            </w:r>
            <w:r>
              <w:rPr>
                <w:rFonts w:hint="eastAsia" w:ascii="宋体" w:hAnsi="宋体" w:eastAsia="宋体" w:cs="宋体"/>
                <w:color w:val="auto"/>
                <w:sz w:val="21"/>
                <w:szCs w:val="21"/>
                <w:highlight w:val="none"/>
                <w:lang w:eastAsia="zh-CN"/>
              </w:rPr>
              <w:t>1,800,000.00</w:t>
            </w:r>
            <w:r>
              <w:rPr>
                <w:rFonts w:hint="eastAsia" w:ascii="宋体" w:hAnsi="宋体" w:eastAsia="宋体" w:cs="宋体"/>
                <w:color w:val="auto"/>
                <w:sz w:val="21"/>
                <w:szCs w:val="21"/>
                <w:highlight w:val="none"/>
                <w:lang w:val="en-US" w:eastAsia="zh-CN"/>
              </w:rPr>
              <w:t>元</w:t>
            </w:r>
          </w:p>
          <w:p w14:paraId="3118A2F1">
            <w:pPr>
              <w:wordWrap w:val="0"/>
              <w:adjustRightInd w:val="0"/>
              <w:snapToGrid w:val="0"/>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政府采购最高限价：</w:t>
            </w:r>
            <w:r>
              <w:rPr>
                <w:rFonts w:hint="eastAsia" w:ascii="宋体" w:hAnsi="宋体" w:eastAsia="宋体" w:cs="宋体"/>
                <w:color w:val="auto"/>
                <w:sz w:val="21"/>
                <w:szCs w:val="21"/>
                <w:highlight w:val="none"/>
                <w:lang w:eastAsia="zh-CN"/>
              </w:rPr>
              <w:t>1,800,000.00</w:t>
            </w:r>
            <w:r>
              <w:rPr>
                <w:rFonts w:hint="eastAsia" w:ascii="宋体" w:hAnsi="宋体" w:eastAsia="宋体" w:cs="宋体"/>
                <w:color w:val="auto"/>
                <w:sz w:val="21"/>
                <w:szCs w:val="21"/>
                <w:highlight w:val="none"/>
                <w:lang w:val="en-US" w:eastAsia="zh-CN"/>
              </w:rPr>
              <w:t>元</w:t>
            </w:r>
          </w:p>
          <w:p w14:paraId="41CC11AA">
            <w:pPr>
              <w:wordWrap w:val="0"/>
              <w:adjustRightInd w:val="0"/>
              <w:snapToGrid w:val="0"/>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本项目按照单价进行报价，预算金额4000元/套，</w:t>
            </w:r>
            <w:r>
              <w:rPr>
                <w:rFonts w:hint="eastAsia" w:ascii="宋体" w:hAnsi="宋体" w:eastAsia="宋体" w:cs="宋体"/>
                <w:color w:val="auto"/>
                <w:sz w:val="21"/>
                <w:szCs w:val="21"/>
                <w:highlight w:val="none"/>
              </w:rPr>
              <w:t>供应商结合企业自身情况在预算金额（政府采购最高限价）内自主报价，超过预算金额（政府采购最高限价）的报价为无效报价。</w:t>
            </w:r>
          </w:p>
        </w:tc>
      </w:tr>
      <w:tr w14:paraId="72349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16" w:type="dxa"/>
            <w:vAlign w:val="center"/>
          </w:tcPr>
          <w:p w14:paraId="2108A960">
            <w:pPr>
              <w:snapToGrid w:val="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1.4.1</w:t>
            </w:r>
          </w:p>
        </w:tc>
        <w:tc>
          <w:tcPr>
            <w:tcW w:w="1631" w:type="dxa"/>
            <w:vAlign w:val="center"/>
          </w:tcPr>
          <w:p w14:paraId="5E72B889">
            <w:pPr>
              <w:snapToGrid w:val="0"/>
              <w:jc w:val="center"/>
              <w:rPr>
                <w:rFonts w:ascii="宋体" w:hAnsi="宋体" w:eastAsia="宋体" w:cs="宋体"/>
                <w:color w:val="auto"/>
                <w:sz w:val="21"/>
                <w:szCs w:val="21"/>
                <w:highlight w:val="none"/>
              </w:rPr>
            </w:pPr>
            <w:r>
              <w:rPr>
                <w:rFonts w:hint="eastAsia" w:ascii="宋体" w:hAnsi="宋体" w:eastAsia="宋体" w:cs="宋体"/>
                <w:bCs/>
                <w:color w:val="auto"/>
                <w:sz w:val="21"/>
                <w:szCs w:val="21"/>
                <w:highlight w:val="none"/>
              </w:rPr>
              <w:t>采购内容及数量</w:t>
            </w:r>
          </w:p>
        </w:tc>
        <w:tc>
          <w:tcPr>
            <w:tcW w:w="6567" w:type="dxa"/>
            <w:vAlign w:val="center"/>
          </w:tcPr>
          <w:p w14:paraId="5862F5B1">
            <w:pPr>
              <w:tabs>
                <w:tab w:val="left" w:pos="720"/>
              </w:tabs>
              <w:snapToGrid w:val="0"/>
              <w:spacing w:line="360" w:lineRule="auto"/>
              <w:rPr>
                <w:color w:val="auto"/>
                <w:highlight w:val="none"/>
              </w:rPr>
            </w:pPr>
            <w:r>
              <w:rPr>
                <w:rFonts w:hint="eastAsia" w:ascii="宋体" w:hAnsi="宋体" w:eastAsia="宋体" w:cs="宋体"/>
                <w:color w:val="auto"/>
                <w:sz w:val="21"/>
                <w:szCs w:val="21"/>
                <w:highlight w:val="none"/>
                <w:lang w:eastAsia="zh-CN"/>
              </w:rPr>
              <w:t>河南省参加第十五届全运会群众赛事活动代表团服装项目，</w:t>
            </w:r>
            <w:r>
              <w:rPr>
                <w:rFonts w:hint="eastAsia" w:ascii="宋体" w:hAnsi="宋体" w:eastAsia="宋体" w:cs="宋体"/>
                <w:color w:val="auto"/>
                <w:sz w:val="21"/>
                <w:szCs w:val="21"/>
                <w:highlight w:val="none"/>
                <w:lang w:val="en-US" w:eastAsia="zh-CN"/>
              </w:rPr>
              <w:t>最高预算4000元/套</w:t>
            </w:r>
            <w:r>
              <w:rPr>
                <w:rFonts w:hint="eastAsia" w:ascii="宋体" w:hAnsi="宋体" w:eastAsia="宋体" w:cs="宋体"/>
                <w:color w:val="auto"/>
                <w:sz w:val="21"/>
                <w:szCs w:val="21"/>
                <w:highlight w:val="none"/>
                <w:lang w:eastAsia="zh-CN"/>
              </w:rPr>
              <w:t>，装备发放对象为进入决赛阶段的运动员、教练员以及代表团等相关人员每人一套。每套装备包括风衣1</w:t>
            </w:r>
            <w:r>
              <w:rPr>
                <w:rFonts w:hint="eastAsia" w:ascii="宋体" w:hAnsi="宋体" w:eastAsia="宋体" w:cs="宋体"/>
                <w:color w:val="auto"/>
                <w:sz w:val="21"/>
                <w:szCs w:val="21"/>
                <w:highlight w:val="none"/>
                <w:lang w:val="en-US" w:eastAsia="zh-CN"/>
              </w:rPr>
              <w:t>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防晒衣1件、</w:t>
            </w:r>
            <w:r>
              <w:rPr>
                <w:rFonts w:hint="eastAsia" w:ascii="宋体" w:hAnsi="宋体" w:eastAsia="宋体" w:cs="宋体"/>
                <w:color w:val="auto"/>
                <w:sz w:val="21"/>
                <w:szCs w:val="21"/>
                <w:highlight w:val="none"/>
                <w:lang w:eastAsia="zh-CN"/>
              </w:rPr>
              <w:t>领奖服1</w:t>
            </w:r>
            <w:r>
              <w:rPr>
                <w:rFonts w:hint="eastAsia" w:ascii="宋体" w:hAnsi="宋体" w:eastAsia="宋体" w:cs="宋体"/>
                <w:color w:val="auto"/>
                <w:sz w:val="21"/>
                <w:szCs w:val="21"/>
                <w:highlight w:val="none"/>
                <w:lang w:val="en-US" w:eastAsia="zh-CN"/>
              </w:rPr>
              <w:t>套</w:t>
            </w:r>
            <w:r>
              <w:rPr>
                <w:rFonts w:hint="eastAsia" w:ascii="宋体" w:hAnsi="宋体" w:eastAsia="宋体" w:cs="宋体"/>
                <w:color w:val="auto"/>
                <w:sz w:val="21"/>
                <w:szCs w:val="21"/>
                <w:highlight w:val="none"/>
                <w:lang w:eastAsia="zh-CN"/>
              </w:rPr>
              <w:t>、翻领短袖T恤2</w:t>
            </w:r>
            <w:r>
              <w:rPr>
                <w:rFonts w:hint="eastAsia" w:ascii="宋体" w:hAnsi="宋体" w:eastAsia="宋体" w:cs="宋体"/>
                <w:color w:val="auto"/>
                <w:sz w:val="21"/>
                <w:szCs w:val="21"/>
                <w:highlight w:val="none"/>
                <w:lang w:val="en-US" w:eastAsia="zh-CN"/>
              </w:rPr>
              <w:t>件</w:t>
            </w:r>
            <w:r>
              <w:rPr>
                <w:rFonts w:hint="eastAsia" w:ascii="宋体" w:hAnsi="宋体" w:eastAsia="宋体" w:cs="宋体"/>
                <w:color w:val="auto"/>
                <w:sz w:val="21"/>
                <w:szCs w:val="21"/>
                <w:highlight w:val="none"/>
                <w:lang w:eastAsia="zh-CN"/>
              </w:rPr>
              <w:t>、圆领短袖T恤2件、运动短裤2</w:t>
            </w:r>
            <w:r>
              <w:rPr>
                <w:rFonts w:hint="eastAsia" w:ascii="宋体" w:hAnsi="宋体" w:eastAsia="宋体" w:cs="宋体"/>
                <w:color w:val="auto"/>
                <w:sz w:val="21"/>
                <w:szCs w:val="21"/>
                <w:highlight w:val="none"/>
                <w:lang w:val="en-US" w:eastAsia="zh-CN"/>
              </w:rPr>
              <w:t>条</w:t>
            </w:r>
            <w:r>
              <w:rPr>
                <w:rFonts w:hint="eastAsia" w:ascii="宋体" w:hAnsi="宋体" w:eastAsia="宋体" w:cs="宋体"/>
                <w:color w:val="auto"/>
                <w:sz w:val="21"/>
                <w:szCs w:val="21"/>
                <w:highlight w:val="none"/>
                <w:lang w:eastAsia="zh-CN"/>
              </w:rPr>
              <w:t>、运动鞋1</w:t>
            </w:r>
            <w:r>
              <w:rPr>
                <w:rFonts w:hint="eastAsia" w:ascii="宋体" w:hAnsi="宋体" w:eastAsia="宋体" w:cs="宋体"/>
                <w:color w:val="auto"/>
                <w:sz w:val="21"/>
                <w:szCs w:val="21"/>
                <w:highlight w:val="none"/>
                <w:lang w:val="en-US" w:eastAsia="zh-CN"/>
              </w:rPr>
              <w:t>双</w:t>
            </w:r>
            <w:r>
              <w:rPr>
                <w:rFonts w:hint="eastAsia" w:ascii="宋体" w:hAnsi="宋体" w:eastAsia="宋体" w:cs="宋体"/>
                <w:color w:val="auto"/>
                <w:sz w:val="21"/>
                <w:szCs w:val="21"/>
                <w:highlight w:val="none"/>
                <w:lang w:eastAsia="zh-CN"/>
              </w:rPr>
              <w:t>、运动袜2</w:t>
            </w:r>
            <w:r>
              <w:rPr>
                <w:rFonts w:hint="eastAsia" w:ascii="宋体" w:hAnsi="宋体" w:eastAsia="宋体" w:cs="宋体"/>
                <w:color w:val="auto"/>
                <w:sz w:val="21"/>
                <w:szCs w:val="21"/>
                <w:highlight w:val="none"/>
                <w:lang w:val="en-US" w:eastAsia="zh-CN"/>
              </w:rPr>
              <w:t>双</w:t>
            </w:r>
            <w:r>
              <w:rPr>
                <w:rFonts w:hint="eastAsia" w:ascii="宋体" w:hAnsi="宋体" w:eastAsia="宋体" w:cs="宋体"/>
                <w:color w:val="auto"/>
                <w:sz w:val="21"/>
                <w:szCs w:val="21"/>
                <w:highlight w:val="none"/>
                <w:lang w:eastAsia="zh-CN"/>
              </w:rPr>
              <w:t>、拖鞋1</w:t>
            </w:r>
            <w:r>
              <w:rPr>
                <w:rFonts w:hint="eastAsia" w:ascii="宋体" w:hAnsi="宋体" w:eastAsia="宋体" w:cs="宋体"/>
                <w:color w:val="auto"/>
                <w:sz w:val="21"/>
                <w:szCs w:val="21"/>
                <w:highlight w:val="none"/>
                <w:lang w:val="en-US" w:eastAsia="zh-CN"/>
              </w:rPr>
              <w:t>双</w:t>
            </w:r>
            <w:r>
              <w:rPr>
                <w:rFonts w:hint="eastAsia" w:ascii="宋体" w:hAnsi="宋体" w:eastAsia="宋体" w:cs="宋体"/>
                <w:color w:val="auto"/>
                <w:sz w:val="21"/>
                <w:szCs w:val="21"/>
                <w:highlight w:val="none"/>
                <w:lang w:eastAsia="zh-CN"/>
              </w:rPr>
              <w:t>、运动帽1</w:t>
            </w:r>
            <w:r>
              <w:rPr>
                <w:rFonts w:hint="eastAsia" w:ascii="宋体" w:hAnsi="宋体" w:eastAsia="宋体" w:cs="宋体"/>
                <w:color w:val="auto"/>
                <w:sz w:val="21"/>
                <w:szCs w:val="21"/>
                <w:highlight w:val="none"/>
                <w:lang w:val="en-US" w:eastAsia="zh-CN"/>
              </w:rPr>
              <w:t>顶</w:t>
            </w:r>
            <w:r>
              <w:rPr>
                <w:rFonts w:hint="eastAsia" w:ascii="宋体" w:hAnsi="宋体" w:eastAsia="宋体" w:cs="宋体"/>
                <w:color w:val="auto"/>
                <w:sz w:val="21"/>
                <w:szCs w:val="21"/>
                <w:highlight w:val="none"/>
                <w:lang w:eastAsia="zh-CN"/>
              </w:rPr>
              <w:t>、斜挎包1</w:t>
            </w:r>
            <w:r>
              <w:rPr>
                <w:rFonts w:hint="eastAsia" w:ascii="宋体" w:hAnsi="宋体" w:eastAsia="宋体" w:cs="宋体"/>
                <w:color w:val="auto"/>
                <w:sz w:val="21"/>
                <w:szCs w:val="21"/>
                <w:highlight w:val="none"/>
                <w:lang w:val="en-US" w:eastAsia="zh-CN"/>
              </w:rPr>
              <w:t>个</w:t>
            </w:r>
            <w:r>
              <w:rPr>
                <w:rFonts w:hint="eastAsia" w:ascii="宋体" w:hAnsi="宋体" w:eastAsia="宋体" w:cs="宋体"/>
                <w:color w:val="auto"/>
                <w:sz w:val="21"/>
                <w:szCs w:val="21"/>
                <w:highlight w:val="none"/>
                <w:lang w:eastAsia="zh-CN"/>
              </w:rPr>
              <w:t>、双肩背包1</w:t>
            </w:r>
            <w:r>
              <w:rPr>
                <w:rFonts w:hint="eastAsia" w:ascii="宋体" w:hAnsi="宋体" w:eastAsia="宋体" w:cs="宋体"/>
                <w:color w:val="auto"/>
                <w:sz w:val="21"/>
                <w:szCs w:val="21"/>
                <w:highlight w:val="none"/>
                <w:lang w:val="en-US" w:eastAsia="zh-CN"/>
              </w:rPr>
              <w:t>个</w:t>
            </w:r>
            <w:r>
              <w:rPr>
                <w:rFonts w:hint="eastAsia" w:ascii="宋体" w:hAnsi="宋体" w:eastAsia="宋体" w:cs="宋体"/>
                <w:color w:val="auto"/>
                <w:sz w:val="21"/>
                <w:szCs w:val="21"/>
                <w:highlight w:val="none"/>
                <w:lang w:eastAsia="zh-CN"/>
              </w:rPr>
              <w:t>、拉杆箱1</w:t>
            </w:r>
            <w:r>
              <w:rPr>
                <w:rFonts w:hint="eastAsia" w:ascii="宋体" w:hAnsi="宋体" w:eastAsia="宋体" w:cs="宋体"/>
                <w:color w:val="auto"/>
                <w:sz w:val="21"/>
                <w:szCs w:val="21"/>
                <w:highlight w:val="none"/>
                <w:lang w:val="en-US" w:eastAsia="zh-CN"/>
              </w:rPr>
              <w:t>个</w:t>
            </w:r>
            <w:r>
              <w:rPr>
                <w:rFonts w:hint="eastAsia" w:ascii="宋体" w:hAnsi="宋体" w:eastAsia="宋体" w:cs="宋体"/>
                <w:color w:val="auto"/>
                <w:sz w:val="21"/>
                <w:szCs w:val="21"/>
                <w:highlight w:val="none"/>
                <w:lang w:eastAsia="zh-CN"/>
              </w:rPr>
              <w:t>等（具体内容详见</w:t>
            </w:r>
            <w:r>
              <w:rPr>
                <w:rFonts w:hint="eastAsia" w:ascii="宋体" w:hAnsi="宋体" w:eastAsia="宋体" w:cs="宋体"/>
                <w:color w:val="auto"/>
                <w:sz w:val="21"/>
                <w:szCs w:val="21"/>
                <w:highlight w:val="none"/>
                <w:lang w:val="en-US" w:eastAsia="zh-CN"/>
              </w:rPr>
              <w:t>磋商文件第三章</w:t>
            </w:r>
            <w:r>
              <w:rPr>
                <w:rFonts w:hint="eastAsia" w:ascii="宋体" w:hAnsi="宋体" w:eastAsia="宋体" w:cs="宋体"/>
                <w:color w:val="auto"/>
                <w:sz w:val="21"/>
                <w:szCs w:val="21"/>
                <w:highlight w:val="none"/>
                <w:lang w:eastAsia="zh-CN"/>
              </w:rPr>
              <w:t>）</w:t>
            </w:r>
          </w:p>
        </w:tc>
      </w:tr>
      <w:tr w14:paraId="15BDD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16" w:type="dxa"/>
            <w:vAlign w:val="center"/>
          </w:tcPr>
          <w:p w14:paraId="1F243067">
            <w:pPr>
              <w:snapToGrid w:val="0"/>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1.4.2</w:t>
            </w:r>
          </w:p>
        </w:tc>
        <w:tc>
          <w:tcPr>
            <w:tcW w:w="1631" w:type="dxa"/>
            <w:vAlign w:val="center"/>
          </w:tcPr>
          <w:p w14:paraId="64E98338">
            <w:pPr>
              <w:snapToGrid w:val="0"/>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包段划分</w:t>
            </w:r>
          </w:p>
        </w:tc>
        <w:tc>
          <w:tcPr>
            <w:tcW w:w="6567" w:type="dxa"/>
            <w:vAlign w:val="center"/>
          </w:tcPr>
          <w:p w14:paraId="14CE0972">
            <w:pPr>
              <w:snapToGrid w:val="0"/>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本次采购共1个包（段）。</w:t>
            </w:r>
          </w:p>
        </w:tc>
      </w:tr>
      <w:tr w14:paraId="6A55B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016" w:type="dxa"/>
            <w:vAlign w:val="center"/>
          </w:tcPr>
          <w:p w14:paraId="7795AFAA">
            <w:pPr>
              <w:snapToGrid w:val="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1.4.3</w:t>
            </w:r>
          </w:p>
        </w:tc>
        <w:tc>
          <w:tcPr>
            <w:tcW w:w="1631" w:type="dxa"/>
            <w:vAlign w:val="center"/>
          </w:tcPr>
          <w:p w14:paraId="3D690839">
            <w:pPr>
              <w:snapToGrid w:val="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交货期</w:t>
            </w:r>
          </w:p>
        </w:tc>
        <w:tc>
          <w:tcPr>
            <w:tcW w:w="6567" w:type="dxa"/>
            <w:vAlign w:val="center"/>
          </w:tcPr>
          <w:p w14:paraId="06D759A1">
            <w:pPr>
              <w:tabs>
                <w:tab w:val="left" w:pos="720"/>
              </w:tabs>
              <w:snapToGrid w:val="0"/>
              <w:spacing w:line="360" w:lineRule="auto"/>
              <w:rPr>
                <w:rFonts w:hint="eastAsia" w:eastAsia="宋体"/>
                <w:color w:val="auto"/>
                <w:highlight w:val="none"/>
                <w:lang w:eastAsia="zh-CN"/>
              </w:rPr>
            </w:pPr>
            <w:r>
              <w:rPr>
                <w:rFonts w:hint="eastAsia" w:ascii="宋体" w:hAnsi="宋体" w:eastAsia="宋体" w:cs="宋体"/>
                <w:color w:val="auto"/>
                <w:sz w:val="21"/>
                <w:szCs w:val="21"/>
                <w:highlight w:val="none"/>
                <w:lang w:val="en-US" w:eastAsia="zh-CN"/>
              </w:rPr>
              <w:t>2025年4月22日起至2025年10月20日前根据采购人要求规定时间内分批次供货完成，每批次最长供货期不得超过10天。</w:t>
            </w:r>
          </w:p>
        </w:tc>
      </w:tr>
      <w:tr w14:paraId="0B021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16" w:type="dxa"/>
            <w:vAlign w:val="center"/>
          </w:tcPr>
          <w:p w14:paraId="264D2E1E">
            <w:pPr>
              <w:snapToGrid w:val="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1.4.4</w:t>
            </w:r>
          </w:p>
        </w:tc>
        <w:tc>
          <w:tcPr>
            <w:tcW w:w="1631" w:type="dxa"/>
            <w:vAlign w:val="center"/>
          </w:tcPr>
          <w:p w14:paraId="0DE7DD5A">
            <w:pPr>
              <w:snapToGrid w:val="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质量标准</w:t>
            </w:r>
          </w:p>
        </w:tc>
        <w:tc>
          <w:tcPr>
            <w:tcW w:w="6567" w:type="dxa"/>
            <w:vAlign w:val="center"/>
          </w:tcPr>
          <w:p w14:paraId="4B2D6268">
            <w:pPr>
              <w:snapToGrid w:val="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合格，符合国家标准及采购人要求。</w:t>
            </w:r>
          </w:p>
        </w:tc>
      </w:tr>
      <w:tr w14:paraId="11A25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16" w:type="dxa"/>
            <w:vAlign w:val="center"/>
          </w:tcPr>
          <w:p w14:paraId="3D799303">
            <w:pPr>
              <w:snapToGrid w:val="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1.4.5</w:t>
            </w:r>
          </w:p>
        </w:tc>
        <w:tc>
          <w:tcPr>
            <w:tcW w:w="1631" w:type="dxa"/>
            <w:vAlign w:val="center"/>
          </w:tcPr>
          <w:p w14:paraId="664A4BE2">
            <w:pPr>
              <w:snapToGrid w:val="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质量保证期</w:t>
            </w:r>
          </w:p>
        </w:tc>
        <w:tc>
          <w:tcPr>
            <w:tcW w:w="6567" w:type="dxa"/>
            <w:vAlign w:val="center"/>
          </w:tcPr>
          <w:p w14:paraId="29056E49">
            <w:pPr>
              <w:snapToGrid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自验收合格使用之日起质保 1 年。</w:t>
            </w:r>
          </w:p>
        </w:tc>
      </w:tr>
      <w:tr w14:paraId="5DBDD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16" w:type="dxa"/>
            <w:vAlign w:val="center"/>
          </w:tcPr>
          <w:p w14:paraId="5DFF4E9C">
            <w:pPr>
              <w:snapToGrid w:val="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1.4.6</w:t>
            </w:r>
          </w:p>
        </w:tc>
        <w:tc>
          <w:tcPr>
            <w:tcW w:w="1631" w:type="dxa"/>
            <w:vAlign w:val="center"/>
          </w:tcPr>
          <w:p w14:paraId="194F119D">
            <w:pPr>
              <w:snapToGrid w:val="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*交货及安装地点</w:t>
            </w:r>
          </w:p>
        </w:tc>
        <w:tc>
          <w:tcPr>
            <w:tcW w:w="6567" w:type="dxa"/>
            <w:vAlign w:val="center"/>
          </w:tcPr>
          <w:p w14:paraId="716EC8D1">
            <w:pPr>
              <w:snapToGrid w:val="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采购人指定地点</w:t>
            </w:r>
          </w:p>
        </w:tc>
      </w:tr>
      <w:tr w14:paraId="71335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16" w:type="dxa"/>
            <w:vAlign w:val="center"/>
          </w:tcPr>
          <w:p w14:paraId="58D9399D">
            <w:pPr>
              <w:snapToGrid w:val="0"/>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1.5.1</w:t>
            </w:r>
          </w:p>
        </w:tc>
        <w:tc>
          <w:tcPr>
            <w:tcW w:w="1631" w:type="dxa"/>
            <w:vAlign w:val="center"/>
          </w:tcPr>
          <w:p w14:paraId="0F780E49">
            <w:pPr>
              <w:snapToGrid w:val="0"/>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w:t>
            </w:r>
          </w:p>
          <w:p w14:paraId="2230E43C">
            <w:pPr>
              <w:snapToGrid w:val="0"/>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政策</w:t>
            </w:r>
          </w:p>
        </w:tc>
        <w:tc>
          <w:tcPr>
            <w:tcW w:w="6567" w:type="dxa"/>
            <w:vAlign w:val="center"/>
          </w:tcPr>
          <w:p w14:paraId="48129A8F">
            <w:pPr>
              <w:snapToGrid w:val="0"/>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执行促进中小企业发展、促进残疾人就业、支持监狱企业发展等相关政府采购政策（√ 是/  否）</w:t>
            </w:r>
          </w:p>
        </w:tc>
      </w:tr>
      <w:tr w14:paraId="5AA97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016" w:type="dxa"/>
            <w:vAlign w:val="center"/>
          </w:tcPr>
          <w:p w14:paraId="1C6F2F9B">
            <w:pPr>
              <w:snapToGrid w:val="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1.5.2</w:t>
            </w:r>
          </w:p>
        </w:tc>
        <w:tc>
          <w:tcPr>
            <w:tcW w:w="1631" w:type="dxa"/>
            <w:vAlign w:val="center"/>
          </w:tcPr>
          <w:p w14:paraId="4E9319DF">
            <w:pPr>
              <w:snapToGrid w:val="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进口产品</w:t>
            </w:r>
          </w:p>
        </w:tc>
        <w:tc>
          <w:tcPr>
            <w:tcW w:w="6567" w:type="dxa"/>
            <w:vAlign w:val="center"/>
          </w:tcPr>
          <w:p w14:paraId="352F209E">
            <w:pPr>
              <w:snapToGrid w:val="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经财政部门核准允许采购进口产品（  是/</w:t>
            </w:r>
            <w:r>
              <w:rPr>
                <w:rFonts w:hint="eastAsia" w:ascii="宋体" w:hAnsi="宋体" w:eastAsia="宋体" w:cs="宋体"/>
                <w:b/>
                <w:bCs/>
                <w:color w:val="auto"/>
                <w:sz w:val="21"/>
                <w:szCs w:val="21"/>
                <w:highlight w:val="none"/>
              </w:rPr>
              <w:t xml:space="preserve">√ </w:t>
            </w:r>
            <w:r>
              <w:rPr>
                <w:rFonts w:hint="eastAsia" w:ascii="宋体" w:hAnsi="宋体" w:eastAsia="宋体" w:cs="宋体"/>
                <w:color w:val="auto"/>
                <w:sz w:val="21"/>
                <w:szCs w:val="21"/>
                <w:highlight w:val="none"/>
              </w:rPr>
              <w:t>否）</w:t>
            </w:r>
          </w:p>
        </w:tc>
      </w:tr>
      <w:tr w14:paraId="236B8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016" w:type="dxa"/>
            <w:vAlign w:val="center"/>
          </w:tcPr>
          <w:p w14:paraId="3B353AD3">
            <w:pPr>
              <w:snapToGrid w:val="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1.5.3</w:t>
            </w:r>
          </w:p>
        </w:tc>
        <w:tc>
          <w:tcPr>
            <w:tcW w:w="1631" w:type="dxa"/>
            <w:vAlign w:val="center"/>
          </w:tcPr>
          <w:p w14:paraId="5D05CBCF">
            <w:pPr>
              <w:snapToGrid w:val="0"/>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政府强制采购的节能产品</w:t>
            </w:r>
          </w:p>
        </w:tc>
        <w:tc>
          <w:tcPr>
            <w:tcW w:w="6567" w:type="dxa"/>
            <w:vAlign w:val="center"/>
          </w:tcPr>
          <w:p w14:paraId="588708FB">
            <w:pPr>
              <w:snapToGrid w:val="0"/>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无</w:t>
            </w:r>
          </w:p>
        </w:tc>
      </w:tr>
      <w:tr w14:paraId="7DF20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16" w:type="dxa"/>
            <w:vAlign w:val="center"/>
          </w:tcPr>
          <w:p w14:paraId="60CF2E93">
            <w:pPr>
              <w:snapToGrid w:val="0"/>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1631" w:type="dxa"/>
            <w:vAlign w:val="center"/>
          </w:tcPr>
          <w:p w14:paraId="3F22F2FD">
            <w:pPr>
              <w:snapToGrid w:val="0"/>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*供应商资格要求</w:t>
            </w:r>
          </w:p>
        </w:tc>
        <w:tc>
          <w:tcPr>
            <w:tcW w:w="6567" w:type="dxa"/>
            <w:vAlign w:val="center"/>
          </w:tcPr>
          <w:p w14:paraId="21B8112E">
            <w:pPr>
              <w:wordWrap w:val="0"/>
              <w:snapToGrid w:val="0"/>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1.具有独立承担民事责任的能力</w:t>
            </w:r>
            <w:r>
              <w:rPr>
                <w:rFonts w:hint="eastAsia" w:ascii="宋体" w:hAnsi="宋体" w:eastAsia="宋体" w:cs="宋体"/>
                <w:b/>
                <w:bCs/>
                <w:color w:val="auto"/>
                <w:sz w:val="21"/>
                <w:szCs w:val="21"/>
                <w:highlight w:val="none"/>
              </w:rPr>
              <w:t>（提供有效的法人或者其他组织的营业执照等证明文件扫描件）</w:t>
            </w:r>
            <w:r>
              <w:rPr>
                <w:rFonts w:hint="eastAsia" w:ascii="宋体" w:hAnsi="宋体" w:eastAsia="宋体" w:cs="宋体"/>
                <w:color w:val="auto"/>
                <w:sz w:val="21"/>
                <w:szCs w:val="21"/>
                <w:highlight w:val="none"/>
              </w:rPr>
              <w:t>；</w:t>
            </w:r>
          </w:p>
          <w:p w14:paraId="3454D4A9">
            <w:pPr>
              <w:wordWrap w:val="0"/>
              <w:snapToGrid w:val="0"/>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2.具有良好的商业信誉和健全的财务会计制度</w:t>
            </w:r>
            <w:r>
              <w:rPr>
                <w:rFonts w:hint="eastAsia" w:ascii="宋体" w:hAnsi="宋体" w:eastAsia="宋体" w:cs="宋体"/>
                <w:b/>
                <w:bCs/>
                <w:color w:val="auto"/>
                <w:sz w:val="21"/>
                <w:szCs w:val="21"/>
                <w:highlight w:val="none"/>
              </w:rPr>
              <w:t>（提供第三方审计机构出具的</w:t>
            </w:r>
            <w:r>
              <w:rPr>
                <w:rFonts w:hint="eastAsia" w:ascii="宋体" w:hAnsi="宋体" w:eastAsia="宋体" w:cs="宋体"/>
                <w:b/>
                <w:bCs/>
                <w:color w:val="auto"/>
                <w:sz w:val="21"/>
                <w:szCs w:val="21"/>
                <w:highlight w:val="none"/>
                <w:lang w:val="en-US" w:eastAsia="zh-CN"/>
              </w:rPr>
              <w:t>2023或</w:t>
            </w:r>
            <w:r>
              <w:rPr>
                <w:rFonts w:hint="eastAsia" w:ascii="宋体" w:hAnsi="宋体" w:eastAsia="宋体" w:cs="宋体"/>
                <w:b/>
                <w:bCs/>
                <w:color w:val="auto"/>
                <w:sz w:val="21"/>
                <w:szCs w:val="21"/>
                <w:highlight w:val="none"/>
              </w:rPr>
              <w:t>202</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年度财务审计报告，若供应商成立不满一年的，可提供基本户银行出具的资信证明）</w:t>
            </w:r>
            <w:r>
              <w:rPr>
                <w:rFonts w:hint="eastAsia" w:ascii="宋体" w:hAnsi="宋体" w:eastAsia="宋体" w:cs="宋体"/>
                <w:color w:val="auto"/>
                <w:sz w:val="21"/>
                <w:szCs w:val="21"/>
                <w:highlight w:val="none"/>
              </w:rPr>
              <w:t>；</w:t>
            </w:r>
          </w:p>
          <w:p w14:paraId="49F0E8DD">
            <w:pPr>
              <w:wordWrap w:val="0"/>
              <w:snapToGrid w:val="0"/>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3.具有履行合同所必需的设备和专业技术能力；</w:t>
            </w:r>
          </w:p>
          <w:p w14:paraId="422019B3">
            <w:pPr>
              <w:wordWrap w:val="0"/>
              <w:snapToGrid w:val="0"/>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4.具有依法缴纳税收和社会保障资金的良好记录</w:t>
            </w:r>
            <w:r>
              <w:rPr>
                <w:rFonts w:hint="eastAsia" w:ascii="宋体" w:hAnsi="宋体" w:eastAsia="宋体" w:cs="宋体"/>
                <w:b/>
                <w:bCs/>
                <w:color w:val="auto"/>
                <w:sz w:val="21"/>
                <w:szCs w:val="21"/>
                <w:highlight w:val="none"/>
              </w:rPr>
              <w:t>（提供2024年</w:t>
            </w: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月1日以来任意1个月纳税凭据以及2024年</w:t>
            </w: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月1日以来任意1个月缴纳社会保险的专用收据或社会保险缴费清单（依法免税企业，应提供相关证明文件））</w:t>
            </w:r>
            <w:r>
              <w:rPr>
                <w:rFonts w:hint="eastAsia" w:ascii="宋体" w:hAnsi="宋体" w:eastAsia="宋体" w:cs="宋体"/>
                <w:color w:val="auto"/>
                <w:sz w:val="21"/>
                <w:szCs w:val="21"/>
                <w:highlight w:val="none"/>
              </w:rPr>
              <w:t>；</w:t>
            </w:r>
          </w:p>
          <w:p w14:paraId="1836696D">
            <w:pPr>
              <w:wordWrap w:val="0"/>
              <w:snapToGrid w:val="0"/>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5.参加本次政府采购活动前三年内，在经营活动中没有重大违法记录；</w:t>
            </w:r>
          </w:p>
          <w:p w14:paraId="3108AFCD">
            <w:pPr>
              <w:wordWrap w:val="0"/>
              <w:snapToGrid w:val="0"/>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6.对被列入失信被执行人、重大税收违法失信主体、政府采购严重违法失信行为记录名单供应商，拒绝其参与本次政府采购活动；</w:t>
            </w:r>
          </w:p>
          <w:p w14:paraId="568546C0">
            <w:pPr>
              <w:wordWrap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7.单位负责人为同一人或存在控股、管理关系的不同单位，不得参加同一合同项下的政府采购活动。</w:t>
            </w:r>
          </w:p>
          <w:p w14:paraId="4DFD497A">
            <w:pPr>
              <w:wordWrap w:val="0"/>
              <w:snapToGrid w:val="0"/>
              <w:spacing w:line="360" w:lineRule="auto"/>
              <w:rPr>
                <w:rFonts w:ascii="宋体" w:hAnsi="宋体" w:eastAsia="宋体" w:cs="宋体"/>
                <w:color w:val="auto"/>
                <w:sz w:val="21"/>
                <w:szCs w:val="21"/>
                <w:highlight w:val="none"/>
              </w:rPr>
            </w:pPr>
            <w:r>
              <w:rPr>
                <w:rFonts w:hint="eastAsia" w:ascii="Times New Roman" w:hAnsi="Times New Roman" w:eastAsia="宋体" w:cs="Times New Roman"/>
                <w:b/>
                <w:bCs/>
                <w:color w:val="auto"/>
                <w:sz w:val="21"/>
                <w:szCs w:val="21"/>
                <w:highlight w:val="none"/>
              </w:rPr>
              <w:t>注：以上</w:t>
            </w:r>
            <w:r>
              <w:rPr>
                <w:rFonts w:hint="eastAsia" w:ascii="Times New Roman" w:hAnsi="Times New Roman" w:eastAsia="宋体" w:cs="Times New Roman"/>
                <w:b/>
                <w:bCs/>
                <w:color w:val="auto"/>
                <w:sz w:val="21"/>
                <w:szCs w:val="21"/>
                <w:highlight w:val="none"/>
                <w:lang w:val="en-US" w:eastAsia="zh-CN"/>
              </w:rPr>
              <w:t>3、5、7</w:t>
            </w:r>
            <w:r>
              <w:rPr>
                <w:rFonts w:hint="eastAsia" w:ascii="Times New Roman" w:hAnsi="Times New Roman" w:eastAsia="宋体" w:cs="Times New Roman"/>
                <w:b/>
                <w:bCs/>
                <w:color w:val="auto"/>
                <w:sz w:val="21"/>
                <w:szCs w:val="21"/>
                <w:highlight w:val="none"/>
              </w:rPr>
              <w:t>项供应商须按</w:t>
            </w:r>
            <w:r>
              <w:rPr>
                <w:rFonts w:hint="eastAsia" w:ascii="Times New Roman" w:hAnsi="Times New Roman" w:eastAsia="宋体" w:cs="Times New Roman"/>
                <w:b/>
                <w:bCs/>
                <w:color w:val="auto"/>
                <w:sz w:val="21"/>
                <w:szCs w:val="21"/>
                <w:highlight w:val="none"/>
                <w:lang w:val="en-US" w:eastAsia="zh-CN"/>
              </w:rPr>
              <w:t>磋商</w:t>
            </w:r>
            <w:r>
              <w:rPr>
                <w:rFonts w:hint="eastAsia" w:ascii="Times New Roman" w:hAnsi="Times New Roman" w:eastAsia="宋体" w:cs="Times New Roman"/>
                <w:b/>
                <w:bCs/>
                <w:color w:val="auto"/>
                <w:sz w:val="21"/>
                <w:szCs w:val="21"/>
                <w:highlight w:val="none"/>
              </w:rPr>
              <w:t>文件第</w:t>
            </w:r>
            <w:r>
              <w:rPr>
                <w:rFonts w:hint="eastAsia" w:ascii="Times New Roman" w:hAnsi="Times New Roman" w:eastAsia="宋体" w:cs="Times New Roman"/>
                <w:b/>
                <w:bCs/>
                <w:color w:val="auto"/>
                <w:sz w:val="21"/>
                <w:szCs w:val="21"/>
                <w:highlight w:val="none"/>
                <w:lang w:val="en-US" w:eastAsia="zh-CN"/>
              </w:rPr>
              <w:t>五</w:t>
            </w:r>
            <w:r>
              <w:rPr>
                <w:rFonts w:hint="eastAsia" w:ascii="Times New Roman" w:hAnsi="Times New Roman" w:eastAsia="宋体" w:cs="Times New Roman"/>
                <w:b/>
                <w:bCs/>
                <w:color w:val="auto"/>
                <w:sz w:val="21"/>
                <w:szCs w:val="21"/>
                <w:highlight w:val="none"/>
              </w:rPr>
              <w:t xml:space="preserve">章 </w:t>
            </w:r>
            <w:r>
              <w:rPr>
                <w:rFonts w:hint="eastAsia" w:ascii="Times New Roman" w:hAnsi="Times New Roman" w:eastAsia="宋体" w:cs="Times New Roman"/>
                <w:b/>
                <w:bCs/>
                <w:color w:val="auto"/>
                <w:sz w:val="21"/>
                <w:szCs w:val="21"/>
                <w:highlight w:val="none"/>
                <w:lang w:val="en-US" w:eastAsia="zh-CN"/>
              </w:rPr>
              <w:t>附件3.1</w:t>
            </w:r>
            <w:r>
              <w:rPr>
                <w:rFonts w:hint="eastAsia" w:ascii="Times New Roman" w:hAnsi="Times New Roman" w:eastAsia="宋体" w:cs="Times New Roman"/>
                <w:b/>
                <w:bCs/>
                <w:color w:val="auto"/>
                <w:sz w:val="21"/>
                <w:szCs w:val="21"/>
                <w:highlight w:val="none"/>
              </w:rPr>
              <w:t>要求的格式提供资格声明承诺函</w:t>
            </w:r>
          </w:p>
        </w:tc>
      </w:tr>
      <w:tr w14:paraId="277D6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16" w:type="dxa"/>
            <w:vAlign w:val="center"/>
          </w:tcPr>
          <w:p w14:paraId="5C643CBC">
            <w:pPr>
              <w:snapToGrid w:val="0"/>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1.6.2（8）</w:t>
            </w:r>
          </w:p>
        </w:tc>
        <w:tc>
          <w:tcPr>
            <w:tcW w:w="1631" w:type="dxa"/>
            <w:vAlign w:val="center"/>
          </w:tcPr>
          <w:p w14:paraId="5CC3807C">
            <w:pPr>
              <w:snapToGrid w:val="0"/>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信用记录</w:t>
            </w:r>
          </w:p>
        </w:tc>
        <w:tc>
          <w:tcPr>
            <w:tcW w:w="6567" w:type="dxa"/>
            <w:vAlign w:val="center"/>
          </w:tcPr>
          <w:p w14:paraId="5A70D4E4">
            <w:pPr>
              <w:snapToGrid w:val="0"/>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根据财库〔2016〕125号文件要求，采购代理机构将查询供应商信用记录。</w:t>
            </w:r>
          </w:p>
          <w:p w14:paraId="207C12B1">
            <w:pPr>
              <w:wordWrap w:val="0"/>
              <w:snapToGrid w:val="0"/>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1.信用信息查询渠道：“信用中国”网站（www.creditchina.gov.cn）、中国政府采购网（http://www.ccgp.gov.cn)。</w:t>
            </w:r>
          </w:p>
          <w:p w14:paraId="21455D18">
            <w:pPr>
              <w:snapToGrid w:val="0"/>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2.信用信息查询截止时点：响应文件递交截止时间至资格审查结束前。  </w:t>
            </w:r>
          </w:p>
          <w:p w14:paraId="10DC04FA">
            <w:pPr>
              <w:snapToGrid w:val="0"/>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3.信用信息查询记录和证据留存的具体方式：信用信息查询记录将以网页打印稿形式与其他采购文件一并保存。 </w:t>
            </w:r>
          </w:p>
          <w:p w14:paraId="34A50FB5">
            <w:pPr>
              <w:wordWrap w:val="0"/>
              <w:snapToGrid w:val="0"/>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信用信息的使用规则：如供应商为“信用中国”网站（www.creditchina.gov.cn）中列入失信被执行人或重大税收违法失信主体的供应商，或为中国政府采购网（www.ccgp.gov.cn）政府采购严重违法失信行为记录名单中被财政部门禁止参加政府采购活动的供应商，则其响应文件将被拒绝。</w:t>
            </w:r>
          </w:p>
          <w:p w14:paraId="2E213D27">
            <w:pPr>
              <w:snapToGrid w:val="0"/>
              <w:spacing w:line="360" w:lineRule="auto"/>
              <w:ind w:firstLine="422" w:firstLineChars="20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采购代理机构查询之后，网站信息发生的任何变更均不再作为评审依据，供应商自行提供的与代理机构查询信息不一致的其他证明材料亦不作为评审依据。</w:t>
            </w:r>
          </w:p>
        </w:tc>
      </w:tr>
      <w:tr w14:paraId="48A9F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016" w:type="dxa"/>
            <w:vAlign w:val="center"/>
          </w:tcPr>
          <w:p w14:paraId="00B02820">
            <w:pPr>
              <w:snapToGrid w:val="0"/>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1.6.3</w:t>
            </w:r>
          </w:p>
        </w:tc>
        <w:tc>
          <w:tcPr>
            <w:tcW w:w="1631" w:type="dxa"/>
            <w:vAlign w:val="center"/>
          </w:tcPr>
          <w:p w14:paraId="1619503B">
            <w:pPr>
              <w:snapToGrid w:val="0"/>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是否接受联合体</w:t>
            </w:r>
          </w:p>
        </w:tc>
        <w:tc>
          <w:tcPr>
            <w:tcW w:w="6567" w:type="dxa"/>
            <w:vAlign w:val="center"/>
          </w:tcPr>
          <w:p w14:paraId="7E9CA1DB">
            <w:pPr>
              <w:snapToGrid w:val="0"/>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√不接受</w:t>
            </w:r>
          </w:p>
        </w:tc>
      </w:tr>
      <w:tr w14:paraId="4014D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16" w:type="dxa"/>
            <w:vAlign w:val="center"/>
          </w:tcPr>
          <w:p w14:paraId="041D751B">
            <w:pPr>
              <w:snapToGrid w:val="0"/>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1.11</w:t>
            </w:r>
          </w:p>
        </w:tc>
        <w:tc>
          <w:tcPr>
            <w:tcW w:w="1631" w:type="dxa"/>
            <w:vAlign w:val="center"/>
          </w:tcPr>
          <w:p w14:paraId="304D710F">
            <w:pPr>
              <w:snapToGrid w:val="0"/>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踏勘现场</w:t>
            </w:r>
          </w:p>
        </w:tc>
        <w:tc>
          <w:tcPr>
            <w:tcW w:w="6567" w:type="dxa"/>
            <w:vAlign w:val="center"/>
          </w:tcPr>
          <w:p w14:paraId="39AA288E">
            <w:pPr>
              <w:snapToGrid w:val="0"/>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√不组织，供应商自行踏勘，无论供应商对现场考察与否，都将被视为熟悉履行合同有关的一切情况。</w:t>
            </w:r>
          </w:p>
        </w:tc>
      </w:tr>
      <w:tr w14:paraId="38369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016" w:type="dxa"/>
            <w:vAlign w:val="center"/>
          </w:tcPr>
          <w:p w14:paraId="0AF5A030">
            <w:pPr>
              <w:snapToGrid w:val="0"/>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1.12.1</w:t>
            </w:r>
          </w:p>
        </w:tc>
        <w:tc>
          <w:tcPr>
            <w:tcW w:w="1631" w:type="dxa"/>
            <w:vAlign w:val="center"/>
          </w:tcPr>
          <w:p w14:paraId="2E100CEE">
            <w:pPr>
              <w:snapToGrid w:val="0"/>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采购预备会</w:t>
            </w:r>
          </w:p>
        </w:tc>
        <w:tc>
          <w:tcPr>
            <w:tcW w:w="6567" w:type="dxa"/>
            <w:vAlign w:val="center"/>
          </w:tcPr>
          <w:p w14:paraId="7C68463B">
            <w:pPr>
              <w:snapToGrid w:val="0"/>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√不召开</w:t>
            </w:r>
          </w:p>
        </w:tc>
      </w:tr>
      <w:tr w14:paraId="665EC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16" w:type="dxa"/>
            <w:vAlign w:val="center"/>
          </w:tcPr>
          <w:p w14:paraId="486ED433">
            <w:pPr>
              <w:snapToGrid w:val="0"/>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1.13</w:t>
            </w:r>
          </w:p>
        </w:tc>
        <w:tc>
          <w:tcPr>
            <w:tcW w:w="1631" w:type="dxa"/>
            <w:vAlign w:val="center"/>
          </w:tcPr>
          <w:p w14:paraId="46A290E4">
            <w:pPr>
              <w:snapToGrid w:val="0"/>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偏离</w:t>
            </w:r>
          </w:p>
        </w:tc>
        <w:tc>
          <w:tcPr>
            <w:tcW w:w="6567" w:type="dxa"/>
            <w:vAlign w:val="center"/>
          </w:tcPr>
          <w:p w14:paraId="3014DF66">
            <w:pPr>
              <w:snapToGrid w:val="0"/>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√技术参数允许负偏离，具体要求见评分办法</w:t>
            </w:r>
          </w:p>
        </w:tc>
      </w:tr>
      <w:tr w14:paraId="4920B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016" w:type="dxa"/>
            <w:vAlign w:val="center"/>
          </w:tcPr>
          <w:p w14:paraId="217C0877">
            <w:pPr>
              <w:snapToGrid w:val="0"/>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p>
        </w:tc>
        <w:tc>
          <w:tcPr>
            <w:tcW w:w="1631" w:type="dxa"/>
            <w:vAlign w:val="center"/>
          </w:tcPr>
          <w:p w14:paraId="6F693F16">
            <w:pPr>
              <w:snapToGrid w:val="0"/>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供应商提出问题或要求澄清</w:t>
            </w:r>
          </w:p>
        </w:tc>
        <w:tc>
          <w:tcPr>
            <w:tcW w:w="6567" w:type="dxa"/>
            <w:vAlign w:val="center"/>
          </w:tcPr>
          <w:p w14:paraId="676B09F8">
            <w:pPr>
              <w:snapToGrid w:val="0"/>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潜在供应商对磋商文件内容如有疑问或需要澄清的，应按竞争性磋商公告中载明的地址以书面的形式通知到采购代理机构。</w:t>
            </w:r>
          </w:p>
        </w:tc>
      </w:tr>
      <w:tr w14:paraId="1CF28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16" w:type="dxa"/>
            <w:vAlign w:val="center"/>
          </w:tcPr>
          <w:p w14:paraId="604674A8">
            <w:pPr>
              <w:snapToGrid w:val="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3.3</w:t>
            </w:r>
          </w:p>
        </w:tc>
        <w:tc>
          <w:tcPr>
            <w:tcW w:w="1631" w:type="dxa"/>
            <w:vAlign w:val="center"/>
          </w:tcPr>
          <w:p w14:paraId="5B0C5D65">
            <w:pPr>
              <w:snapToGrid w:val="0"/>
              <w:jc w:val="center"/>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Cs/>
                <w:color w:val="auto"/>
                <w:sz w:val="21"/>
                <w:szCs w:val="21"/>
                <w:highlight w:val="none"/>
              </w:rPr>
              <w:t>磋商</w:t>
            </w:r>
            <w:r>
              <w:rPr>
                <w:rFonts w:hint="eastAsia" w:ascii="宋体" w:hAnsi="宋体" w:eastAsia="宋体" w:cs="宋体"/>
                <w:color w:val="auto"/>
                <w:sz w:val="21"/>
                <w:szCs w:val="21"/>
                <w:highlight w:val="none"/>
              </w:rPr>
              <w:t>有效期</w:t>
            </w:r>
          </w:p>
        </w:tc>
        <w:tc>
          <w:tcPr>
            <w:tcW w:w="6567" w:type="dxa"/>
            <w:vAlign w:val="center"/>
          </w:tcPr>
          <w:p w14:paraId="6FB41CAB">
            <w:pPr>
              <w:snapToGrid w:val="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从响应文件提交截止之日起60日历天</w:t>
            </w:r>
          </w:p>
        </w:tc>
      </w:tr>
      <w:tr w14:paraId="6963C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016" w:type="dxa"/>
            <w:vAlign w:val="center"/>
          </w:tcPr>
          <w:p w14:paraId="50B2E549">
            <w:pPr>
              <w:snapToGrid w:val="0"/>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3.4</w:t>
            </w:r>
          </w:p>
        </w:tc>
        <w:tc>
          <w:tcPr>
            <w:tcW w:w="1631" w:type="dxa"/>
            <w:vAlign w:val="center"/>
          </w:tcPr>
          <w:p w14:paraId="425D6962">
            <w:pPr>
              <w:snapToGrid w:val="0"/>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磋商保证金</w:t>
            </w:r>
          </w:p>
        </w:tc>
        <w:tc>
          <w:tcPr>
            <w:tcW w:w="6567" w:type="dxa"/>
            <w:vAlign w:val="center"/>
          </w:tcPr>
          <w:p w14:paraId="51916068">
            <w:pPr>
              <w:snapToGrid w:val="0"/>
              <w:spacing w:line="360" w:lineRule="auto"/>
              <w:ind w:firstLine="210" w:firstLineChars="1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无</w:t>
            </w:r>
          </w:p>
        </w:tc>
      </w:tr>
      <w:tr w14:paraId="197B2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16" w:type="dxa"/>
            <w:vAlign w:val="center"/>
          </w:tcPr>
          <w:p w14:paraId="2651DB39">
            <w:pPr>
              <w:snapToGrid w:val="0"/>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4.1</w:t>
            </w:r>
          </w:p>
        </w:tc>
        <w:tc>
          <w:tcPr>
            <w:tcW w:w="1631" w:type="dxa"/>
            <w:vAlign w:val="center"/>
          </w:tcPr>
          <w:p w14:paraId="074304FC">
            <w:pPr>
              <w:snapToGrid w:val="0"/>
              <w:spacing w:line="360" w:lineRule="auto"/>
              <w:jc w:val="center"/>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Cs/>
                <w:color w:val="auto"/>
                <w:sz w:val="21"/>
                <w:szCs w:val="21"/>
                <w:highlight w:val="none"/>
              </w:rPr>
              <w:t>响应</w:t>
            </w:r>
            <w:r>
              <w:rPr>
                <w:rFonts w:hint="eastAsia" w:ascii="宋体" w:hAnsi="宋体" w:eastAsia="宋体" w:cs="宋体"/>
                <w:color w:val="auto"/>
                <w:sz w:val="21"/>
                <w:szCs w:val="21"/>
                <w:highlight w:val="none"/>
              </w:rPr>
              <w:t>文件密封和标记</w:t>
            </w:r>
          </w:p>
        </w:tc>
        <w:tc>
          <w:tcPr>
            <w:tcW w:w="6567" w:type="dxa"/>
            <w:vAlign w:val="center"/>
          </w:tcPr>
          <w:p w14:paraId="3A0A0546">
            <w:pPr>
              <w:wordWrap w:val="0"/>
              <w:adjustRightInd w:val="0"/>
              <w:snapToGrid w:val="0"/>
              <w:spacing w:line="360" w:lineRule="auto"/>
              <w:rPr>
                <w:color w:val="auto"/>
                <w:highlight w:val="none"/>
              </w:rPr>
            </w:pPr>
            <w:r>
              <w:rPr>
                <w:rFonts w:hint="eastAsia" w:ascii="宋体" w:hAnsi="宋体" w:eastAsia="宋体" w:cs="宋体"/>
                <w:color w:val="auto"/>
                <w:sz w:val="21"/>
                <w:szCs w:val="21"/>
                <w:highlight w:val="none"/>
              </w:rPr>
              <w:t>加密电子响应文件为“河南省公共资源交易中心（http://www.hnggzy.net/）”网站提供的“投标文件制作工具”软件制作生成的加密版响应文件。</w:t>
            </w:r>
          </w:p>
        </w:tc>
      </w:tr>
      <w:tr w14:paraId="0C7CE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16" w:type="dxa"/>
            <w:vAlign w:val="center"/>
          </w:tcPr>
          <w:p w14:paraId="5EC1AE61">
            <w:pPr>
              <w:snapToGrid w:val="0"/>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4.2</w:t>
            </w:r>
          </w:p>
        </w:tc>
        <w:tc>
          <w:tcPr>
            <w:tcW w:w="1631" w:type="dxa"/>
            <w:vAlign w:val="center"/>
          </w:tcPr>
          <w:p w14:paraId="396D69E8">
            <w:pPr>
              <w:snapToGrid w:val="0"/>
              <w:spacing w:line="360" w:lineRule="auto"/>
              <w:jc w:val="center"/>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Cs/>
                <w:color w:val="auto"/>
                <w:sz w:val="21"/>
                <w:szCs w:val="21"/>
                <w:highlight w:val="none"/>
              </w:rPr>
              <w:t>响应</w:t>
            </w:r>
            <w:r>
              <w:rPr>
                <w:rFonts w:hint="eastAsia" w:ascii="宋体" w:hAnsi="宋体" w:eastAsia="宋体" w:cs="宋体"/>
                <w:color w:val="auto"/>
                <w:sz w:val="21"/>
                <w:szCs w:val="21"/>
                <w:highlight w:val="none"/>
              </w:rPr>
              <w:t>文件</w:t>
            </w:r>
          </w:p>
          <w:p w14:paraId="10E4BD4B">
            <w:pPr>
              <w:snapToGrid w:val="0"/>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提交</w:t>
            </w:r>
          </w:p>
        </w:tc>
        <w:tc>
          <w:tcPr>
            <w:tcW w:w="6567" w:type="dxa"/>
            <w:vAlign w:val="center"/>
          </w:tcPr>
          <w:p w14:paraId="6429859C">
            <w:pPr>
              <w:wordWrap w:val="0"/>
              <w:snapToGrid w:val="0"/>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响应文件递交截止时间：202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月</w:t>
            </w: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lang w:eastAsia="zh-CN"/>
              </w:rPr>
              <w:t>日</w:t>
            </w:r>
            <w:r>
              <w:rPr>
                <w:rFonts w:hint="eastAsia" w:ascii="宋体" w:hAnsi="宋体" w:eastAsia="宋体" w:cs="宋体"/>
                <w:color w:val="auto"/>
                <w:sz w:val="21"/>
                <w:szCs w:val="21"/>
                <w:highlight w:val="none"/>
              </w:rPr>
              <w:t>上午9时00分（北京时间）</w:t>
            </w:r>
          </w:p>
          <w:p w14:paraId="5202F597">
            <w:pPr>
              <w:wordWrap w:val="0"/>
              <w:snapToGrid w:val="0"/>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加密电子响应文件（*.hntf格式）须在响应文件提交截止时间前通过“河南省公共资源交易中心（http://www.hnggzy.net/）”电子交易平台加密上传；</w:t>
            </w:r>
          </w:p>
          <w:p w14:paraId="7C15E0AB">
            <w:pPr>
              <w:wordWrap w:val="0"/>
              <w:snapToGrid w:val="0"/>
              <w:spacing w:line="360" w:lineRule="auto"/>
              <w:rPr>
                <w:color w:val="auto"/>
                <w:highlight w:val="none"/>
              </w:rPr>
            </w:pPr>
            <w:r>
              <w:rPr>
                <w:rFonts w:hint="eastAsia" w:ascii="宋体" w:hAnsi="宋体" w:eastAsia="宋体" w:cs="宋体"/>
                <w:color w:val="auto"/>
                <w:sz w:val="21"/>
                <w:szCs w:val="21"/>
                <w:highlight w:val="none"/>
              </w:rPr>
              <w:t>凡未按上述要求递交的响应文件，将被拒收或被认定为无效文件。</w:t>
            </w:r>
          </w:p>
        </w:tc>
      </w:tr>
      <w:tr w14:paraId="60E43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016" w:type="dxa"/>
            <w:vAlign w:val="center"/>
          </w:tcPr>
          <w:p w14:paraId="235A31FE">
            <w:pPr>
              <w:snapToGrid w:val="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4.4</w:t>
            </w:r>
          </w:p>
        </w:tc>
        <w:tc>
          <w:tcPr>
            <w:tcW w:w="1631" w:type="dxa"/>
            <w:vAlign w:val="center"/>
          </w:tcPr>
          <w:p w14:paraId="13698F09">
            <w:pPr>
              <w:wordWrap w:val="0"/>
              <w:snapToGrid w:val="0"/>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样品及演示</w:t>
            </w:r>
          </w:p>
        </w:tc>
        <w:tc>
          <w:tcPr>
            <w:tcW w:w="6567" w:type="dxa"/>
            <w:vAlign w:val="center"/>
          </w:tcPr>
          <w:p w14:paraId="49469D2C">
            <w:pPr>
              <w:wordWrap w:val="0"/>
              <w:snapToGrid w:val="0"/>
              <w:spacing w:line="360" w:lineRule="auto"/>
              <w:rPr>
                <w:rFonts w:hint="default" w:ascii="宋体" w:hAnsi="宋体" w:eastAsia="宋体" w:cs="宋体"/>
                <w:b/>
                <w:bCs/>
                <w:color w:val="auto"/>
                <w:sz w:val="21"/>
                <w:szCs w:val="21"/>
                <w:highlight w:val="none"/>
                <w:u w:val="single"/>
                <w:lang w:val="en-US" w:eastAsia="zh-CN"/>
              </w:rPr>
            </w:pPr>
            <w:r>
              <w:rPr>
                <w:rFonts w:hint="eastAsia" w:ascii="宋体" w:hAnsi="宋体" w:eastAsia="宋体" w:cs="宋体"/>
                <w:color w:val="auto"/>
                <w:sz w:val="21"/>
                <w:szCs w:val="21"/>
                <w:highlight w:val="none"/>
              </w:rPr>
              <w:t>提供的样品是：</w:t>
            </w:r>
            <w:r>
              <w:rPr>
                <w:rFonts w:hint="eastAsia" w:ascii="宋体" w:hAnsi="宋体" w:eastAsia="宋体" w:cs="宋体"/>
                <w:b/>
                <w:bCs/>
                <w:color w:val="auto"/>
                <w:sz w:val="21"/>
                <w:szCs w:val="21"/>
                <w:highlight w:val="none"/>
                <w:u w:val="single"/>
                <w:lang w:eastAsia="zh-CN"/>
              </w:rPr>
              <w:t>风衣1件、防晒衣1件、领奖服1套、翻领短袖T恤</w:t>
            </w:r>
            <w:r>
              <w:rPr>
                <w:rFonts w:hint="eastAsia" w:ascii="宋体" w:hAnsi="宋体" w:eastAsia="宋体" w:cs="宋体"/>
                <w:b/>
                <w:bCs/>
                <w:color w:val="auto"/>
                <w:sz w:val="21"/>
                <w:szCs w:val="21"/>
                <w:highlight w:val="none"/>
                <w:u w:val="single"/>
                <w:lang w:val="en-US" w:eastAsia="zh-CN"/>
              </w:rPr>
              <w:t>2</w:t>
            </w:r>
            <w:r>
              <w:rPr>
                <w:rFonts w:hint="eastAsia" w:ascii="宋体" w:hAnsi="宋体" w:eastAsia="宋体" w:cs="宋体"/>
                <w:b/>
                <w:bCs/>
                <w:color w:val="auto"/>
                <w:sz w:val="21"/>
                <w:szCs w:val="21"/>
                <w:highlight w:val="none"/>
                <w:u w:val="single"/>
                <w:lang w:eastAsia="zh-CN"/>
              </w:rPr>
              <w:t>件、圆领短袖T恤</w:t>
            </w:r>
            <w:r>
              <w:rPr>
                <w:rFonts w:hint="eastAsia" w:ascii="宋体" w:hAnsi="宋体" w:eastAsia="宋体" w:cs="宋体"/>
                <w:b/>
                <w:bCs/>
                <w:color w:val="auto"/>
                <w:sz w:val="21"/>
                <w:szCs w:val="21"/>
                <w:highlight w:val="none"/>
                <w:u w:val="single"/>
                <w:lang w:val="en-US" w:eastAsia="zh-CN"/>
              </w:rPr>
              <w:t>2</w:t>
            </w:r>
            <w:r>
              <w:rPr>
                <w:rFonts w:hint="eastAsia" w:ascii="宋体" w:hAnsi="宋体" w:eastAsia="宋体" w:cs="宋体"/>
                <w:b/>
                <w:bCs/>
                <w:color w:val="auto"/>
                <w:sz w:val="21"/>
                <w:szCs w:val="21"/>
                <w:highlight w:val="none"/>
                <w:u w:val="single"/>
                <w:lang w:eastAsia="zh-CN"/>
              </w:rPr>
              <w:t>件、运动短裤</w:t>
            </w:r>
            <w:r>
              <w:rPr>
                <w:rFonts w:hint="eastAsia" w:ascii="宋体" w:hAnsi="宋体" w:eastAsia="宋体" w:cs="宋体"/>
                <w:b/>
                <w:bCs/>
                <w:color w:val="auto"/>
                <w:sz w:val="21"/>
                <w:szCs w:val="21"/>
                <w:highlight w:val="none"/>
                <w:u w:val="single"/>
                <w:lang w:val="en-US" w:eastAsia="zh-CN"/>
              </w:rPr>
              <w:t>2</w:t>
            </w:r>
            <w:r>
              <w:rPr>
                <w:rFonts w:hint="eastAsia" w:ascii="宋体" w:hAnsi="宋体" w:eastAsia="宋体" w:cs="宋体"/>
                <w:b/>
                <w:bCs/>
                <w:color w:val="auto"/>
                <w:sz w:val="21"/>
                <w:szCs w:val="21"/>
                <w:highlight w:val="none"/>
                <w:u w:val="single"/>
                <w:lang w:eastAsia="zh-CN"/>
              </w:rPr>
              <w:t>条、运动鞋1双、运动袜</w:t>
            </w:r>
            <w:r>
              <w:rPr>
                <w:rFonts w:hint="eastAsia" w:ascii="宋体" w:hAnsi="宋体" w:eastAsia="宋体" w:cs="宋体"/>
                <w:b/>
                <w:bCs/>
                <w:color w:val="auto"/>
                <w:sz w:val="21"/>
                <w:szCs w:val="21"/>
                <w:highlight w:val="none"/>
                <w:u w:val="single"/>
                <w:lang w:val="en-US" w:eastAsia="zh-CN"/>
              </w:rPr>
              <w:t>2</w:t>
            </w:r>
            <w:r>
              <w:rPr>
                <w:rFonts w:hint="eastAsia" w:ascii="宋体" w:hAnsi="宋体" w:eastAsia="宋体" w:cs="宋体"/>
                <w:b/>
                <w:bCs/>
                <w:color w:val="auto"/>
                <w:sz w:val="21"/>
                <w:szCs w:val="21"/>
                <w:highlight w:val="none"/>
                <w:u w:val="single"/>
                <w:lang w:eastAsia="zh-CN"/>
              </w:rPr>
              <w:t>双、拖鞋1双、运动帽1顶、斜挎包1个、双肩背包1个、拉杆箱1个</w:t>
            </w:r>
            <w:r>
              <w:rPr>
                <w:rFonts w:hint="eastAsia" w:ascii="宋体" w:hAnsi="宋体" w:eastAsia="宋体" w:cs="宋体"/>
                <w:b/>
                <w:bCs/>
                <w:color w:val="auto"/>
                <w:sz w:val="21"/>
                <w:szCs w:val="21"/>
                <w:highlight w:val="none"/>
                <w:u w:val="single"/>
                <w:lang w:val="en-US" w:eastAsia="zh-CN"/>
              </w:rPr>
              <w:t>。</w:t>
            </w:r>
          </w:p>
          <w:p w14:paraId="6962A02B">
            <w:pPr>
              <w:wordWrap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样品要求：</w:t>
            </w:r>
          </w:p>
          <w:p w14:paraId="64FAE607">
            <w:pPr>
              <w:wordWrap w:val="0"/>
              <w:snapToGrid w:val="0"/>
              <w:spacing w:line="360" w:lineRule="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（1）供应商须保证所投产品的技术参数及样品一致，如若不一致将视为无效响应</w:t>
            </w:r>
            <w:r>
              <w:rPr>
                <w:rFonts w:hint="eastAsia" w:ascii="宋体" w:hAnsi="宋体" w:eastAsia="宋体" w:cs="宋体"/>
                <w:b/>
                <w:bCs/>
                <w:color w:val="auto"/>
                <w:sz w:val="21"/>
                <w:szCs w:val="21"/>
                <w:highlight w:val="none"/>
                <w:lang w:val="en-US" w:eastAsia="zh-CN"/>
              </w:rPr>
              <w:t>。</w:t>
            </w:r>
          </w:p>
          <w:p w14:paraId="07235DE2">
            <w:pPr>
              <w:wordWrap w:val="0"/>
              <w:snapToGrid w:val="0"/>
              <w:spacing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衣服尺码要求：男士175；鞋子尺码要求：男士43码。</w:t>
            </w:r>
          </w:p>
          <w:p w14:paraId="58889154">
            <w:pPr>
              <w:wordWrap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具体要求：样品制作的标准和要求：详见第三章项目需求及技术参数要求。</w:t>
            </w:r>
          </w:p>
          <w:p w14:paraId="1865BEEC">
            <w:pPr>
              <w:wordWrap w:val="0"/>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（3）递交样品时，</w:t>
            </w:r>
            <w:r>
              <w:rPr>
                <w:rFonts w:hint="eastAsia" w:ascii="宋体" w:hAnsi="宋体" w:eastAsia="宋体" w:cs="宋体"/>
                <w:color w:val="auto"/>
                <w:sz w:val="21"/>
                <w:szCs w:val="21"/>
                <w:highlight w:val="none"/>
                <w:lang w:val="en-US" w:eastAsia="zh-CN"/>
              </w:rPr>
              <w:t>所有样品统一包封在一个纸箱内，箱子上需</w:t>
            </w:r>
            <w:r>
              <w:rPr>
                <w:rFonts w:hint="eastAsia" w:ascii="宋体" w:hAnsi="宋体" w:eastAsia="宋体" w:cs="宋体"/>
                <w:color w:val="auto"/>
                <w:sz w:val="21"/>
                <w:szCs w:val="21"/>
                <w:highlight w:val="none"/>
              </w:rPr>
              <w:t>标明所递交样品的产品名称、</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名称。</w:t>
            </w:r>
          </w:p>
          <w:p w14:paraId="34375AC0">
            <w:pPr>
              <w:wordWrap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注：1.样品应于投标文件提交的截止时间前按本</w:t>
            </w:r>
            <w:r>
              <w:rPr>
                <w:rFonts w:hint="eastAsia" w:ascii="宋体" w:hAnsi="宋体" w:eastAsia="宋体" w:cs="宋体"/>
                <w:b/>
                <w:bCs/>
                <w:color w:val="auto"/>
                <w:sz w:val="21"/>
                <w:szCs w:val="21"/>
                <w:highlight w:val="none"/>
                <w:lang w:val="en-US" w:eastAsia="zh-CN"/>
              </w:rPr>
              <w:t>磋商</w:t>
            </w:r>
            <w:r>
              <w:rPr>
                <w:rFonts w:hint="eastAsia" w:ascii="宋体" w:hAnsi="宋体" w:eastAsia="宋体" w:cs="宋体"/>
                <w:b/>
                <w:bCs/>
                <w:color w:val="auto"/>
                <w:sz w:val="21"/>
                <w:szCs w:val="21"/>
                <w:highlight w:val="none"/>
              </w:rPr>
              <w:t>文件规定运送至河南省公共资源交易中心北楼一楼样品室。</w:t>
            </w:r>
          </w:p>
          <w:p w14:paraId="094C8BA8">
            <w:pPr>
              <w:wordWrap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2.请自行考虑运送时</w:t>
            </w:r>
            <w:r>
              <w:rPr>
                <w:rFonts w:hint="eastAsia" w:ascii="宋体" w:hAnsi="宋体" w:eastAsia="宋体" w:cs="宋体"/>
                <w:b/>
                <w:bCs/>
                <w:color w:val="auto"/>
                <w:sz w:val="21"/>
                <w:szCs w:val="21"/>
                <w:highlight w:val="none"/>
                <w:lang w:val="en-US" w:eastAsia="zh-CN"/>
              </w:rPr>
              <w:t>间</w:t>
            </w:r>
            <w:r>
              <w:rPr>
                <w:rFonts w:hint="eastAsia" w:ascii="宋体" w:hAnsi="宋体" w:eastAsia="宋体" w:cs="宋体"/>
                <w:b/>
                <w:bCs/>
                <w:color w:val="auto"/>
                <w:sz w:val="21"/>
                <w:szCs w:val="21"/>
                <w:highlight w:val="none"/>
              </w:rPr>
              <w:t>。</w:t>
            </w:r>
          </w:p>
          <w:p w14:paraId="4BD71409">
            <w:pPr>
              <w:wordWrap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3.样品的保管、封存：评</w:t>
            </w:r>
            <w:r>
              <w:rPr>
                <w:rFonts w:hint="eastAsia" w:ascii="宋体" w:hAnsi="宋体" w:eastAsia="宋体" w:cs="宋体"/>
                <w:b/>
                <w:bCs/>
                <w:color w:val="auto"/>
                <w:sz w:val="21"/>
                <w:szCs w:val="21"/>
                <w:highlight w:val="none"/>
                <w:lang w:val="en-US" w:eastAsia="zh-CN"/>
              </w:rPr>
              <w:t>审</w:t>
            </w:r>
            <w:r>
              <w:rPr>
                <w:rFonts w:hint="eastAsia" w:ascii="宋体" w:hAnsi="宋体" w:eastAsia="宋体" w:cs="宋体"/>
                <w:b/>
                <w:bCs/>
                <w:color w:val="auto"/>
                <w:sz w:val="21"/>
                <w:szCs w:val="21"/>
                <w:highlight w:val="none"/>
              </w:rPr>
              <w:t>结束后</w:t>
            </w:r>
            <w:r>
              <w:rPr>
                <w:rFonts w:hint="eastAsia" w:ascii="宋体" w:hAnsi="宋体" w:eastAsia="宋体" w:cs="宋体"/>
                <w:b/>
                <w:bCs/>
                <w:color w:val="auto"/>
                <w:sz w:val="21"/>
                <w:szCs w:val="21"/>
                <w:highlight w:val="none"/>
                <w:lang w:val="en-US" w:eastAsia="zh-CN"/>
              </w:rPr>
              <w:t>采购人</w:t>
            </w:r>
            <w:r>
              <w:rPr>
                <w:rFonts w:hint="eastAsia" w:ascii="宋体" w:hAnsi="宋体" w:eastAsia="宋体" w:cs="宋体"/>
                <w:b/>
                <w:bCs/>
                <w:color w:val="auto"/>
                <w:sz w:val="21"/>
                <w:szCs w:val="21"/>
                <w:highlight w:val="none"/>
              </w:rPr>
              <w:t>保存所有样品</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合同签订后退还所有未中标</w:t>
            </w:r>
            <w:r>
              <w:rPr>
                <w:rFonts w:hint="eastAsia" w:ascii="宋体" w:hAnsi="宋体" w:eastAsia="宋体" w:cs="宋体"/>
                <w:b/>
                <w:bCs/>
                <w:color w:val="auto"/>
                <w:sz w:val="21"/>
                <w:szCs w:val="21"/>
                <w:highlight w:val="none"/>
                <w:lang w:val="en-US" w:eastAsia="zh-CN"/>
              </w:rPr>
              <w:t>供应商</w:t>
            </w:r>
            <w:r>
              <w:rPr>
                <w:rFonts w:hint="eastAsia" w:ascii="宋体" w:hAnsi="宋体" w:eastAsia="宋体" w:cs="宋体"/>
                <w:b/>
                <w:bCs/>
                <w:color w:val="auto"/>
                <w:sz w:val="21"/>
                <w:szCs w:val="21"/>
                <w:highlight w:val="none"/>
              </w:rPr>
              <w:t>的样品。</w:t>
            </w:r>
          </w:p>
          <w:p w14:paraId="56A27C64">
            <w:pPr>
              <w:wordWrap w:val="0"/>
              <w:snapToGrid w:val="0"/>
              <w:spacing w:line="360" w:lineRule="auto"/>
              <w:rPr>
                <w:rFonts w:hint="default" w:ascii="宋体" w:hAnsi="宋体" w:eastAsia="宋体" w:cs="宋体"/>
                <w:b/>
                <w:bCs/>
                <w:color w:val="auto"/>
                <w:sz w:val="21"/>
                <w:szCs w:val="21"/>
                <w:highlight w:val="none"/>
                <w:lang w:val="en-US"/>
              </w:rPr>
            </w:pPr>
            <w:r>
              <w:rPr>
                <w:rFonts w:hint="eastAsia" w:ascii="宋体" w:hAnsi="宋体" w:eastAsia="宋体" w:cs="宋体"/>
                <w:b/>
                <w:bCs/>
                <w:color w:val="auto"/>
                <w:sz w:val="21"/>
                <w:szCs w:val="21"/>
                <w:highlight w:val="none"/>
              </w:rPr>
              <w:t>4.</w:t>
            </w:r>
            <w:r>
              <w:rPr>
                <w:rFonts w:hint="eastAsia" w:ascii="宋体" w:hAnsi="宋体" w:eastAsia="宋体" w:cs="宋体"/>
                <w:b/>
                <w:bCs/>
                <w:color w:val="auto"/>
                <w:sz w:val="21"/>
                <w:szCs w:val="21"/>
                <w:highlight w:val="none"/>
                <w:lang w:val="en-US" w:eastAsia="zh-CN"/>
              </w:rPr>
              <w:t>供应商的样品由采购人封存和保管，作为验收时的参考依据之一。5.供应商应在投标截止时间前（2025年4月21日上午8：30-9：00）递交样品，</w:t>
            </w:r>
            <w:r>
              <w:rPr>
                <w:rFonts w:hint="eastAsia" w:ascii="宋体" w:hAnsi="宋体" w:eastAsia="宋体" w:cs="宋体"/>
                <w:b/>
                <w:bCs/>
                <w:color w:val="auto"/>
                <w:sz w:val="21"/>
                <w:szCs w:val="21"/>
                <w:highlight w:val="none"/>
              </w:rPr>
              <w:t>逾期不再接收。</w:t>
            </w:r>
            <w:r>
              <w:rPr>
                <w:rFonts w:hint="eastAsia" w:ascii="宋体" w:hAnsi="宋体" w:eastAsia="宋体" w:cs="宋体"/>
                <w:b/>
                <w:bCs/>
                <w:color w:val="auto"/>
                <w:sz w:val="21"/>
                <w:szCs w:val="21"/>
                <w:highlight w:val="none"/>
                <w:lang w:val="en-US" w:eastAsia="zh-CN"/>
              </w:rPr>
              <w:t>接收人：陈女士，联系</w:t>
            </w:r>
            <w:r>
              <w:rPr>
                <w:rFonts w:hint="eastAsia" w:ascii="宋体" w:hAnsi="宋体" w:eastAsia="宋体" w:cs="宋体"/>
                <w:b/>
                <w:bCs/>
                <w:color w:val="auto"/>
                <w:sz w:val="21"/>
                <w:szCs w:val="21"/>
                <w:highlight w:val="none"/>
              </w:rPr>
              <w:t>方式：</w:t>
            </w:r>
            <w:r>
              <w:rPr>
                <w:rFonts w:hint="eastAsia" w:ascii="宋体" w:hAnsi="宋体" w:eastAsia="宋体" w:cs="宋体"/>
                <w:b/>
                <w:bCs/>
                <w:color w:val="auto"/>
                <w:sz w:val="21"/>
                <w:szCs w:val="21"/>
                <w:highlight w:val="none"/>
                <w:lang w:val="en-US" w:eastAsia="zh-CN"/>
              </w:rPr>
              <w:t>15238033529</w:t>
            </w:r>
          </w:p>
          <w:p w14:paraId="1E660770">
            <w:pPr>
              <w:wordWrap w:val="0"/>
              <w:snapToGrid w:val="0"/>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演示：无</w:t>
            </w:r>
          </w:p>
        </w:tc>
      </w:tr>
      <w:tr w14:paraId="48FCD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16" w:type="dxa"/>
            <w:vAlign w:val="center"/>
          </w:tcPr>
          <w:p w14:paraId="0CAF80EE">
            <w:pPr>
              <w:snapToGrid w:val="0"/>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6.1</w:t>
            </w:r>
          </w:p>
        </w:tc>
        <w:tc>
          <w:tcPr>
            <w:tcW w:w="1631" w:type="dxa"/>
            <w:vAlign w:val="center"/>
          </w:tcPr>
          <w:p w14:paraId="6E9D050F">
            <w:pPr>
              <w:snapToGrid w:val="0"/>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磋商小组的组建</w:t>
            </w:r>
          </w:p>
        </w:tc>
        <w:tc>
          <w:tcPr>
            <w:tcW w:w="6567" w:type="dxa"/>
            <w:vAlign w:val="center"/>
          </w:tcPr>
          <w:p w14:paraId="4C9D7A31">
            <w:pPr>
              <w:tabs>
                <w:tab w:val="left" w:pos="720"/>
                <w:tab w:val="left" w:pos="786"/>
              </w:tabs>
              <w:snapToGrid w:val="0"/>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磋商小组构成：3人，其中采购人代表1人，专家2人；</w:t>
            </w:r>
          </w:p>
          <w:p w14:paraId="6473C6F4">
            <w:pPr>
              <w:tabs>
                <w:tab w:val="left" w:pos="720"/>
                <w:tab w:val="left" w:pos="786"/>
              </w:tabs>
              <w:snapToGrid w:val="0"/>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评审专家确定方式：采购人或者采购代理机构将从省级以上财政部门设立的政府采购评审专家库中，通过随机方式抽取评审专家；</w:t>
            </w:r>
          </w:p>
        </w:tc>
      </w:tr>
      <w:tr w14:paraId="17D8C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016" w:type="dxa"/>
            <w:vAlign w:val="center"/>
          </w:tcPr>
          <w:p w14:paraId="42673B28">
            <w:pPr>
              <w:snapToGrid w:val="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6.5.1</w:t>
            </w:r>
          </w:p>
        </w:tc>
        <w:tc>
          <w:tcPr>
            <w:tcW w:w="1631" w:type="dxa"/>
            <w:vAlign w:val="center"/>
          </w:tcPr>
          <w:p w14:paraId="5EF5EEE4">
            <w:pPr>
              <w:snapToGrid w:val="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资格审查标准</w:t>
            </w:r>
          </w:p>
        </w:tc>
        <w:tc>
          <w:tcPr>
            <w:tcW w:w="6567" w:type="dxa"/>
            <w:vAlign w:val="center"/>
          </w:tcPr>
          <w:p w14:paraId="6F013DD2">
            <w:pPr>
              <w:tabs>
                <w:tab w:val="left" w:pos="720"/>
                <w:tab w:val="left" w:pos="786"/>
              </w:tabs>
              <w:snapToGrid w:val="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详见供应商须知前附表1.6。</w:t>
            </w:r>
          </w:p>
        </w:tc>
      </w:tr>
      <w:tr w14:paraId="76FF9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1016" w:type="dxa"/>
            <w:vAlign w:val="center"/>
          </w:tcPr>
          <w:p w14:paraId="4B2E8720">
            <w:pPr>
              <w:snapToGrid w:val="0"/>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6.5.2</w:t>
            </w:r>
          </w:p>
        </w:tc>
        <w:tc>
          <w:tcPr>
            <w:tcW w:w="1631" w:type="dxa"/>
            <w:vAlign w:val="center"/>
          </w:tcPr>
          <w:p w14:paraId="244B217B">
            <w:pPr>
              <w:snapToGrid w:val="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符合性审查标准</w:t>
            </w:r>
          </w:p>
        </w:tc>
        <w:tc>
          <w:tcPr>
            <w:tcW w:w="6567" w:type="dxa"/>
            <w:vAlign w:val="center"/>
          </w:tcPr>
          <w:p w14:paraId="26BEE673">
            <w:pPr>
              <w:adjustRightInd w:val="0"/>
              <w:snapToGrid w:val="0"/>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1.响应文件按照磋商文件要求签署、盖章的；</w:t>
            </w:r>
          </w:p>
          <w:p w14:paraId="2E5C9647">
            <w:pPr>
              <w:adjustRightInd w:val="0"/>
              <w:snapToGrid w:val="0"/>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2.同一供应商未提交两个以上不同的响应文件或者响应报价；</w:t>
            </w:r>
          </w:p>
          <w:p w14:paraId="4F8D646F">
            <w:pPr>
              <w:adjustRightInd w:val="0"/>
              <w:snapToGrid w:val="0"/>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3.响应文件未附有采购人不能接受的条件。</w:t>
            </w:r>
          </w:p>
        </w:tc>
      </w:tr>
      <w:tr w14:paraId="2F854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16" w:type="dxa"/>
            <w:vAlign w:val="center"/>
          </w:tcPr>
          <w:p w14:paraId="5E6624FE">
            <w:pPr>
              <w:snapToGrid w:val="0"/>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6.5.3</w:t>
            </w:r>
          </w:p>
        </w:tc>
        <w:tc>
          <w:tcPr>
            <w:tcW w:w="1631" w:type="dxa"/>
            <w:vAlign w:val="center"/>
          </w:tcPr>
          <w:p w14:paraId="1C7667CE">
            <w:pPr>
              <w:snapToGrid w:val="0"/>
              <w:spacing w:line="360" w:lineRule="auto"/>
              <w:jc w:val="center"/>
              <w:rPr>
                <w:rFonts w:ascii="宋体" w:hAnsi="宋体" w:eastAsia="宋体" w:cs="宋体"/>
                <w:color w:val="auto"/>
                <w:sz w:val="21"/>
                <w:szCs w:val="21"/>
                <w:highlight w:val="none"/>
              </w:rPr>
            </w:pPr>
            <w:r>
              <w:rPr>
                <w:rFonts w:hint="eastAsia" w:ascii="宋体" w:hAnsi="宋体" w:eastAsia="宋体" w:cs="宋体"/>
                <w:bCs/>
                <w:color w:val="auto"/>
                <w:sz w:val="21"/>
                <w:szCs w:val="21"/>
                <w:highlight w:val="none"/>
              </w:rPr>
              <w:t>响应性审查标准</w:t>
            </w:r>
          </w:p>
        </w:tc>
        <w:tc>
          <w:tcPr>
            <w:tcW w:w="6567" w:type="dxa"/>
            <w:vAlign w:val="center"/>
          </w:tcPr>
          <w:p w14:paraId="76E9A264">
            <w:pPr>
              <w:snapToGrid w:val="0"/>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1.响应报价未高于磋商文件设定的预算金额（政府采购最高限价）</w:t>
            </w:r>
          </w:p>
          <w:p w14:paraId="4BDDEAFA">
            <w:pPr>
              <w:snapToGrid w:val="0"/>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2.满足磋商文件供应商须知前附表中加“*”条款要求</w:t>
            </w:r>
          </w:p>
          <w:p w14:paraId="06C4FE50">
            <w:pPr>
              <w:snapToGrid w:val="0"/>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交货期</w:t>
            </w:r>
            <w:r>
              <w:rPr>
                <w:rFonts w:hint="eastAsia" w:ascii="宋体" w:hAnsi="宋体" w:eastAsia="宋体" w:cs="宋体"/>
                <w:color w:val="auto"/>
                <w:sz w:val="21"/>
                <w:szCs w:val="21"/>
                <w:highlight w:val="none"/>
              </w:rPr>
              <w:t>满足“第二章供应商须知前附表”要求</w:t>
            </w:r>
          </w:p>
          <w:p w14:paraId="6E086659">
            <w:pPr>
              <w:snapToGrid w:val="0"/>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质量标准</w:t>
            </w:r>
            <w:r>
              <w:rPr>
                <w:rFonts w:hint="eastAsia" w:ascii="宋体" w:hAnsi="宋体" w:eastAsia="宋体" w:cs="宋体"/>
                <w:color w:val="auto"/>
                <w:sz w:val="21"/>
                <w:szCs w:val="21"/>
                <w:highlight w:val="none"/>
              </w:rPr>
              <w:t>满足“第二章供应商须知前附表”要求</w:t>
            </w:r>
          </w:p>
          <w:p w14:paraId="515E4872">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质量保证期</w:t>
            </w:r>
            <w:r>
              <w:rPr>
                <w:rFonts w:hint="eastAsia" w:ascii="宋体" w:hAnsi="宋体" w:eastAsia="宋体" w:cs="宋体"/>
                <w:color w:val="auto"/>
                <w:sz w:val="21"/>
                <w:szCs w:val="21"/>
                <w:highlight w:val="none"/>
              </w:rPr>
              <w:t>满足“第二章供应商须知前附表”要求</w:t>
            </w:r>
          </w:p>
          <w:p w14:paraId="67238289">
            <w:pPr>
              <w:snapToGrid w:val="0"/>
              <w:spacing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6.交货及安装地点</w:t>
            </w:r>
            <w:r>
              <w:rPr>
                <w:rFonts w:hint="eastAsia" w:ascii="宋体" w:hAnsi="宋体" w:eastAsia="宋体" w:cs="宋体"/>
                <w:color w:val="auto"/>
                <w:sz w:val="21"/>
                <w:szCs w:val="21"/>
                <w:highlight w:val="none"/>
              </w:rPr>
              <w:t>满足“第二章供应商须知前附表”要求</w:t>
            </w:r>
          </w:p>
          <w:p w14:paraId="1A45AAF8">
            <w:pPr>
              <w:snapToGrid w:val="0"/>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.磋商有效期满足“第二章供应商须知前附表”要求</w:t>
            </w:r>
          </w:p>
          <w:p w14:paraId="748B1F30">
            <w:pPr>
              <w:pStyle w:val="2"/>
              <w:ind w:firstLine="0" w:firstLineChars="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.满足磋商文件规定的</w:t>
            </w:r>
            <w:r>
              <w:rPr>
                <w:rFonts w:hint="eastAsia" w:ascii="宋体" w:hAnsi="宋体" w:eastAsia="宋体" w:cs="宋体"/>
                <w:color w:val="auto"/>
                <w:kern w:val="0"/>
                <w:sz w:val="21"/>
                <w:szCs w:val="21"/>
                <w:highlight w:val="none"/>
              </w:rPr>
              <w:t>不允许偏离的实质性要求和条件</w:t>
            </w:r>
          </w:p>
        </w:tc>
      </w:tr>
      <w:tr w14:paraId="5D95A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16" w:type="dxa"/>
            <w:vAlign w:val="center"/>
          </w:tcPr>
          <w:p w14:paraId="5A9799EA">
            <w:pPr>
              <w:snapToGrid w:val="0"/>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6.9.1</w:t>
            </w:r>
          </w:p>
        </w:tc>
        <w:tc>
          <w:tcPr>
            <w:tcW w:w="1631" w:type="dxa"/>
            <w:vAlign w:val="center"/>
          </w:tcPr>
          <w:p w14:paraId="52B4CA11">
            <w:pPr>
              <w:snapToGrid w:val="0"/>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可能实质性变动的内容</w:t>
            </w:r>
          </w:p>
        </w:tc>
        <w:tc>
          <w:tcPr>
            <w:tcW w:w="6567" w:type="dxa"/>
            <w:vAlign w:val="center"/>
          </w:tcPr>
          <w:p w14:paraId="3B03C860">
            <w:pPr>
              <w:snapToGrid w:val="0"/>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磋商小组根据与供应商磋商情况可能实质性变动的内容，包括采购需求中的技术、服务要求以及合同草案条款</w:t>
            </w:r>
          </w:p>
        </w:tc>
      </w:tr>
      <w:tr w14:paraId="22D69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16" w:type="dxa"/>
            <w:vAlign w:val="center"/>
          </w:tcPr>
          <w:p w14:paraId="17C2A5EE">
            <w:pPr>
              <w:snapToGrid w:val="0"/>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6.9.8</w:t>
            </w:r>
          </w:p>
        </w:tc>
        <w:tc>
          <w:tcPr>
            <w:tcW w:w="1631" w:type="dxa"/>
            <w:vAlign w:val="center"/>
          </w:tcPr>
          <w:p w14:paraId="2A9055F2">
            <w:pPr>
              <w:snapToGrid w:val="0"/>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评分办法</w:t>
            </w:r>
          </w:p>
        </w:tc>
        <w:tc>
          <w:tcPr>
            <w:tcW w:w="6567" w:type="dxa"/>
            <w:vAlign w:val="center"/>
          </w:tcPr>
          <w:p w14:paraId="70B81E7C">
            <w:pPr>
              <w:snapToGrid w:val="0"/>
              <w:spacing w:line="360" w:lineRule="auto"/>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综合评分法</w:t>
            </w:r>
          </w:p>
        </w:tc>
      </w:tr>
      <w:tr w14:paraId="0052A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16" w:type="dxa"/>
            <w:vAlign w:val="center"/>
          </w:tcPr>
          <w:p w14:paraId="0115A325">
            <w:pPr>
              <w:snapToGrid w:val="0"/>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6.10.1</w:t>
            </w:r>
          </w:p>
        </w:tc>
        <w:tc>
          <w:tcPr>
            <w:tcW w:w="1631" w:type="dxa"/>
            <w:vAlign w:val="center"/>
          </w:tcPr>
          <w:p w14:paraId="6D6BDD4A">
            <w:pPr>
              <w:snapToGrid w:val="0"/>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是否委托磋商小组确定成交供应商</w:t>
            </w:r>
          </w:p>
        </w:tc>
        <w:tc>
          <w:tcPr>
            <w:tcW w:w="6567" w:type="dxa"/>
            <w:vAlign w:val="center"/>
          </w:tcPr>
          <w:p w14:paraId="4FC15B32">
            <w:pPr>
              <w:snapToGrid w:val="0"/>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√否，推荐3名成交候选供应商。</w:t>
            </w:r>
          </w:p>
        </w:tc>
      </w:tr>
      <w:tr w14:paraId="4C444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16" w:type="dxa"/>
            <w:vAlign w:val="center"/>
          </w:tcPr>
          <w:p w14:paraId="6B0F3503">
            <w:pPr>
              <w:snapToGrid w:val="0"/>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6.10.4</w:t>
            </w:r>
          </w:p>
        </w:tc>
        <w:tc>
          <w:tcPr>
            <w:tcW w:w="1631" w:type="dxa"/>
            <w:vAlign w:val="center"/>
          </w:tcPr>
          <w:p w14:paraId="3853E908">
            <w:pPr>
              <w:snapToGrid w:val="0"/>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核心产品</w:t>
            </w:r>
          </w:p>
        </w:tc>
        <w:tc>
          <w:tcPr>
            <w:tcW w:w="6567" w:type="dxa"/>
            <w:vAlign w:val="center"/>
          </w:tcPr>
          <w:p w14:paraId="0371EDAA">
            <w:pPr>
              <w:snapToGrid w:val="0"/>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核心产品将在磋商文件第三章“项目需求及技术参数要求”中载明，供应商提供的核心产品品牌相同的，按照政府采购的相关规定处理。</w:t>
            </w:r>
          </w:p>
          <w:p w14:paraId="7505DADC">
            <w:pPr>
              <w:snapToGrid w:val="0"/>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提供相同品牌产品且通过资格审查、符合性审查的不同供应商参加同一合同项下政府采购的，按一家供应商计算，评审后得分最高的同品牌供应商获得成交供应商推荐资格；评审得分相同的，由采购人或者采购人委托评审小组按照磋商文件规定的方式确定一个供应商获得成交供应商推荐资格，磋商文件未规定的采取随机抽取方式确定，其他同品牌供应商不作为成交候选人。</w:t>
            </w:r>
          </w:p>
        </w:tc>
      </w:tr>
      <w:tr w14:paraId="01047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16" w:type="dxa"/>
            <w:vAlign w:val="center"/>
          </w:tcPr>
          <w:p w14:paraId="5E5E4AE9">
            <w:pPr>
              <w:snapToGrid w:val="0"/>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7.3</w:t>
            </w:r>
          </w:p>
        </w:tc>
        <w:tc>
          <w:tcPr>
            <w:tcW w:w="1631" w:type="dxa"/>
            <w:vAlign w:val="center"/>
          </w:tcPr>
          <w:p w14:paraId="0871B6D4">
            <w:pPr>
              <w:snapToGrid w:val="0"/>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w:t>
            </w:r>
          </w:p>
        </w:tc>
        <w:tc>
          <w:tcPr>
            <w:tcW w:w="6567" w:type="dxa"/>
            <w:vAlign w:val="center"/>
          </w:tcPr>
          <w:p w14:paraId="1014F62F">
            <w:pPr>
              <w:snapToGrid w:val="0"/>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无。</w:t>
            </w:r>
          </w:p>
        </w:tc>
      </w:tr>
      <w:tr w14:paraId="4396B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016" w:type="dxa"/>
            <w:vAlign w:val="center"/>
          </w:tcPr>
          <w:p w14:paraId="603CFC70">
            <w:pPr>
              <w:snapToGrid w:val="0"/>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7.5</w:t>
            </w:r>
          </w:p>
        </w:tc>
        <w:tc>
          <w:tcPr>
            <w:tcW w:w="1631" w:type="dxa"/>
            <w:vAlign w:val="center"/>
          </w:tcPr>
          <w:p w14:paraId="47D83219">
            <w:pPr>
              <w:adjustRightInd w:val="0"/>
              <w:snapToGrid w:val="0"/>
              <w:jc w:val="center"/>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付款方式</w:t>
            </w:r>
          </w:p>
        </w:tc>
        <w:tc>
          <w:tcPr>
            <w:tcW w:w="6567" w:type="dxa"/>
            <w:vAlign w:val="center"/>
          </w:tcPr>
          <w:p w14:paraId="76689560">
            <w:pPr>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每批次货物交付并验收合格后，采购人支付对应金额。</w:t>
            </w:r>
          </w:p>
        </w:tc>
      </w:tr>
      <w:tr w14:paraId="0A79D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16" w:type="dxa"/>
            <w:vAlign w:val="center"/>
          </w:tcPr>
          <w:p w14:paraId="10B9AE77">
            <w:pPr>
              <w:snapToGrid w:val="0"/>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8.1</w:t>
            </w:r>
          </w:p>
        </w:tc>
        <w:tc>
          <w:tcPr>
            <w:tcW w:w="1631" w:type="dxa"/>
            <w:vAlign w:val="center"/>
          </w:tcPr>
          <w:p w14:paraId="401B6AD9">
            <w:pPr>
              <w:snapToGrid w:val="0"/>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代理服务费</w:t>
            </w:r>
          </w:p>
        </w:tc>
        <w:tc>
          <w:tcPr>
            <w:tcW w:w="6567" w:type="dxa"/>
            <w:vAlign w:val="center"/>
          </w:tcPr>
          <w:p w14:paraId="5139A6EF">
            <w:pPr>
              <w:wordWrap w:val="0"/>
              <w:snapToGrid w:val="0"/>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1.参照河南省招标投标协会《关于印发&lt;河南省招标代理服务收费标准&gt;的通知》（豫招协[2023]002号）规定的标准收取，由中标（成交）人支付。</w:t>
            </w:r>
          </w:p>
          <w:p w14:paraId="094978F2">
            <w:pPr>
              <w:wordWrap w:val="0"/>
              <w:snapToGrid w:val="0"/>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2.招标代理服务费：￥</w:t>
            </w:r>
            <w:r>
              <w:rPr>
                <w:rFonts w:hint="eastAsia" w:ascii="宋体" w:hAnsi="宋体" w:eastAsia="宋体" w:cs="宋体"/>
                <w:color w:val="auto"/>
                <w:sz w:val="21"/>
                <w:szCs w:val="21"/>
                <w:highlight w:val="none"/>
                <w:lang w:val="en-US" w:eastAsia="zh-CN"/>
              </w:rPr>
              <w:t>26,600.00</w:t>
            </w:r>
            <w:r>
              <w:rPr>
                <w:rFonts w:hint="eastAsia" w:ascii="宋体" w:hAnsi="宋体" w:eastAsia="宋体" w:cs="宋体"/>
                <w:color w:val="auto"/>
                <w:sz w:val="21"/>
                <w:szCs w:val="21"/>
                <w:highlight w:val="none"/>
              </w:rPr>
              <w:t>元</w:t>
            </w:r>
          </w:p>
          <w:p w14:paraId="6D14E23A">
            <w:pPr>
              <w:wordWrap w:val="0"/>
              <w:snapToGrid w:val="0"/>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代理服务费缴纳方式：从成交人的公司户账户中以转账、电汇等非现金形式转出（汇款信息需注明：项目编号+代理服务费）</w:t>
            </w:r>
          </w:p>
          <w:p w14:paraId="5F0BD7F5">
            <w:pPr>
              <w:wordWrap w:val="0"/>
              <w:snapToGrid w:val="0"/>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3.招标代理服务费收款账户信息：</w:t>
            </w:r>
          </w:p>
          <w:p w14:paraId="3AABD5CB">
            <w:pPr>
              <w:wordWrap w:val="0"/>
              <w:snapToGrid w:val="0"/>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采购代理机构开户行：中信银行郑州郑东新区支行</w:t>
            </w:r>
          </w:p>
          <w:p w14:paraId="4991CC65">
            <w:pPr>
              <w:wordWrap w:val="0"/>
              <w:snapToGrid w:val="0"/>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采购代理机构开户名称：河南省至诚招标采购服务有限公司</w:t>
            </w:r>
          </w:p>
          <w:p w14:paraId="37D2B28D">
            <w:pPr>
              <w:wordWrap w:val="0"/>
              <w:snapToGrid w:val="0"/>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帐号：8111 1010 1420 0708 717</w:t>
            </w:r>
          </w:p>
        </w:tc>
      </w:tr>
      <w:tr w14:paraId="76B5F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16" w:type="dxa"/>
            <w:vAlign w:val="center"/>
          </w:tcPr>
          <w:p w14:paraId="44197B1C">
            <w:pPr>
              <w:snapToGrid w:val="0"/>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8.2</w:t>
            </w:r>
          </w:p>
        </w:tc>
        <w:tc>
          <w:tcPr>
            <w:tcW w:w="1631" w:type="dxa"/>
            <w:vAlign w:val="center"/>
          </w:tcPr>
          <w:p w14:paraId="4AD7043C">
            <w:pPr>
              <w:snapToGrid w:val="0"/>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质疑和投诉</w:t>
            </w:r>
          </w:p>
        </w:tc>
        <w:tc>
          <w:tcPr>
            <w:tcW w:w="6567" w:type="dxa"/>
            <w:vAlign w:val="center"/>
          </w:tcPr>
          <w:p w14:paraId="2CC93B5F">
            <w:pPr>
              <w:snapToGrid w:val="0"/>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1.供应商认为采购文件、采购过程和中标或者成交结果使自己的权益受到损害的，可以在知道或者应知其权益受到损害之日起7个工作日内，以书面形式向采购人、采购代理机构提出质疑。</w:t>
            </w:r>
          </w:p>
          <w:p w14:paraId="59CA65F5">
            <w:pPr>
              <w:snapToGrid w:val="0"/>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提出质疑的供应商应按照财政部门制定的《政府采购质疑函范本》格式（详见中国政府采购网）和《政府采购质疑和投诉办法》的要求，在法定质疑期内以书面形式提出质疑，针对同一采购程序环节的质疑应一次性提出。</w:t>
            </w:r>
          </w:p>
          <w:p w14:paraId="11B51375">
            <w:pPr>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超出法定质疑期的、重复提出的、分次提出的或内容、形式不符合《政府采购质疑和投诉办法》的，提出质疑的供应商将依法承担不利后果。</w:t>
            </w:r>
          </w:p>
          <w:p w14:paraId="6C6EB768">
            <w:pPr>
              <w:snapToGrid w:val="0"/>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3.质疑函接收部门、联系电话和通讯地址,见供应商须知前附表1.2.2、1.2.3。</w:t>
            </w:r>
          </w:p>
          <w:p w14:paraId="643B4C20">
            <w:pPr>
              <w:snapToGrid w:val="0"/>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4.质疑供应商对采购人、采购代理机构的答复不满意，或者采购人、采购代理机构未在规定时间内作出答复的，可以在答复期满后15个工作日内向财政部门提起投诉。</w:t>
            </w:r>
          </w:p>
          <w:p w14:paraId="5210299B">
            <w:pPr>
              <w:snapToGrid w:val="0"/>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5.投诉人投诉时,应当提交投诉书和必要的证明材料，并按照被投诉采购人、采购代理机构（以下简称被投诉人）和与投诉事项有关的供应商数量提供投诉书的副本。</w:t>
            </w:r>
          </w:p>
        </w:tc>
      </w:tr>
      <w:tr w14:paraId="142A2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016" w:type="dxa"/>
            <w:vAlign w:val="center"/>
          </w:tcPr>
          <w:p w14:paraId="17F0EA6B">
            <w:pPr>
              <w:snapToGrid w:val="0"/>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8.3.1</w:t>
            </w:r>
          </w:p>
        </w:tc>
        <w:tc>
          <w:tcPr>
            <w:tcW w:w="1631" w:type="dxa"/>
            <w:vAlign w:val="center"/>
          </w:tcPr>
          <w:p w14:paraId="1AAE282B">
            <w:pPr>
              <w:snapToGrid w:val="0"/>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磋商文件解释</w:t>
            </w:r>
          </w:p>
        </w:tc>
        <w:tc>
          <w:tcPr>
            <w:tcW w:w="6567" w:type="dxa"/>
            <w:vAlign w:val="center"/>
          </w:tcPr>
          <w:p w14:paraId="611709DA">
            <w:pPr>
              <w:snapToGrid w:val="0"/>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构成本磋商文件的各个组成文件应互为解释，互为说明；如有不明确或不一致，构成合同文件组成内容的，以合同文件约定内容为准，除磋商文件中有特别规定外，仅适用于采购阶段的规定，按磋商公告、供应商须知、评分方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51725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016" w:type="dxa"/>
            <w:vAlign w:val="center"/>
          </w:tcPr>
          <w:p w14:paraId="4946F28B">
            <w:pPr>
              <w:snapToGrid w:val="0"/>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8.3.2</w:t>
            </w:r>
          </w:p>
        </w:tc>
        <w:tc>
          <w:tcPr>
            <w:tcW w:w="1631" w:type="dxa"/>
            <w:vAlign w:val="center"/>
          </w:tcPr>
          <w:p w14:paraId="3B98E211">
            <w:pPr>
              <w:snapToGrid w:val="0"/>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河南省政府采购合同融资政策告知函</w:t>
            </w:r>
          </w:p>
        </w:tc>
        <w:tc>
          <w:tcPr>
            <w:tcW w:w="6567" w:type="dxa"/>
            <w:vAlign w:val="center"/>
          </w:tcPr>
          <w:p w14:paraId="42DACE6C">
            <w:pPr>
              <w:snapToGrid w:val="0"/>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各供应商：</w:t>
            </w:r>
          </w:p>
          <w:p w14:paraId="7B7B66D6">
            <w:pPr>
              <w:snapToGrid w:val="0"/>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欢迎贵公司参与河南省政府采购活动！</w:t>
            </w:r>
          </w:p>
          <w:p w14:paraId="4E4BF11F">
            <w:pPr>
              <w:snapToGrid w:val="0"/>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7C5393CB">
            <w:pPr>
              <w:snapToGrid w:val="0"/>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贷款渠道和提供贷款的金融机构，可在河南省政府采购网“河南省政府采购合同融资平台”查询联系。</w:t>
            </w:r>
          </w:p>
        </w:tc>
      </w:tr>
      <w:tr w14:paraId="08EB3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016" w:type="dxa"/>
            <w:vAlign w:val="center"/>
          </w:tcPr>
          <w:p w14:paraId="30B95964">
            <w:pPr>
              <w:wordWrap w:val="0"/>
              <w:snapToGrid w:val="0"/>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8.3.3</w:t>
            </w:r>
          </w:p>
        </w:tc>
        <w:tc>
          <w:tcPr>
            <w:tcW w:w="1631" w:type="dxa"/>
            <w:vAlign w:val="center"/>
          </w:tcPr>
          <w:p w14:paraId="2EFCD7C3">
            <w:pPr>
              <w:wordWrap w:val="0"/>
              <w:snapToGrid w:val="0"/>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投标（响应）文件无效</w:t>
            </w:r>
          </w:p>
        </w:tc>
        <w:tc>
          <w:tcPr>
            <w:tcW w:w="6567" w:type="dxa"/>
            <w:vAlign w:val="center"/>
          </w:tcPr>
          <w:p w14:paraId="6449C893">
            <w:pPr>
              <w:widowControl/>
              <w:wordWrap w:val="0"/>
              <w:snapToGrid w:val="0"/>
              <w:spacing w:line="360" w:lineRule="auto"/>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参与同一个标段（包）的供应商存在下列情形之一的，其投标 （响应）文件无效：</w:t>
            </w:r>
          </w:p>
          <w:p w14:paraId="26FCC3FC">
            <w:pPr>
              <w:widowControl/>
              <w:wordWrap w:val="0"/>
              <w:snapToGrid w:val="0"/>
              <w:spacing w:line="360" w:lineRule="auto"/>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（一）不同供应商的电子投标（响应）文件上传计算机的网卡MAC地址、CPU序列号和硬盘序列号等硬件信息相同的；</w:t>
            </w:r>
          </w:p>
          <w:p w14:paraId="4CDC64D4">
            <w:pPr>
              <w:widowControl/>
              <w:wordWrap w:val="0"/>
              <w:snapToGrid w:val="0"/>
              <w:spacing w:line="360" w:lineRule="auto"/>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（二）不同供应商的投标（响应）文件由同一电子设备编制、打印加密或者上传；</w:t>
            </w:r>
          </w:p>
          <w:p w14:paraId="7B5936D6">
            <w:pPr>
              <w:widowControl/>
              <w:wordWrap w:val="0"/>
              <w:snapToGrid w:val="0"/>
              <w:spacing w:line="360" w:lineRule="auto"/>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（三）不同供应商的投标（响应）文件由同一电子设备打印、复印；</w:t>
            </w:r>
          </w:p>
          <w:p w14:paraId="17DE1370">
            <w:pPr>
              <w:widowControl/>
              <w:wordWrap w:val="0"/>
              <w:snapToGrid w:val="0"/>
              <w:spacing w:line="360" w:lineRule="auto"/>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（四）不同供应商的投标（响应）文件由同一人送达或者分发，或者不同供应商联系人为同一人或不同联系人的联系电话一致的；</w:t>
            </w:r>
          </w:p>
          <w:p w14:paraId="280E1109">
            <w:pPr>
              <w:widowControl/>
              <w:wordWrap w:val="0"/>
              <w:snapToGrid w:val="0"/>
              <w:spacing w:line="360" w:lineRule="auto"/>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（五）不同供应商的投标（响应）文件的内容存在两处以上细节错误一致；</w:t>
            </w:r>
          </w:p>
          <w:p w14:paraId="10AB43F8">
            <w:pPr>
              <w:widowControl/>
              <w:wordWrap w:val="0"/>
              <w:snapToGrid w:val="0"/>
              <w:spacing w:line="360" w:lineRule="auto"/>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（六）不同供应商的法定代表人（单位负责人）</w:t>
            </w:r>
            <w:r>
              <w:rPr>
                <w:rFonts w:hint="eastAsia" w:ascii="宋体" w:hAnsi="宋体" w:eastAsia="宋体" w:cs="宋体"/>
                <w:color w:val="auto"/>
                <w:sz w:val="21"/>
                <w:szCs w:val="21"/>
                <w:highlight w:val="none"/>
              </w:rPr>
              <w:t>（单位负责人）</w:t>
            </w:r>
            <w:r>
              <w:rPr>
                <w:rFonts w:hint="eastAsia" w:ascii="宋体" w:hAnsi="宋体" w:eastAsia="宋体" w:cs="宋体"/>
                <w:color w:val="auto"/>
                <w:kern w:val="0"/>
                <w:sz w:val="21"/>
                <w:szCs w:val="21"/>
                <w:highlight w:val="none"/>
              </w:rPr>
              <w:t>、委托代理人、项目经理、项目负责人等由同一个单位缴纳社会保险或者领取报酬的；</w:t>
            </w:r>
          </w:p>
          <w:p w14:paraId="14ED8106">
            <w:pPr>
              <w:widowControl/>
              <w:wordWrap w:val="0"/>
              <w:snapToGrid w:val="0"/>
              <w:spacing w:line="360" w:lineRule="auto"/>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（七）不同供应商投标（响应）文件中法定代表人（单位负责人）</w:t>
            </w:r>
            <w:r>
              <w:rPr>
                <w:rFonts w:hint="eastAsia" w:ascii="宋体" w:hAnsi="宋体" w:eastAsia="宋体" w:cs="宋体"/>
                <w:color w:val="auto"/>
                <w:sz w:val="21"/>
                <w:szCs w:val="21"/>
                <w:highlight w:val="none"/>
              </w:rPr>
              <w:t>（单位负责人）</w:t>
            </w:r>
            <w:r>
              <w:rPr>
                <w:rFonts w:hint="eastAsia" w:ascii="宋体" w:hAnsi="宋体" w:eastAsia="宋体" w:cs="宋体"/>
                <w:color w:val="auto"/>
                <w:kern w:val="0"/>
                <w:sz w:val="21"/>
                <w:szCs w:val="21"/>
                <w:highlight w:val="none"/>
              </w:rPr>
              <w:t>或者负责人签字出自同一人之手；</w:t>
            </w:r>
          </w:p>
          <w:p w14:paraId="6F272B11">
            <w:pPr>
              <w:widowControl/>
              <w:wordWrap w:val="0"/>
              <w:snapToGrid w:val="0"/>
              <w:spacing w:line="360" w:lineRule="auto"/>
              <w:jc w:val="left"/>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（八）其它涉嫌串通的情形。</w:t>
            </w:r>
          </w:p>
        </w:tc>
      </w:tr>
    </w:tbl>
    <w:p w14:paraId="0CC35605">
      <w:pPr>
        <w:adjustRightInd w:val="0"/>
        <w:snapToGrid w:val="0"/>
        <w:spacing w:before="190" w:beforeLines="50" w:line="360" w:lineRule="auto"/>
        <w:ind w:firstLine="422" w:firstLineChars="200"/>
        <w:outlineLvl w:val="1"/>
        <w:rPr>
          <w:rFonts w:ascii="宋体" w:hAnsi="宋体" w:eastAsia="宋体" w:cs="宋体"/>
          <w:b/>
          <w:bCs/>
          <w:color w:val="auto"/>
          <w:sz w:val="21"/>
          <w:szCs w:val="21"/>
          <w:highlight w:val="none"/>
        </w:rPr>
      </w:pPr>
      <w:bookmarkStart w:id="40" w:name="_Toc32835884"/>
      <w:bookmarkEnd w:id="40"/>
      <w:bookmarkStart w:id="41" w:name="_Toc33260055"/>
      <w:bookmarkEnd w:id="41"/>
      <w:bookmarkStart w:id="42" w:name="_Toc6040"/>
      <w:bookmarkEnd w:id="42"/>
      <w:bookmarkStart w:id="43" w:name="_Toc28793"/>
      <w:bookmarkEnd w:id="43"/>
      <w:bookmarkStart w:id="44" w:name="_Toc17835"/>
      <w:bookmarkEnd w:id="44"/>
      <w:bookmarkStart w:id="45" w:name="_Toc26046"/>
      <w:r>
        <w:rPr>
          <w:rFonts w:hint="eastAsia" w:ascii="宋体" w:hAnsi="宋体" w:eastAsia="宋体" w:cs="宋体"/>
          <w:b/>
          <w:bCs/>
          <w:color w:val="auto"/>
          <w:sz w:val="21"/>
          <w:szCs w:val="21"/>
          <w:highlight w:val="none"/>
        </w:rPr>
        <w:t>1. 总则</w:t>
      </w:r>
      <w:bookmarkEnd w:id="45"/>
    </w:p>
    <w:p w14:paraId="4A570517">
      <w:pPr>
        <w:pStyle w:val="25"/>
        <w:adjustRightInd w:val="0"/>
        <w:snapToGrid w:val="0"/>
        <w:spacing w:line="360" w:lineRule="auto"/>
        <w:ind w:left="420"/>
        <w:outlineLvl w:val="2"/>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1.1 定义</w:t>
      </w:r>
    </w:p>
    <w:p w14:paraId="71894C65">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1.1.1采购人：“供应商须知前附表”中所述的、依法进行政府采购的国家机关、事业单位、团体组织。</w:t>
      </w:r>
    </w:p>
    <w:p w14:paraId="025F01A5">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1.1.2采购代理机构：受采购人委托组织采购活动，在采购过程中负有相应责任的社会中介组织。</w:t>
      </w:r>
    </w:p>
    <w:p w14:paraId="2E4BFF2E">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1.1.3供应商：根据政府采购合同，向采购人提供货物、工程或者服务的法人、其他组织或者自然人。</w:t>
      </w:r>
    </w:p>
    <w:p w14:paraId="3FC035B7">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1.1.4货物：指除了咨询服务以外的所有的物品、货物、装置和/或包括附件、备品备件、图纸、技术文件、用于运输和安装的包装、培训、维修和其他类似服务的供应。</w:t>
      </w:r>
    </w:p>
    <w:p w14:paraId="11E2E0DC">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1.1.5货物伴随服务：指磋商文件规定的供应商应承担的技术服务、技术协助、校准及售后服务和其他类似的义务。</w:t>
      </w:r>
    </w:p>
    <w:p w14:paraId="0EA0FCED">
      <w:pPr>
        <w:adjustRightInd w:val="0"/>
        <w:snapToGrid w:val="0"/>
        <w:spacing w:line="360" w:lineRule="auto"/>
        <w:ind w:firstLine="420" w:firstLineChars="200"/>
        <w:outlineLvl w:val="3"/>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1.1.6响应文件：指供应商根据磋商文件要求提交的所有文件。</w:t>
      </w:r>
    </w:p>
    <w:p w14:paraId="71A3385D">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1.1.7成交供应商：接到并接受成交通知书，最终被授予合同的供应商。</w:t>
      </w:r>
    </w:p>
    <w:p w14:paraId="637F2E44">
      <w:pPr>
        <w:adjustRightInd w:val="0"/>
        <w:snapToGrid w:val="0"/>
        <w:spacing w:line="360" w:lineRule="auto"/>
        <w:ind w:firstLine="422" w:firstLineChars="200"/>
        <w:outlineLvl w:val="2"/>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1.2项目概况</w:t>
      </w:r>
    </w:p>
    <w:p w14:paraId="415FFEDD">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1.2.1根据《中华人民共和国政府采购法》等有关法律、法规和规章的规定对本项目进行采购。本磋商文件仅适用于政府采购竞争性磋商方式采购的货物及伴随服务。</w:t>
      </w:r>
    </w:p>
    <w:p w14:paraId="2FFDD20B">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1.2.2本采购项目采购人：见供应商须知前附表。</w:t>
      </w:r>
    </w:p>
    <w:p w14:paraId="108F3773">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1.2.3本采购项目采购代理机构：见供应商须知前附表。</w:t>
      </w:r>
    </w:p>
    <w:p w14:paraId="363F3177">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1.2.4本采购项目名称：见供应商须知前附表。</w:t>
      </w:r>
    </w:p>
    <w:p w14:paraId="5DA4AE43">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1.2.5本采购项目编号：见供应商须知前附表。</w:t>
      </w:r>
    </w:p>
    <w:p w14:paraId="7ED113C6">
      <w:pPr>
        <w:adjustRightInd w:val="0"/>
        <w:snapToGrid w:val="0"/>
        <w:spacing w:line="360" w:lineRule="auto"/>
        <w:ind w:firstLine="422" w:firstLineChars="200"/>
        <w:outlineLvl w:val="2"/>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1.3 项目预算金额和政府采购最高限价</w:t>
      </w:r>
    </w:p>
    <w:p w14:paraId="360AA366">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1.3.1本采购项目的预算金额：见供应商须知前附表。</w:t>
      </w:r>
    </w:p>
    <w:p w14:paraId="3BE6C5E4">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1.3.2本采购项目的政府采购最高限价：见供应商须知前附表。</w:t>
      </w:r>
    </w:p>
    <w:p w14:paraId="5B7C3794">
      <w:pPr>
        <w:adjustRightInd w:val="0"/>
        <w:snapToGrid w:val="0"/>
        <w:spacing w:line="360" w:lineRule="auto"/>
        <w:ind w:firstLine="422" w:firstLineChars="200"/>
        <w:outlineLvl w:val="2"/>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1.4 采购内容及数量、</w:t>
      </w:r>
      <w:r>
        <w:rPr>
          <w:rFonts w:hint="eastAsia" w:ascii="宋体" w:hAnsi="宋体" w:eastAsia="宋体" w:cs="宋体"/>
          <w:b/>
          <w:color w:val="auto"/>
          <w:sz w:val="21"/>
          <w:szCs w:val="21"/>
          <w:highlight w:val="none"/>
          <w:lang w:eastAsia="zh-CN"/>
        </w:rPr>
        <w:t>交货期</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质量标准</w:t>
      </w:r>
      <w:r>
        <w:rPr>
          <w:rFonts w:hint="eastAsia" w:ascii="宋体" w:hAnsi="宋体" w:eastAsia="宋体" w:cs="宋体"/>
          <w:b/>
          <w:bCs/>
          <w:color w:val="auto"/>
          <w:sz w:val="21"/>
          <w:szCs w:val="21"/>
          <w:highlight w:val="none"/>
        </w:rPr>
        <w:t>、交货地点</w:t>
      </w:r>
    </w:p>
    <w:p w14:paraId="5EDD1EE4">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1.4.1采购内容及数量：见供应商须知前附表。</w:t>
      </w:r>
    </w:p>
    <w:p w14:paraId="48C2F3C6">
      <w:pPr>
        <w:adjustRightInd w:val="0"/>
        <w:snapToGrid w:val="0"/>
        <w:spacing w:line="360" w:lineRule="auto"/>
        <w:ind w:firstLine="407" w:firstLineChars="194"/>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1.4.2包段划分：见供应商须知前附表。</w:t>
      </w:r>
    </w:p>
    <w:p w14:paraId="25412A6F">
      <w:pPr>
        <w:adjustRightInd w:val="0"/>
        <w:snapToGrid w:val="0"/>
        <w:spacing w:line="360" w:lineRule="auto"/>
        <w:ind w:firstLine="407" w:firstLineChars="194"/>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1.4.3</w:t>
      </w:r>
      <w:r>
        <w:rPr>
          <w:rFonts w:hint="eastAsia" w:ascii="宋体" w:hAnsi="宋体" w:eastAsia="宋体" w:cs="宋体"/>
          <w:color w:val="auto"/>
          <w:sz w:val="21"/>
          <w:szCs w:val="21"/>
          <w:highlight w:val="none"/>
          <w:lang w:eastAsia="zh-CN"/>
        </w:rPr>
        <w:t>交货期</w:t>
      </w:r>
      <w:r>
        <w:rPr>
          <w:rFonts w:hint="eastAsia" w:ascii="宋体" w:hAnsi="宋体" w:eastAsia="宋体" w:cs="宋体"/>
          <w:color w:val="auto"/>
          <w:sz w:val="21"/>
          <w:szCs w:val="21"/>
          <w:highlight w:val="none"/>
        </w:rPr>
        <w:t>：见供应商须知前附表。</w:t>
      </w:r>
    </w:p>
    <w:p w14:paraId="6E187C08">
      <w:pPr>
        <w:adjustRightInd w:val="0"/>
        <w:snapToGrid w:val="0"/>
        <w:spacing w:line="360" w:lineRule="auto"/>
        <w:ind w:firstLine="407" w:firstLineChars="194"/>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1.4.4</w:t>
      </w:r>
      <w:r>
        <w:rPr>
          <w:rFonts w:hint="eastAsia" w:ascii="宋体" w:hAnsi="宋体" w:eastAsia="宋体" w:cs="宋体"/>
          <w:color w:val="auto"/>
          <w:sz w:val="21"/>
          <w:szCs w:val="21"/>
          <w:highlight w:val="none"/>
          <w:lang w:eastAsia="zh-CN"/>
        </w:rPr>
        <w:t>质量标准</w:t>
      </w:r>
      <w:r>
        <w:rPr>
          <w:rFonts w:hint="eastAsia" w:ascii="宋体" w:hAnsi="宋体" w:eastAsia="宋体" w:cs="宋体"/>
          <w:color w:val="auto"/>
          <w:sz w:val="21"/>
          <w:szCs w:val="21"/>
          <w:highlight w:val="none"/>
        </w:rPr>
        <w:t>：见供应商须知前附表。</w:t>
      </w:r>
    </w:p>
    <w:p w14:paraId="5CFF4B0E">
      <w:pPr>
        <w:adjustRightInd w:val="0"/>
        <w:snapToGrid w:val="0"/>
        <w:spacing w:line="360" w:lineRule="auto"/>
        <w:ind w:firstLine="407" w:firstLineChars="194"/>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1.4.5</w:t>
      </w:r>
      <w:r>
        <w:rPr>
          <w:rFonts w:hint="eastAsia" w:ascii="宋体" w:hAnsi="宋体" w:eastAsia="宋体" w:cs="宋体"/>
          <w:color w:val="auto"/>
          <w:sz w:val="21"/>
          <w:szCs w:val="21"/>
          <w:highlight w:val="none"/>
          <w:lang w:eastAsia="zh-CN"/>
        </w:rPr>
        <w:t>质量保证期</w:t>
      </w:r>
      <w:r>
        <w:rPr>
          <w:rFonts w:hint="eastAsia" w:ascii="宋体" w:hAnsi="宋体" w:eastAsia="宋体" w:cs="宋体"/>
          <w:color w:val="auto"/>
          <w:sz w:val="21"/>
          <w:szCs w:val="21"/>
          <w:highlight w:val="none"/>
        </w:rPr>
        <w:t>：见供应商须知前附表。</w:t>
      </w:r>
    </w:p>
    <w:p w14:paraId="6701C4F7">
      <w:pPr>
        <w:adjustRightInd w:val="0"/>
        <w:snapToGrid w:val="0"/>
        <w:spacing w:line="360" w:lineRule="auto"/>
        <w:ind w:firstLine="407" w:firstLineChars="194"/>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1.4.6交货地点：见供应商须知前附表。</w:t>
      </w:r>
    </w:p>
    <w:p w14:paraId="06AA13ED">
      <w:pPr>
        <w:adjustRightInd w:val="0"/>
        <w:snapToGrid w:val="0"/>
        <w:spacing w:line="360" w:lineRule="auto"/>
        <w:ind w:firstLine="422" w:firstLineChars="200"/>
        <w:outlineLvl w:val="2"/>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1.5 政府采购政策及采购进口产品</w:t>
      </w:r>
    </w:p>
    <w:p w14:paraId="0E639697">
      <w:pPr>
        <w:adjustRightInd w:val="0"/>
        <w:snapToGrid w:val="0"/>
        <w:spacing w:line="360" w:lineRule="auto"/>
        <w:ind w:firstLine="420" w:firstLineChars="200"/>
        <w:outlineLvl w:val="3"/>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1.5.1本项目执行的政府采购政策：见供应商须知前附表。</w:t>
      </w:r>
    </w:p>
    <w:p w14:paraId="7ED2061B">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1.5.2经财政部门核准允许采购进口产品：见供应商须知前附表。</w:t>
      </w:r>
    </w:p>
    <w:p w14:paraId="0EE245FD">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1.5.3政府强制采购的节能产品：见供应商须知前附表。</w:t>
      </w:r>
    </w:p>
    <w:p w14:paraId="7AEFDE2B">
      <w:pPr>
        <w:adjustRightInd w:val="0"/>
        <w:snapToGrid w:val="0"/>
        <w:spacing w:line="360" w:lineRule="auto"/>
        <w:ind w:firstLine="422" w:firstLineChars="200"/>
        <w:outlineLvl w:val="2"/>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1.6 供应商资格要求</w:t>
      </w:r>
    </w:p>
    <w:p w14:paraId="49F86CBA">
      <w:pPr>
        <w:adjustRightInd w:val="0"/>
        <w:snapToGrid w:val="0"/>
        <w:spacing w:line="360" w:lineRule="auto"/>
        <w:ind w:firstLine="420" w:firstLineChars="200"/>
        <w:outlineLvl w:val="3"/>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1.6.1供应商应具备承担本项目的资格条件、能力和信誉。</w:t>
      </w:r>
    </w:p>
    <w:p w14:paraId="28218185">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（1）资格条件：见供应商须知前附表；</w:t>
      </w:r>
    </w:p>
    <w:p w14:paraId="2AB9C19B">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（2）其他要求：见供应商须知前附表。</w:t>
      </w:r>
    </w:p>
    <w:p w14:paraId="1A01F07D">
      <w:pPr>
        <w:adjustRightInd w:val="0"/>
        <w:snapToGrid w:val="0"/>
        <w:spacing w:line="360" w:lineRule="auto"/>
        <w:ind w:firstLine="420" w:firstLineChars="200"/>
        <w:outlineLvl w:val="3"/>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1.6.2供应商不得存在下列情形之一：</w:t>
      </w:r>
    </w:p>
    <w:p w14:paraId="4336C58A">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（1）为采购人不具有独立法人资格的附属机构（单位）；</w:t>
      </w:r>
    </w:p>
    <w:p w14:paraId="5F961609">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（2）为本采购项目前期准备提供设计或咨询服务的；</w:t>
      </w:r>
    </w:p>
    <w:p w14:paraId="53685906">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（3）为本采购项目提供采购代理服务的； </w:t>
      </w:r>
    </w:p>
    <w:p w14:paraId="72E542C1">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（4）被责令停业的；</w:t>
      </w:r>
    </w:p>
    <w:p w14:paraId="0B49F60C">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（5）被暂停或取消投标资格的；</w:t>
      </w:r>
    </w:p>
    <w:p w14:paraId="6D13E1D5">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（6）本次政府采购活动前三年内，在经营活动中有重大违法记录的；</w:t>
      </w:r>
    </w:p>
    <w:p w14:paraId="15172B58">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（7）被</w:t>
      </w:r>
      <w:r>
        <w:rPr>
          <w:rFonts w:hint="eastAsia" w:ascii="宋体" w:hAnsi="宋体" w:eastAsia="宋体" w:cs="宋体"/>
          <w:color w:val="auto"/>
          <w:kern w:val="0"/>
          <w:sz w:val="21"/>
          <w:szCs w:val="21"/>
          <w:highlight w:val="none"/>
        </w:rPr>
        <w:t>列入失信被执行人、重大税收违法失信主体、政府采购严重违法失信行为记录名单的；</w:t>
      </w:r>
    </w:p>
    <w:p w14:paraId="13ED7BC0">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（8）单位负责人为同一人或者存在控股、管理关系的不同单位；</w:t>
      </w:r>
    </w:p>
    <w:p w14:paraId="19CB5E41">
      <w:pPr>
        <w:adjustRightInd w:val="0"/>
        <w:snapToGrid w:val="0"/>
        <w:spacing w:line="360" w:lineRule="auto"/>
        <w:ind w:firstLine="420" w:firstLineChars="200"/>
        <w:outlineLvl w:val="3"/>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1.6.3是否接受联合体：见供应商须知前附表。</w:t>
      </w:r>
    </w:p>
    <w:p w14:paraId="1082D15E">
      <w:pPr>
        <w:adjustRightInd w:val="0"/>
        <w:snapToGrid w:val="0"/>
        <w:spacing w:line="360" w:lineRule="auto"/>
        <w:ind w:firstLine="422" w:firstLineChars="200"/>
        <w:outlineLvl w:val="2"/>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1.7 费用承担</w:t>
      </w:r>
    </w:p>
    <w:p w14:paraId="2DA68573">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供应商准备和参加竞争性磋商活动发生的费用自理。</w:t>
      </w:r>
    </w:p>
    <w:p w14:paraId="03A600DB">
      <w:pPr>
        <w:adjustRightInd w:val="0"/>
        <w:snapToGrid w:val="0"/>
        <w:spacing w:line="360" w:lineRule="auto"/>
        <w:ind w:firstLine="422" w:firstLineChars="200"/>
        <w:outlineLvl w:val="2"/>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1.8 保密</w:t>
      </w:r>
    </w:p>
    <w:p w14:paraId="3311E03C">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参与竞争性磋商活动的各方应对磋商文件和响应文件中的商业和技术等秘密保密，违者应对由此造成的后果承担法律责任。</w:t>
      </w:r>
    </w:p>
    <w:p w14:paraId="778B1E15">
      <w:pPr>
        <w:adjustRightInd w:val="0"/>
        <w:snapToGrid w:val="0"/>
        <w:spacing w:line="360" w:lineRule="auto"/>
        <w:ind w:firstLine="422" w:firstLineChars="200"/>
        <w:outlineLvl w:val="2"/>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1.9 语言文字</w:t>
      </w:r>
    </w:p>
    <w:p w14:paraId="17AC4718">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磋商文件、响应文件使用的语言文字为中文。专用术语使用外文的，应附有中文注释。</w:t>
      </w:r>
    </w:p>
    <w:p w14:paraId="39B8B82D">
      <w:pPr>
        <w:adjustRightInd w:val="0"/>
        <w:snapToGrid w:val="0"/>
        <w:spacing w:line="360" w:lineRule="auto"/>
        <w:ind w:firstLine="422" w:firstLineChars="200"/>
        <w:outlineLvl w:val="2"/>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1.10 计量单位</w:t>
      </w:r>
    </w:p>
    <w:p w14:paraId="6E43E499">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所有计量均采用中华人民共和国法定计量单位。</w:t>
      </w:r>
    </w:p>
    <w:p w14:paraId="718D831D">
      <w:pPr>
        <w:adjustRightInd w:val="0"/>
        <w:snapToGrid w:val="0"/>
        <w:spacing w:line="360" w:lineRule="auto"/>
        <w:ind w:firstLine="422" w:firstLineChars="200"/>
        <w:outlineLvl w:val="2"/>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1.11 踏勘现场</w:t>
      </w:r>
    </w:p>
    <w:p w14:paraId="00436C5E">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1.11.1采购人是否组织现场踏勘：见供应商须知前附表。</w:t>
      </w:r>
    </w:p>
    <w:p w14:paraId="3C0978F8">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1.11.2供应商踏勘现场发生的费用自理。</w:t>
      </w:r>
    </w:p>
    <w:p w14:paraId="59622F4B">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1.11.3供应商自行负责在踏勘现场中所发生的人员伤亡和财产损失。</w:t>
      </w:r>
    </w:p>
    <w:p w14:paraId="552E1614">
      <w:pPr>
        <w:adjustRightInd w:val="0"/>
        <w:snapToGrid w:val="0"/>
        <w:spacing w:line="360" w:lineRule="auto"/>
        <w:ind w:firstLine="422" w:firstLineChars="200"/>
        <w:outlineLvl w:val="2"/>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1.12 供应商提出问题或要求澄清</w:t>
      </w:r>
    </w:p>
    <w:p w14:paraId="37BF2EF1">
      <w:pPr>
        <w:adjustRightInd w:val="0"/>
        <w:snapToGrid w:val="0"/>
        <w:spacing w:line="360" w:lineRule="auto"/>
        <w:ind w:firstLine="420" w:firstLineChars="200"/>
        <w:outlineLvl w:val="3"/>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1.12.1本次采购是否召开采购预备会：见供应商须知前附表。</w:t>
      </w:r>
    </w:p>
    <w:p w14:paraId="180885C5">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1.12.2供应商提出问题或要求澄清：潜在供应商对磋商文件内容如有疑问或需要澄清的，应按竞争性磋商公告中载明的地址以书面的形式通知到采购代理机构。</w:t>
      </w:r>
    </w:p>
    <w:p w14:paraId="189368DF">
      <w:pPr>
        <w:adjustRightInd w:val="0"/>
        <w:snapToGrid w:val="0"/>
        <w:spacing w:line="360" w:lineRule="auto"/>
        <w:ind w:firstLine="422" w:firstLineChars="200"/>
        <w:outlineLvl w:val="2"/>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1.13 偏离</w:t>
      </w:r>
    </w:p>
    <w:p w14:paraId="4F478E30">
      <w:pPr>
        <w:autoSpaceDE w:val="0"/>
        <w:autoSpaceDN w:val="0"/>
        <w:adjustRightInd w:val="0"/>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是否允许负偏离：</w:t>
      </w:r>
      <w:r>
        <w:rPr>
          <w:rFonts w:hint="eastAsia" w:ascii="宋体" w:hAnsi="宋体" w:eastAsia="宋体" w:cs="宋体"/>
          <w:color w:val="auto"/>
          <w:sz w:val="21"/>
          <w:szCs w:val="21"/>
          <w:highlight w:val="none"/>
        </w:rPr>
        <w:t>见供应商须知前附表</w:t>
      </w:r>
      <w:r>
        <w:rPr>
          <w:rFonts w:hint="eastAsia" w:ascii="宋体" w:hAnsi="宋体" w:eastAsia="宋体" w:cs="宋体"/>
          <w:color w:val="auto"/>
          <w:kern w:val="0"/>
          <w:sz w:val="21"/>
          <w:szCs w:val="21"/>
          <w:highlight w:val="none"/>
        </w:rPr>
        <w:t>。</w:t>
      </w:r>
    </w:p>
    <w:p w14:paraId="47EF989D">
      <w:pPr>
        <w:pStyle w:val="6"/>
        <w:keepLines w:val="0"/>
        <w:widowControl/>
        <w:adjustRightInd w:val="0"/>
        <w:snapToGrid w:val="0"/>
        <w:spacing w:before="0" w:after="0" w:line="360" w:lineRule="auto"/>
        <w:ind w:firstLine="422" w:firstLineChars="200"/>
        <w:rPr>
          <w:rFonts w:ascii="宋体" w:hAnsi="宋体" w:eastAsia="宋体" w:cs="宋体"/>
          <w:color w:val="auto"/>
          <w:sz w:val="21"/>
          <w:szCs w:val="21"/>
          <w:highlight w:val="none"/>
        </w:rPr>
      </w:pPr>
      <w:bookmarkStart w:id="46" w:name="_Toc33260056"/>
      <w:bookmarkEnd w:id="46"/>
      <w:bookmarkStart w:id="47" w:name="_Toc4591"/>
      <w:bookmarkEnd w:id="47"/>
      <w:bookmarkStart w:id="48" w:name="_Toc26104"/>
      <w:bookmarkEnd w:id="48"/>
      <w:bookmarkStart w:id="49" w:name="_Toc30101"/>
      <w:bookmarkEnd w:id="49"/>
      <w:bookmarkStart w:id="50" w:name="_Toc32835885"/>
      <w:bookmarkEnd w:id="50"/>
      <w:bookmarkStart w:id="51" w:name="_Toc1693"/>
      <w:r>
        <w:rPr>
          <w:rFonts w:hint="eastAsia" w:ascii="宋体" w:hAnsi="宋体" w:eastAsia="宋体" w:cs="宋体"/>
          <w:color w:val="auto"/>
          <w:sz w:val="21"/>
          <w:szCs w:val="21"/>
          <w:highlight w:val="none"/>
        </w:rPr>
        <w:t>2. 磋商文件</w:t>
      </w:r>
      <w:bookmarkEnd w:id="51"/>
    </w:p>
    <w:p w14:paraId="0762E5DE">
      <w:pPr>
        <w:adjustRightInd w:val="0"/>
        <w:snapToGrid w:val="0"/>
        <w:spacing w:line="360" w:lineRule="auto"/>
        <w:ind w:firstLine="422" w:firstLineChars="200"/>
        <w:outlineLvl w:val="2"/>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2.1 磋商文件的组成</w:t>
      </w:r>
    </w:p>
    <w:p w14:paraId="179FCB3D">
      <w:pPr>
        <w:adjustRightInd w:val="0"/>
        <w:snapToGrid w:val="0"/>
        <w:spacing w:line="360" w:lineRule="auto"/>
        <w:ind w:firstLine="420" w:firstLineChars="200"/>
        <w:outlineLvl w:val="3"/>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2.1.1本磋商文件包括：</w:t>
      </w:r>
    </w:p>
    <w:p w14:paraId="19F8FA79">
      <w:pPr>
        <w:pStyle w:val="25"/>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磋商文件用以阐明本次采购的货物要求、竞争性磋商程序和合同条件。</w:t>
      </w:r>
    </w:p>
    <w:p w14:paraId="27B18AAE">
      <w:pPr>
        <w:pStyle w:val="25"/>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磋商文件由下述部分组成：</w:t>
      </w:r>
    </w:p>
    <w:p w14:paraId="119598A4">
      <w:pPr>
        <w:pStyle w:val="25"/>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第一章 竞争性磋商公告 </w:t>
      </w:r>
    </w:p>
    <w:p w14:paraId="3EB945DE">
      <w:pPr>
        <w:pStyle w:val="25"/>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第二章 供应商须知</w:t>
      </w:r>
    </w:p>
    <w:p w14:paraId="0F3F33E0">
      <w:pPr>
        <w:pStyle w:val="25"/>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第三章 采购人需求</w:t>
      </w:r>
    </w:p>
    <w:p w14:paraId="514A37F4">
      <w:pPr>
        <w:pStyle w:val="25"/>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第四章 合同协议书（格式）</w:t>
      </w:r>
    </w:p>
    <w:p w14:paraId="07136EE1">
      <w:pPr>
        <w:pStyle w:val="25"/>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第五章 响应文件格式及附件</w:t>
      </w:r>
    </w:p>
    <w:p w14:paraId="44567369">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2.1.2根据本章第1.12款、第2.2款和第2.3款对磋商文件所作的澄清、修改，构成磋商文件的组成部分。</w:t>
      </w:r>
    </w:p>
    <w:p w14:paraId="49503BDA">
      <w:pPr>
        <w:adjustRightInd w:val="0"/>
        <w:snapToGrid w:val="0"/>
        <w:spacing w:line="360" w:lineRule="auto"/>
        <w:ind w:firstLine="422" w:firstLineChars="200"/>
        <w:outlineLvl w:val="2"/>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2.2 供应商要求对磋商文件澄清 </w:t>
      </w:r>
    </w:p>
    <w:p w14:paraId="3A29FB79">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2.2.1供应商应仔细阅读和检查磋商文件的全部内容。如发现缺页或附件不全，应及时向采购人提出，以便补齐。</w:t>
      </w:r>
    </w:p>
    <w:p w14:paraId="7BEB14BE">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2.2.2潜在供应商对磋商文件内容如有疑问或需要澄清的，应按竞争性磋商公告中载明的地址以书面的形式通知到采购代理机构。</w:t>
      </w:r>
    </w:p>
    <w:p w14:paraId="0C85BE2B">
      <w:pPr>
        <w:adjustRightInd w:val="0"/>
        <w:snapToGrid w:val="0"/>
        <w:spacing w:line="360" w:lineRule="auto"/>
        <w:ind w:firstLine="422" w:firstLineChars="200"/>
        <w:outlineLvl w:val="2"/>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2.3 磋商文件的修改</w:t>
      </w:r>
    </w:p>
    <w:p w14:paraId="6FD1B9E8">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2.3.1采购人可以书面形式修改磋商文件，澄清或者修改将在原竞争性磋商公告发布媒体上发布信息更正公告。如果修改磋商文件的时间距响应文件提交截止时间不足5日，并且修改内容影响响应文件编制的，将相应延长响应文件提交截止时间。</w:t>
      </w:r>
    </w:p>
    <w:p w14:paraId="6F33D981">
      <w:pPr>
        <w:pStyle w:val="6"/>
        <w:keepLines w:val="0"/>
        <w:widowControl/>
        <w:adjustRightInd w:val="0"/>
        <w:snapToGrid w:val="0"/>
        <w:spacing w:before="0" w:after="0" w:line="360" w:lineRule="auto"/>
        <w:ind w:firstLine="422" w:firstLineChars="200"/>
        <w:rPr>
          <w:rFonts w:ascii="宋体" w:hAnsi="宋体" w:eastAsia="宋体" w:cs="宋体"/>
          <w:bCs w:val="0"/>
          <w:color w:val="auto"/>
          <w:sz w:val="21"/>
          <w:szCs w:val="21"/>
          <w:highlight w:val="none"/>
        </w:rPr>
      </w:pPr>
      <w:bookmarkStart w:id="52" w:name="_Toc201"/>
      <w:bookmarkEnd w:id="52"/>
      <w:bookmarkStart w:id="53" w:name="_Toc12193"/>
      <w:bookmarkEnd w:id="53"/>
      <w:bookmarkStart w:id="54" w:name="_Toc33260057"/>
      <w:bookmarkEnd w:id="54"/>
      <w:bookmarkStart w:id="55" w:name="_Toc10605"/>
      <w:bookmarkEnd w:id="55"/>
      <w:bookmarkStart w:id="56" w:name="_Toc32835886"/>
      <w:bookmarkEnd w:id="56"/>
      <w:bookmarkStart w:id="57" w:name="_Toc25900"/>
      <w:r>
        <w:rPr>
          <w:rFonts w:hint="eastAsia" w:ascii="宋体" w:hAnsi="宋体" w:eastAsia="宋体" w:cs="宋体"/>
          <w:color w:val="auto"/>
          <w:sz w:val="21"/>
          <w:szCs w:val="21"/>
          <w:highlight w:val="none"/>
        </w:rPr>
        <w:t>3. 响应文件</w:t>
      </w:r>
      <w:bookmarkEnd w:id="57"/>
    </w:p>
    <w:p w14:paraId="7BBA54D8">
      <w:pPr>
        <w:adjustRightInd w:val="0"/>
        <w:snapToGrid w:val="0"/>
        <w:spacing w:line="360" w:lineRule="auto"/>
        <w:ind w:firstLine="422" w:firstLineChars="200"/>
        <w:outlineLvl w:val="2"/>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3.1 响应文件的组成</w:t>
      </w:r>
    </w:p>
    <w:p w14:paraId="63A37C66">
      <w:pPr>
        <w:adjustRightInd w:val="0"/>
        <w:snapToGrid w:val="0"/>
        <w:spacing w:line="360" w:lineRule="auto"/>
        <w:ind w:firstLine="420" w:firstLineChars="200"/>
        <w:outlineLvl w:val="3"/>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3.1.1响应文件应包括下列内容：</w:t>
      </w:r>
    </w:p>
    <w:p w14:paraId="461FE7D6">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（1）报价函；</w:t>
      </w:r>
    </w:p>
    <w:p w14:paraId="179B4308">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（2）报价一览表</w:t>
      </w:r>
    </w:p>
    <w:p w14:paraId="071B76A2">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（3）主要货物分项报价表</w:t>
      </w:r>
    </w:p>
    <w:p w14:paraId="4B84A26B">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（4）技术规格和商务条款偏差表</w:t>
      </w:r>
    </w:p>
    <w:p w14:paraId="0F2971E5">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）按供应商须知前附表要求出具的资格证明文件</w:t>
      </w:r>
    </w:p>
    <w:p w14:paraId="42C5E638">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）供应商认为需要提交的其他证明资料。</w:t>
      </w:r>
    </w:p>
    <w:p w14:paraId="556599A4">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磋商文件附件中给定格式的，供应商必须使用磋商文件提供的格式，但表格可以按同样格式扩展，磋商文件附件中未给定格式的，供应商可以自拟格式。</w:t>
      </w:r>
    </w:p>
    <w:p w14:paraId="2998C035">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3.1.2磋商文件中的每个包段，是项目采购不可拆分的最小单元，供应商必须按此分包段编制响应文件，提交相应的文件资料，拆分包段提交响应文件将视为非实质性响应磋商文件而不予接受。</w:t>
      </w:r>
    </w:p>
    <w:p w14:paraId="56065C5F">
      <w:pPr>
        <w:adjustRightInd w:val="0"/>
        <w:snapToGrid w:val="0"/>
        <w:spacing w:line="360" w:lineRule="auto"/>
        <w:ind w:firstLine="422" w:firstLineChars="200"/>
        <w:outlineLvl w:val="2"/>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3.2 竞争性磋商报价</w:t>
      </w:r>
    </w:p>
    <w:p w14:paraId="34F2D07A">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3.2.1本项目采购预算（政府采购最高限价）见供应商须知前附表。供应商在政府采购预算（政府采购最高限价）内自主报价，超过采购预算（政府采购最高限价）的报价为无效报价。</w:t>
      </w:r>
    </w:p>
    <w:p w14:paraId="37C9C872">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3.2.2供应商应按照磋商文件要求的报价表格式填写提供各项货物及服务的单价、分项总价和总报价。如果单价、分项总价和总报价之间有差异，</w:t>
      </w:r>
      <w:r>
        <w:rPr>
          <w:rFonts w:hint="eastAsia" w:ascii="宋体" w:hAnsi="宋体" w:eastAsia="宋体" w:cs="宋体"/>
          <w:color w:val="auto"/>
          <w:kern w:val="0"/>
          <w:sz w:val="21"/>
          <w:szCs w:val="21"/>
          <w:highlight w:val="none"/>
        </w:rPr>
        <w:t>按照6.8项之规定修正。</w:t>
      </w:r>
    </w:p>
    <w:p w14:paraId="496A05F3">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3.2.3竞争性磋商总报价应是采购人指定地点交货的包括交货前发生的各种税费、运费及保险费、运杂费、以及伴随的其它服务费总报价。</w:t>
      </w:r>
    </w:p>
    <w:p w14:paraId="2F0ECD79">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3.2.4供应商对每种货物只允许有一个报价，采购人和采购代理机构不接受有任何选择报价的竞争性磋商报价。</w:t>
      </w:r>
    </w:p>
    <w:p w14:paraId="44E402DE">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3.2.5供应商不得以任何理由在响应文件开启后对竞争性磋商报价予以修改，报价在竞争性磋商有效期内是固定的，不因任何原因而改变。任何包含价格调整要求和条件的竞争性磋商报价，将被视为非实质性响应磋商文件而予以拒绝。</w:t>
      </w:r>
    </w:p>
    <w:p w14:paraId="3CBFA730">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3.2.6磋商小组认为供应商的报价明显低于其他通过符合性审查供应商的报价，有可能影响产品质量或者不能诚信履约的，可以要求其在评审及磋商现场合理的时间内提供书面说明，必要时提交相关证明材料；供应商不能证明其报价合理性的，磋商小组应当将其作为无效竞争性磋商报价处理</w:t>
      </w:r>
      <w:r>
        <w:rPr>
          <w:rFonts w:hint="eastAsia" w:ascii="宋体" w:hAnsi="宋体" w:eastAsia="宋体" w:cs="宋体"/>
          <w:color w:val="auto"/>
          <w:sz w:val="21"/>
          <w:szCs w:val="21"/>
          <w:highlight w:val="none"/>
        </w:rPr>
        <w:t>。</w:t>
      </w:r>
    </w:p>
    <w:p w14:paraId="373A3AED">
      <w:pPr>
        <w:adjustRightInd w:val="0"/>
        <w:snapToGrid w:val="0"/>
        <w:spacing w:line="360" w:lineRule="auto"/>
        <w:ind w:firstLine="422" w:firstLineChars="200"/>
        <w:outlineLvl w:val="2"/>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3.3 磋商有效期</w:t>
      </w:r>
    </w:p>
    <w:p w14:paraId="2394CEC0">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3.3.1除供应商须知前附表另有规定外，磋商有效期为60日历天。磋商有效期不足的响应文件将被视为未响应磋商文件而予以拒绝。</w:t>
      </w:r>
    </w:p>
    <w:p w14:paraId="51794280">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3.3.2在磋商有效期内，供应商撤销或修改其响应文件的，应承担磋商文件和法律规定的责任。</w:t>
      </w:r>
    </w:p>
    <w:p w14:paraId="6A421A8D">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3.3.3在特殊情况下，采购人和采购代理机构可征求供应商同意延长磋商有效期，这种要求与答复均应以书面形式提交。供应商可以拒绝这种要求。同意延长磋商有效期的供应商将不会被要求也不允许修改其响应文件。</w:t>
      </w:r>
    </w:p>
    <w:p w14:paraId="61E5428C">
      <w:pPr>
        <w:adjustRightInd w:val="0"/>
        <w:snapToGrid w:val="0"/>
        <w:spacing w:line="360" w:lineRule="auto"/>
        <w:ind w:firstLine="422" w:firstLineChars="200"/>
        <w:outlineLvl w:val="2"/>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3.4 磋商保证金</w:t>
      </w:r>
    </w:p>
    <w:p w14:paraId="130C44DF">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见供应商须知前附表。</w:t>
      </w:r>
    </w:p>
    <w:p w14:paraId="2849E82A">
      <w:pPr>
        <w:adjustRightInd w:val="0"/>
        <w:snapToGrid w:val="0"/>
        <w:spacing w:line="360" w:lineRule="auto"/>
        <w:ind w:firstLine="422" w:firstLineChars="200"/>
        <w:outlineLvl w:val="2"/>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3.5 响应文件的编制</w:t>
      </w:r>
    </w:p>
    <w:p w14:paraId="6A857EF6">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3.5.1响应文件应按磋商文件第五章“响应文件格式及附件”进行编写，如有必要，可以增加附页，作为响应文件的组成部分。</w:t>
      </w:r>
    </w:p>
    <w:p w14:paraId="2AFAEE82">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3.5.2响应文件应当对磋商文件有关</w:t>
      </w:r>
      <w:r>
        <w:rPr>
          <w:rFonts w:hint="eastAsia" w:ascii="宋体" w:hAnsi="宋体" w:eastAsia="宋体" w:cs="宋体"/>
          <w:color w:val="auto"/>
          <w:sz w:val="21"/>
          <w:szCs w:val="21"/>
          <w:highlight w:val="none"/>
          <w:lang w:eastAsia="zh-CN"/>
        </w:rPr>
        <w:t>交货期</w:t>
      </w:r>
      <w:r>
        <w:rPr>
          <w:rFonts w:hint="eastAsia" w:ascii="宋体" w:hAnsi="宋体" w:eastAsia="宋体" w:cs="宋体"/>
          <w:color w:val="auto"/>
          <w:sz w:val="21"/>
          <w:szCs w:val="21"/>
          <w:highlight w:val="none"/>
        </w:rPr>
        <w:t>、磋商有效期、</w:t>
      </w:r>
      <w:r>
        <w:rPr>
          <w:rFonts w:hint="eastAsia" w:ascii="宋体" w:hAnsi="宋体" w:eastAsia="宋体" w:cs="宋体"/>
          <w:color w:val="auto"/>
          <w:sz w:val="21"/>
          <w:szCs w:val="21"/>
          <w:highlight w:val="none"/>
          <w:lang w:eastAsia="zh-CN"/>
        </w:rPr>
        <w:t>质量标准</w:t>
      </w:r>
      <w:r>
        <w:rPr>
          <w:rFonts w:hint="eastAsia" w:ascii="宋体" w:hAnsi="宋体" w:eastAsia="宋体" w:cs="宋体"/>
          <w:color w:val="auto"/>
          <w:sz w:val="21"/>
          <w:szCs w:val="21"/>
          <w:highlight w:val="none"/>
        </w:rPr>
        <w:t>、技术标准和要求、采购内容及数量等实质性内容作出响应。响应文件应按规定的格式填写，内容齐全且关键字迹清晰可辨。</w:t>
      </w:r>
    </w:p>
    <w:p w14:paraId="6E540D87">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3.5.3响应文件应由供应商的法定代表人（单位负责人）（单位负责人）或其委托代理人签字或加盖单位公章。委托代理人签字的，投标文件应附法定代表人（单位负责人）（单位负责人）签署的授权委托书。</w:t>
      </w:r>
    </w:p>
    <w:p w14:paraId="31F08CA0">
      <w:pPr>
        <w:pStyle w:val="6"/>
        <w:keepLines w:val="0"/>
        <w:widowControl/>
        <w:adjustRightInd w:val="0"/>
        <w:snapToGrid w:val="0"/>
        <w:spacing w:before="0" w:after="0" w:line="360" w:lineRule="auto"/>
        <w:ind w:firstLine="422" w:firstLineChars="200"/>
        <w:rPr>
          <w:rFonts w:ascii="宋体" w:hAnsi="宋体" w:eastAsia="宋体" w:cs="宋体"/>
          <w:b w:val="0"/>
          <w:color w:val="auto"/>
          <w:sz w:val="21"/>
          <w:szCs w:val="21"/>
          <w:highlight w:val="none"/>
        </w:rPr>
      </w:pPr>
      <w:bookmarkStart w:id="58" w:name="_Toc33260058"/>
      <w:bookmarkEnd w:id="58"/>
      <w:bookmarkStart w:id="59" w:name="_Toc8069"/>
      <w:bookmarkEnd w:id="59"/>
      <w:bookmarkStart w:id="60" w:name="_Toc31613"/>
      <w:bookmarkEnd w:id="60"/>
      <w:bookmarkStart w:id="61" w:name="_Toc32835887"/>
      <w:bookmarkEnd w:id="61"/>
      <w:bookmarkStart w:id="62" w:name="_Toc12422"/>
      <w:bookmarkEnd w:id="62"/>
      <w:bookmarkStart w:id="63" w:name="_Toc27182"/>
      <w:r>
        <w:rPr>
          <w:rFonts w:hint="eastAsia" w:ascii="宋体" w:hAnsi="宋体" w:eastAsia="宋体" w:cs="宋体"/>
          <w:color w:val="auto"/>
          <w:sz w:val="21"/>
          <w:szCs w:val="21"/>
          <w:highlight w:val="none"/>
        </w:rPr>
        <w:t>4. 响应文件提交</w:t>
      </w:r>
      <w:bookmarkEnd w:id="63"/>
    </w:p>
    <w:p w14:paraId="1F7931E4">
      <w:pPr>
        <w:adjustRightInd w:val="0"/>
        <w:snapToGrid w:val="0"/>
        <w:spacing w:line="360" w:lineRule="auto"/>
        <w:ind w:firstLine="422" w:firstLineChars="200"/>
        <w:outlineLvl w:val="2"/>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4.1 响应文件的密封和标记</w:t>
      </w:r>
    </w:p>
    <w:p w14:paraId="44069A04">
      <w:pPr>
        <w:adjustRightInd w:val="0"/>
        <w:snapToGrid w:val="0"/>
        <w:spacing w:line="360" w:lineRule="auto"/>
        <w:ind w:firstLine="420" w:firstLineChars="200"/>
        <w:outlineLvl w:val="3"/>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4.1.1</w:t>
      </w:r>
      <w:r>
        <w:rPr>
          <w:rFonts w:hint="eastAsia" w:ascii="宋体" w:hAnsi="宋体" w:eastAsia="宋体" w:cs="宋体"/>
          <w:bCs/>
          <w:color w:val="auto"/>
          <w:sz w:val="21"/>
          <w:szCs w:val="21"/>
          <w:highlight w:val="none"/>
        </w:rPr>
        <w:t>响应文件密封的具体要求见供应商须知前附表。</w:t>
      </w:r>
    </w:p>
    <w:p w14:paraId="18B653DC">
      <w:pPr>
        <w:adjustRightInd w:val="0"/>
        <w:snapToGrid w:val="0"/>
        <w:spacing w:line="360" w:lineRule="auto"/>
        <w:ind w:firstLine="422" w:firstLineChars="200"/>
        <w:outlineLvl w:val="2"/>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4.2 响应文件的提交时间和地点</w:t>
      </w:r>
    </w:p>
    <w:p w14:paraId="0D806631">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4.2.1响应文件递交截止时间：见供应商须知前附表。</w:t>
      </w:r>
    </w:p>
    <w:p w14:paraId="17BF8E74">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4.2.2响应文件提交地点：见供应商须知前附表。</w:t>
      </w:r>
    </w:p>
    <w:p w14:paraId="63CCFD3C">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4.2.3除供应商须知前附表另有规定外，供应商所递交的响应文件不予退还。</w:t>
      </w:r>
    </w:p>
    <w:p w14:paraId="3A179B45">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4.2.4逾期提交或者未按照磋商文件要求解密的响应文件，将被判定为无效响应文件。</w:t>
      </w:r>
    </w:p>
    <w:p w14:paraId="10D9B12B">
      <w:pPr>
        <w:adjustRightInd w:val="0"/>
        <w:snapToGrid w:val="0"/>
        <w:spacing w:line="360" w:lineRule="auto"/>
        <w:ind w:firstLine="422" w:firstLineChars="200"/>
        <w:outlineLvl w:val="2"/>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4.3 响应文件的修改与撤回</w:t>
      </w:r>
    </w:p>
    <w:p w14:paraId="0FB10465">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4.3.1供应商在响应文件提交截止时间前，可以对所递交的响应文件进行补充、修改或者撤回。</w:t>
      </w:r>
    </w:p>
    <w:p w14:paraId="590B153C">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4.3.2在响应文件提交截止时间之后，供应商不得对其响应文件做任何修改。</w:t>
      </w:r>
    </w:p>
    <w:p w14:paraId="7AEAC26D">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4.3.3从响应文件提交截止时间至供应商在响应文件中载明的磋商有效期满期间，供应商不得撤回其响应文件，否则供应商将承担相应的违约责任。</w:t>
      </w:r>
    </w:p>
    <w:p w14:paraId="6E8951FB">
      <w:pPr>
        <w:adjustRightInd w:val="0"/>
        <w:snapToGrid w:val="0"/>
        <w:spacing w:line="360" w:lineRule="auto"/>
        <w:ind w:firstLine="422" w:firstLineChars="200"/>
        <w:outlineLvl w:val="2"/>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4.4样品及演示</w:t>
      </w:r>
    </w:p>
    <w:p w14:paraId="3DECE3F5">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递交样品及演示要求：见供应商须知前附表。</w:t>
      </w:r>
    </w:p>
    <w:p w14:paraId="73A93FF1">
      <w:pPr>
        <w:pStyle w:val="6"/>
        <w:keepLines w:val="0"/>
        <w:widowControl/>
        <w:adjustRightInd w:val="0"/>
        <w:snapToGrid w:val="0"/>
        <w:spacing w:before="0" w:after="0" w:line="360" w:lineRule="auto"/>
        <w:ind w:firstLine="422" w:firstLineChars="200"/>
        <w:rPr>
          <w:rFonts w:ascii="宋体" w:hAnsi="宋体" w:eastAsia="宋体" w:cs="宋体"/>
          <w:b w:val="0"/>
          <w:color w:val="auto"/>
          <w:sz w:val="21"/>
          <w:szCs w:val="21"/>
          <w:highlight w:val="none"/>
        </w:rPr>
      </w:pPr>
      <w:bookmarkStart w:id="64" w:name="_Toc33260059"/>
      <w:bookmarkEnd w:id="64"/>
      <w:bookmarkStart w:id="65" w:name="_Toc12013"/>
      <w:bookmarkEnd w:id="65"/>
      <w:bookmarkStart w:id="66" w:name="_Toc3768"/>
      <w:bookmarkEnd w:id="66"/>
      <w:bookmarkStart w:id="67" w:name="_Toc2001"/>
      <w:bookmarkEnd w:id="67"/>
      <w:bookmarkStart w:id="68" w:name="_Toc32835888"/>
      <w:bookmarkEnd w:id="68"/>
      <w:bookmarkStart w:id="69" w:name="_Toc3214"/>
      <w:r>
        <w:rPr>
          <w:rFonts w:hint="eastAsia" w:ascii="宋体" w:hAnsi="宋体" w:eastAsia="宋体" w:cs="宋体"/>
          <w:color w:val="auto"/>
          <w:sz w:val="21"/>
          <w:szCs w:val="21"/>
          <w:highlight w:val="none"/>
        </w:rPr>
        <w:t>5. 响应文件开启</w:t>
      </w:r>
      <w:bookmarkEnd w:id="69"/>
    </w:p>
    <w:p w14:paraId="69293B5C">
      <w:pPr>
        <w:adjustRightInd w:val="0"/>
        <w:snapToGrid w:val="0"/>
        <w:spacing w:line="360" w:lineRule="auto"/>
        <w:ind w:firstLine="422" w:firstLineChars="200"/>
        <w:outlineLvl w:val="2"/>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5.1</w:t>
      </w:r>
      <w:r>
        <w:rPr>
          <w:rFonts w:hint="eastAsia" w:ascii="宋体" w:hAnsi="宋体" w:eastAsia="宋体" w:cs="宋体"/>
          <w:b/>
          <w:color w:val="auto"/>
          <w:sz w:val="21"/>
          <w:szCs w:val="21"/>
          <w:highlight w:val="none"/>
        </w:rPr>
        <w:t>响应文件开启</w:t>
      </w:r>
      <w:r>
        <w:rPr>
          <w:rFonts w:hint="eastAsia" w:ascii="宋体" w:hAnsi="宋体" w:eastAsia="宋体" w:cs="宋体"/>
          <w:b/>
          <w:bCs/>
          <w:color w:val="auto"/>
          <w:sz w:val="21"/>
          <w:szCs w:val="21"/>
          <w:highlight w:val="none"/>
        </w:rPr>
        <w:t>时间和地点</w:t>
      </w:r>
    </w:p>
    <w:p w14:paraId="7C6E868C">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采购代理机构在“供应商须知前附表”中规定的时间和地点开启响应文件。</w:t>
      </w:r>
    </w:p>
    <w:p w14:paraId="7A696CCE">
      <w:pPr>
        <w:adjustRightInd w:val="0"/>
        <w:snapToGrid w:val="0"/>
        <w:spacing w:line="360" w:lineRule="auto"/>
        <w:ind w:firstLine="422" w:firstLineChars="200"/>
        <w:outlineLvl w:val="2"/>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5.2</w:t>
      </w:r>
      <w:r>
        <w:rPr>
          <w:rFonts w:hint="eastAsia" w:ascii="宋体" w:hAnsi="宋体" w:eastAsia="宋体" w:cs="宋体"/>
          <w:b/>
          <w:color w:val="auto"/>
          <w:sz w:val="21"/>
          <w:szCs w:val="21"/>
          <w:highlight w:val="none"/>
        </w:rPr>
        <w:t>响应文件开启</w:t>
      </w:r>
      <w:r>
        <w:rPr>
          <w:rFonts w:hint="eastAsia" w:ascii="宋体" w:hAnsi="宋体" w:eastAsia="宋体" w:cs="宋体"/>
          <w:b/>
          <w:bCs/>
          <w:color w:val="auto"/>
          <w:sz w:val="21"/>
          <w:szCs w:val="21"/>
          <w:highlight w:val="none"/>
        </w:rPr>
        <w:t>程序</w:t>
      </w:r>
    </w:p>
    <w:p w14:paraId="32DF05DE">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开标会议由采购代理机构人员主持，主持人按下列程序进行开标会议：</w:t>
      </w:r>
    </w:p>
    <w:p w14:paraId="2CDC94C5">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（1）公布供应商名称</w:t>
      </w:r>
    </w:p>
    <w:p w14:paraId="192E9CBD">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（2）供应商解密投标文件；</w:t>
      </w:r>
    </w:p>
    <w:p w14:paraId="2AE85152">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（3）核对报价及相关信息；</w:t>
      </w:r>
    </w:p>
    <w:p w14:paraId="319945C7">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（4）电子签章；</w:t>
      </w:r>
    </w:p>
    <w:p w14:paraId="6210AF8B">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（5）开标结束。</w:t>
      </w:r>
    </w:p>
    <w:p w14:paraId="3ED74EEE">
      <w:pPr>
        <w:pStyle w:val="25"/>
        <w:adjustRightInd w:val="0"/>
        <w:snapToGrid w:val="0"/>
        <w:spacing w:line="360" w:lineRule="auto"/>
        <w:ind w:firstLine="422" w:firstLineChars="200"/>
        <w:outlineLvl w:val="2"/>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5.3 现场疑义</w:t>
      </w:r>
    </w:p>
    <w:p w14:paraId="11971073">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供应商代表对响应文件开启过程和记录有疑义，应当场提出询问，采购人、采购代理机构对供应商代表提出的疑义应当及时处理。</w:t>
      </w:r>
    </w:p>
    <w:p w14:paraId="7633C9DC">
      <w:pPr>
        <w:adjustRightInd w:val="0"/>
        <w:snapToGrid w:val="0"/>
        <w:spacing w:line="360" w:lineRule="auto"/>
        <w:ind w:firstLine="422" w:firstLineChars="200"/>
        <w:outlineLvl w:val="1"/>
        <w:rPr>
          <w:rFonts w:ascii="宋体" w:hAnsi="宋体" w:eastAsia="宋体" w:cs="宋体"/>
          <w:b/>
          <w:bCs/>
          <w:color w:val="auto"/>
          <w:sz w:val="21"/>
          <w:szCs w:val="21"/>
          <w:highlight w:val="none"/>
        </w:rPr>
      </w:pPr>
      <w:bookmarkStart w:id="70" w:name="_Toc31130"/>
      <w:bookmarkEnd w:id="70"/>
      <w:bookmarkStart w:id="71" w:name="_Toc5068"/>
      <w:bookmarkEnd w:id="71"/>
      <w:bookmarkStart w:id="72" w:name="_Toc17233"/>
      <w:bookmarkEnd w:id="72"/>
      <w:bookmarkStart w:id="73" w:name="_Toc32835890"/>
      <w:bookmarkEnd w:id="73"/>
      <w:bookmarkStart w:id="74" w:name="_Toc33260060"/>
      <w:bookmarkEnd w:id="74"/>
      <w:bookmarkStart w:id="75" w:name="_Toc5869"/>
      <w:r>
        <w:rPr>
          <w:rFonts w:hint="eastAsia" w:ascii="宋体" w:hAnsi="宋体" w:eastAsia="宋体" w:cs="宋体"/>
          <w:b/>
          <w:bCs/>
          <w:color w:val="auto"/>
          <w:sz w:val="21"/>
          <w:szCs w:val="21"/>
          <w:highlight w:val="none"/>
        </w:rPr>
        <w:t>6. 评审及磋商</w:t>
      </w:r>
      <w:bookmarkEnd w:id="75"/>
    </w:p>
    <w:p w14:paraId="474A2A5A">
      <w:pPr>
        <w:adjustRightInd w:val="0"/>
        <w:snapToGrid w:val="0"/>
        <w:spacing w:line="360" w:lineRule="auto"/>
        <w:ind w:firstLine="422" w:firstLineChars="200"/>
        <w:outlineLvl w:val="2"/>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6.1 磋商小组</w:t>
      </w:r>
    </w:p>
    <w:p w14:paraId="0121E13F">
      <w:pPr>
        <w:adjustRightInd w:val="0"/>
        <w:snapToGrid w:val="0"/>
        <w:spacing w:line="360" w:lineRule="auto"/>
        <w:ind w:firstLine="420" w:firstLineChars="2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评审及磋商由采购人依法组建的磋商小组负责。磋商小组由采购人代表和评审专家组成。成员人数应当为3人以上单数，其中评审专家不得少于成员总数的三分之二。</w:t>
      </w:r>
    </w:p>
    <w:p w14:paraId="53224759">
      <w:pPr>
        <w:adjustRightInd w:val="0"/>
        <w:snapToGrid w:val="0"/>
        <w:spacing w:line="360" w:lineRule="auto"/>
        <w:ind w:firstLine="420" w:firstLineChars="2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磋商小组成员人数以及技术、经济等方面专家的确定方式见供应商须知前附表。</w:t>
      </w:r>
    </w:p>
    <w:p w14:paraId="64E2276E">
      <w:pPr>
        <w:adjustRightInd w:val="0"/>
        <w:snapToGrid w:val="0"/>
        <w:spacing w:line="360" w:lineRule="auto"/>
        <w:ind w:firstLine="422" w:firstLineChars="200"/>
        <w:outlineLvl w:val="2"/>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6.2 评审专家回避</w:t>
      </w:r>
    </w:p>
    <w:p w14:paraId="1B89C9D9">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评审专家与参加采购活动的供应商存在下列利害关系之一的,应当回避:</w:t>
      </w:r>
    </w:p>
    <w:p w14:paraId="32617C6D">
      <w:pPr>
        <w:widowControl/>
        <w:adjustRightInd w:val="0"/>
        <w:snapToGrid w:val="0"/>
        <w:spacing w:line="360" w:lineRule="auto"/>
        <w:ind w:firstLine="420" w:firstLineChars="2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(1)参加采购活动前三年内,与供应商存在劳动关系,或者担任过供应商的董事、监事,或者是供应商的控股股东或实际控制人；</w:t>
      </w:r>
    </w:p>
    <w:p w14:paraId="7683C97C">
      <w:pPr>
        <w:widowControl/>
        <w:adjustRightInd w:val="0"/>
        <w:snapToGrid w:val="0"/>
        <w:spacing w:line="360" w:lineRule="auto"/>
        <w:ind w:firstLine="420" w:firstLineChars="2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(2)与供应商的法定代表人（单位负责人）或者负责人有夫妻、直系血亲、三代以内旁系血亲或者近姻亲关系；</w:t>
      </w:r>
    </w:p>
    <w:p w14:paraId="65B7E971">
      <w:pPr>
        <w:widowControl/>
        <w:adjustRightInd w:val="0"/>
        <w:snapToGrid w:val="0"/>
        <w:spacing w:line="360" w:lineRule="auto"/>
        <w:ind w:firstLine="420" w:firstLineChars="2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(3)与供应商有其他可能影响政府采购活动公平、公正进行的关系。</w:t>
      </w:r>
    </w:p>
    <w:p w14:paraId="3483866A">
      <w:pPr>
        <w:widowControl/>
        <w:adjustRightInd w:val="0"/>
        <w:snapToGrid w:val="0"/>
        <w:spacing w:line="360" w:lineRule="auto"/>
        <w:ind w:firstLine="420" w:firstLineChars="2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评审专家发现本人与参加采购活动的供应商有利害关系的,应当主动提出回避。采购人或者采购代理机构发现评审专家与参加采购活动的供应商有利害关系的,应当要求其回避。</w:t>
      </w:r>
    </w:p>
    <w:p w14:paraId="0F35A2AF">
      <w:pPr>
        <w:widowControl/>
        <w:adjustRightInd w:val="0"/>
        <w:snapToGrid w:val="0"/>
        <w:spacing w:line="360" w:lineRule="auto"/>
        <w:ind w:firstLine="420" w:firstLineChars="2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各级财政部门政府采购监督管理工作人员,不得作为评审专家参与政府采购项目的评审活动。</w:t>
      </w:r>
    </w:p>
    <w:p w14:paraId="3A046196">
      <w:pPr>
        <w:adjustRightInd w:val="0"/>
        <w:snapToGrid w:val="0"/>
        <w:spacing w:line="360" w:lineRule="auto"/>
        <w:ind w:firstLine="422" w:firstLineChars="200"/>
        <w:outlineLvl w:val="2"/>
        <w:rPr>
          <w:rFonts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6.3 磋商小组职责</w:t>
      </w:r>
    </w:p>
    <w:p w14:paraId="2F5BC028">
      <w:pPr>
        <w:widowControl/>
        <w:adjustRightInd w:val="0"/>
        <w:snapToGrid w:val="0"/>
        <w:spacing w:line="360" w:lineRule="auto"/>
        <w:ind w:firstLine="420" w:firstLineChars="2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磋商小组负责具体评审及磋商事务，并独立履行下列职责:</w:t>
      </w:r>
    </w:p>
    <w:p w14:paraId="0A984CE7">
      <w:pPr>
        <w:widowControl/>
        <w:adjustRightInd w:val="0"/>
        <w:snapToGrid w:val="0"/>
        <w:spacing w:line="360" w:lineRule="auto"/>
        <w:ind w:firstLine="420" w:firstLineChars="2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6.3.1审查、评价响应文件是否符合磋商文件的商务、技术等实质性要求；</w:t>
      </w:r>
    </w:p>
    <w:p w14:paraId="6260DFFB">
      <w:pPr>
        <w:widowControl/>
        <w:adjustRightInd w:val="0"/>
        <w:snapToGrid w:val="0"/>
        <w:spacing w:line="360" w:lineRule="auto"/>
        <w:ind w:firstLine="420" w:firstLineChars="2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6.3.2要求供应商对响应文件有关事项作出澄清或者说明；</w:t>
      </w:r>
    </w:p>
    <w:p w14:paraId="3DF54F42">
      <w:pPr>
        <w:widowControl/>
        <w:adjustRightInd w:val="0"/>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6.3.3对响应文件进行比较和评价</w:t>
      </w:r>
      <w:r>
        <w:rPr>
          <w:rFonts w:hint="eastAsia" w:ascii="宋体" w:hAnsi="宋体" w:eastAsia="宋体" w:cs="宋体"/>
          <w:color w:val="auto"/>
          <w:kern w:val="0"/>
          <w:sz w:val="21"/>
          <w:szCs w:val="21"/>
          <w:highlight w:val="none"/>
        </w:rPr>
        <w:t>；</w:t>
      </w:r>
    </w:p>
    <w:p w14:paraId="59E2BB2E">
      <w:pPr>
        <w:widowControl/>
        <w:adjustRightInd w:val="0"/>
        <w:snapToGrid w:val="0"/>
        <w:spacing w:line="360" w:lineRule="auto"/>
        <w:ind w:firstLine="420" w:firstLineChars="2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6.3.4确定成交候选人名单，或者根据采购人委托直接确定成交供应商；</w:t>
      </w:r>
    </w:p>
    <w:p w14:paraId="29C1B1F4">
      <w:pPr>
        <w:widowControl/>
        <w:adjustRightInd w:val="0"/>
        <w:snapToGrid w:val="0"/>
        <w:spacing w:line="360" w:lineRule="auto"/>
        <w:ind w:firstLine="420" w:firstLineChars="2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6.3.5向采购人、采购代理机构或者有关部门报告评审及磋商中发现的违法行为。</w:t>
      </w:r>
    </w:p>
    <w:p w14:paraId="241D8574">
      <w:pPr>
        <w:adjustRightInd w:val="0"/>
        <w:snapToGrid w:val="0"/>
        <w:spacing w:line="360" w:lineRule="auto"/>
        <w:ind w:firstLine="422" w:firstLineChars="200"/>
        <w:outlineLvl w:val="2"/>
        <w:rPr>
          <w:rFonts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6.4磋商小组成员变更</w:t>
      </w:r>
    </w:p>
    <w:p w14:paraId="287D92F6">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磋商小组</w:t>
      </w:r>
      <w:r>
        <w:rPr>
          <w:rFonts w:hint="eastAsia" w:ascii="宋体" w:hAnsi="宋体" w:eastAsia="宋体" w:cs="宋体"/>
          <w:bCs/>
          <w:color w:val="auto"/>
          <w:sz w:val="21"/>
          <w:szCs w:val="21"/>
          <w:highlight w:val="none"/>
        </w:rPr>
        <w:t>评审及磋商</w:t>
      </w:r>
      <w:r>
        <w:rPr>
          <w:rFonts w:hint="eastAsia" w:ascii="宋体" w:hAnsi="宋体" w:eastAsia="宋体" w:cs="宋体"/>
          <w:color w:val="auto"/>
          <w:kern w:val="0"/>
          <w:sz w:val="21"/>
          <w:szCs w:val="21"/>
          <w:highlight w:val="none"/>
        </w:rPr>
        <w:t>中因磋商小组成员缺席、回避或者健康等特殊原因导致磋商小组组成不符合规定的，采购人或者采购代理机构应当依法补足后继续</w:t>
      </w:r>
      <w:r>
        <w:rPr>
          <w:rFonts w:hint="eastAsia" w:ascii="宋体" w:hAnsi="宋体" w:eastAsia="宋体" w:cs="宋体"/>
          <w:bCs/>
          <w:color w:val="auto"/>
          <w:sz w:val="21"/>
          <w:szCs w:val="21"/>
          <w:highlight w:val="none"/>
        </w:rPr>
        <w:t>评审及磋商</w:t>
      </w:r>
      <w:r>
        <w:rPr>
          <w:rFonts w:hint="eastAsia" w:ascii="宋体" w:hAnsi="宋体" w:eastAsia="宋体" w:cs="宋体"/>
          <w:color w:val="auto"/>
          <w:kern w:val="0"/>
          <w:sz w:val="21"/>
          <w:szCs w:val="21"/>
          <w:highlight w:val="none"/>
        </w:rPr>
        <w:t>。被更换的磋商小组成员所作出的</w:t>
      </w:r>
      <w:r>
        <w:rPr>
          <w:rFonts w:hint="eastAsia" w:ascii="宋体" w:hAnsi="宋体" w:eastAsia="宋体" w:cs="宋体"/>
          <w:bCs/>
          <w:color w:val="auto"/>
          <w:sz w:val="21"/>
          <w:szCs w:val="21"/>
          <w:highlight w:val="none"/>
        </w:rPr>
        <w:t>评审</w:t>
      </w:r>
      <w:r>
        <w:rPr>
          <w:rFonts w:hint="eastAsia" w:ascii="宋体" w:hAnsi="宋体" w:eastAsia="宋体" w:cs="宋体"/>
          <w:color w:val="auto"/>
          <w:kern w:val="0"/>
          <w:sz w:val="21"/>
          <w:szCs w:val="21"/>
          <w:highlight w:val="none"/>
        </w:rPr>
        <w:t>意见无效</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无法及时补足磋商小组成员的，采购人或者采购代理机构应当停止</w:t>
      </w:r>
      <w:r>
        <w:rPr>
          <w:rFonts w:hint="eastAsia" w:ascii="宋体" w:hAnsi="宋体" w:eastAsia="宋体" w:cs="宋体"/>
          <w:bCs/>
          <w:color w:val="auto"/>
          <w:sz w:val="21"/>
          <w:szCs w:val="21"/>
          <w:highlight w:val="none"/>
        </w:rPr>
        <w:t>评审及磋商</w:t>
      </w:r>
      <w:r>
        <w:rPr>
          <w:rFonts w:hint="eastAsia" w:ascii="宋体" w:hAnsi="宋体" w:eastAsia="宋体" w:cs="宋体"/>
          <w:color w:val="auto"/>
          <w:kern w:val="0"/>
          <w:sz w:val="21"/>
          <w:szCs w:val="21"/>
          <w:highlight w:val="none"/>
        </w:rPr>
        <w:t>活动，封存所有响应文件和</w:t>
      </w:r>
      <w:r>
        <w:rPr>
          <w:rFonts w:hint="eastAsia" w:ascii="宋体" w:hAnsi="宋体" w:eastAsia="宋体" w:cs="宋体"/>
          <w:bCs/>
          <w:color w:val="auto"/>
          <w:sz w:val="21"/>
          <w:szCs w:val="21"/>
          <w:highlight w:val="none"/>
        </w:rPr>
        <w:t>评审及磋商</w:t>
      </w:r>
      <w:r>
        <w:rPr>
          <w:rFonts w:hint="eastAsia" w:ascii="宋体" w:hAnsi="宋体" w:eastAsia="宋体" w:cs="宋体"/>
          <w:color w:val="auto"/>
          <w:kern w:val="0"/>
          <w:sz w:val="21"/>
          <w:szCs w:val="21"/>
          <w:highlight w:val="none"/>
        </w:rPr>
        <w:t>资料，依法重新组建磋商小组进行</w:t>
      </w:r>
      <w:r>
        <w:rPr>
          <w:rFonts w:hint="eastAsia" w:ascii="宋体" w:hAnsi="宋体" w:eastAsia="宋体" w:cs="宋体"/>
          <w:bCs/>
          <w:color w:val="auto"/>
          <w:sz w:val="21"/>
          <w:szCs w:val="21"/>
          <w:highlight w:val="none"/>
        </w:rPr>
        <w:t>评审及磋商</w:t>
      </w:r>
      <w:r>
        <w:rPr>
          <w:rFonts w:hint="eastAsia" w:ascii="宋体" w:hAnsi="宋体" w:eastAsia="宋体" w:cs="宋体"/>
          <w:color w:val="auto"/>
          <w:kern w:val="0"/>
          <w:sz w:val="21"/>
          <w:szCs w:val="21"/>
          <w:highlight w:val="none"/>
        </w:rPr>
        <w:t>。原磋商小组所作出的</w:t>
      </w:r>
      <w:r>
        <w:rPr>
          <w:rFonts w:hint="eastAsia" w:ascii="宋体" w:hAnsi="宋体" w:eastAsia="宋体" w:cs="宋体"/>
          <w:bCs/>
          <w:color w:val="auto"/>
          <w:sz w:val="21"/>
          <w:szCs w:val="21"/>
          <w:highlight w:val="none"/>
        </w:rPr>
        <w:t>评审及磋商</w:t>
      </w:r>
      <w:r>
        <w:rPr>
          <w:rFonts w:hint="eastAsia" w:ascii="宋体" w:hAnsi="宋体" w:eastAsia="宋体" w:cs="宋体"/>
          <w:color w:val="auto"/>
          <w:kern w:val="0"/>
          <w:sz w:val="21"/>
          <w:szCs w:val="21"/>
          <w:highlight w:val="none"/>
        </w:rPr>
        <w:t>意见无效；采购人或者采购代理机构应当将变更、重新组建磋商小组的情况予以记录，并随磋商文件一并存档。</w:t>
      </w:r>
    </w:p>
    <w:p w14:paraId="70FF0DC2">
      <w:pPr>
        <w:adjustRightInd w:val="0"/>
        <w:snapToGrid w:val="0"/>
        <w:spacing w:line="360" w:lineRule="auto"/>
        <w:ind w:firstLine="422" w:firstLineChars="200"/>
        <w:outlineLvl w:val="2"/>
        <w:rPr>
          <w:rFonts w:ascii="宋体" w:hAnsi="宋体" w:eastAsia="宋体" w:cs="宋体"/>
          <w:b/>
          <w:bCs/>
          <w:color w:val="auto"/>
          <w:kern w:val="0"/>
          <w:sz w:val="21"/>
          <w:szCs w:val="21"/>
          <w:highlight w:val="none"/>
        </w:rPr>
      </w:pPr>
      <w:r>
        <w:rPr>
          <w:rFonts w:hint="eastAsia" w:ascii="宋体" w:hAnsi="宋体" w:eastAsia="宋体" w:cs="宋体"/>
          <w:b/>
          <w:bCs/>
          <w:color w:val="auto"/>
          <w:sz w:val="21"/>
          <w:szCs w:val="21"/>
          <w:highlight w:val="none"/>
        </w:rPr>
        <w:t>6.5</w:t>
      </w:r>
      <w:r>
        <w:rPr>
          <w:rFonts w:hint="eastAsia" w:ascii="宋体" w:hAnsi="宋体" w:eastAsia="宋体" w:cs="宋体"/>
          <w:b/>
          <w:bCs/>
          <w:color w:val="auto"/>
          <w:kern w:val="0"/>
          <w:sz w:val="21"/>
          <w:szCs w:val="21"/>
          <w:highlight w:val="none"/>
        </w:rPr>
        <w:t>资格审查、符合性审查、响应性审查</w:t>
      </w:r>
    </w:p>
    <w:p w14:paraId="505B2239">
      <w:pPr>
        <w:adjustRightInd w:val="0"/>
        <w:snapToGrid w:val="0"/>
        <w:spacing w:line="360" w:lineRule="auto"/>
        <w:ind w:firstLine="422" w:firstLineChars="200"/>
        <w:rPr>
          <w:rFonts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磋商小组成员首先根据以下资格性审查、符合性审查及响应性审查的评审因素、评审标准对各供应商进行初步评审，有一项内容不满足要求即视为未实质性响应磋商文件要求，其响应文件按无效响应处理，初步评审不予通过，磋商小组应当告知提交响应文件的供应商。</w:t>
      </w:r>
    </w:p>
    <w:p w14:paraId="6D3983D3">
      <w:pPr>
        <w:adjustRightInd w:val="0"/>
        <w:snapToGrid w:val="0"/>
        <w:spacing w:line="360" w:lineRule="auto"/>
        <w:ind w:firstLine="422" w:firstLineChars="200"/>
        <w:rPr>
          <w:rFonts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6.5.1资格审查标准：详见供应商须知前附表1.6。</w:t>
      </w:r>
    </w:p>
    <w:p w14:paraId="101B53D4">
      <w:pPr>
        <w:adjustRightInd w:val="0"/>
        <w:snapToGrid w:val="0"/>
        <w:spacing w:line="360" w:lineRule="auto"/>
        <w:ind w:firstLine="422" w:firstLineChars="200"/>
        <w:rPr>
          <w:rFonts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6.5.2符合性审查标准：详见供应商须知前附表6.5.2。</w:t>
      </w:r>
    </w:p>
    <w:p w14:paraId="2DB63DBC">
      <w:pPr>
        <w:adjustRightInd w:val="0"/>
        <w:snapToGrid w:val="0"/>
        <w:spacing w:line="360" w:lineRule="auto"/>
        <w:ind w:firstLine="422" w:firstLineChars="200"/>
        <w:outlineLvl w:val="3"/>
        <w:rPr>
          <w:rFonts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rPr>
        <w:t>6.5.3响应性审查标准：详见供应商须知前附表6.5.3。</w:t>
      </w:r>
    </w:p>
    <w:p w14:paraId="280914D4">
      <w:pPr>
        <w:adjustRightInd w:val="0"/>
        <w:snapToGrid w:val="0"/>
        <w:spacing w:line="360" w:lineRule="auto"/>
        <w:ind w:firstLine="422" w:firstLineChars="200"/>
        <w:jc w:val="left"/>
        <w:outlineLvl w:val="2"/>
        <w:rPr>
          <w:rFonts w:ascii="宋体" w:hAnsi="宋体" w:eastAsia="宋体" w:cs="宋体"/>
          <w:b/>
          <w:bCs/>
          <w:color w:val="auto"/>
          <w:kern w:val="0"/>
          <w:sz w:val="21"/>
          <w:szCs w:val="21"/>
          <w:highlight w:val="none"/>
        </w:rPr>
      </w:pPr>
      <w:r>
        <w:rPr>
          <w:rFonts w:hint="eastAsia" w:ascii="宋体" w:hAnsi="宋体" w:eastAsia="宋体" w:cs="宋体"/>
          <w:b/>
          <w:bCs/>
          <w:color w:val="auto"/>
          <w:sz w:val="21"/>
          <w:szCs w:val="21"/>
          <w:highlight w:val="none"/>
        </w:rPr>
        <w:t>6.6无效响应文件</w:t>
      </w:r>
    </w:p>
    <w:p w14:paraId="60182055">
      <w:pPr>
        <w:adjustRightInd w:val="0"/>
        <w:snapToGrid w:val="0"/>
        <w:spacing w:line="360" w:lineRule="auto"/>
        <w:ind w:firstLine="420" w:firstLineChars="2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响应文件出现下列情形之一的，由磋商小组审核后按无效响应文件不再继续评审：</w:t>
      </w:r>
    </w:p>
    <w:p w14:paraId="30DCF7DF">
      <w:pPr>
        <w:adjustRightInd w:val="0"/>
        <w:snapToGrid w:val="0"/>
        <w:spacing w:line="360" w:lineRule="auto"/>
        <w:ind w:firstLine="420" w:firstLineChars="2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（1）响应文件未按照磋商文件要求进行签署、盖章；</w:t>
      </w:r>
    </w:p>
    <w:p w14:paraId="63068889">
      <w:pPr>
        <w:adjustRightInd w:val="0"/>
        <w:snapToGrid w:val="0"/>
        <w:spacing w:line="360" w:lineRule="auto"/>
        <w:ind w:firstLine="420" w:firstLineChars="2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（2）同一供应商提交两个以上不同的响应文件或者响应报价；</w:t>
      </w:r>
    </w:p>
    <w:p w14:paraId="4CCD27AE">
      <w:pPr>
        <w:adjustRightInd w:val="0"/>
        <w:snapToGrid w:val="0"/>
        <w:spacing w:line="360" w:lineRule="auto"/>
        <w:ind w:firstLine="420" w:firstLineChars="2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（3）响应报价高于磋商文件设定的预算金额（政府采购最高限价）；</w:t>
      </w:r>
    </w:p>
    <w:p w14:paraId="72C7EBD8">
      <w:pPr>
        <w:adjustRightInd w:val="0"/>
        <w:snapToGrid w:val="0"/>
        <w:spacing w:line="360" w:lineRule="auto"/>
        <w:ind w:firstLine="420" w:firstLineChars="2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（4）不满足磋商文件规定的不允许偏离的实质性要求和条件；</w:t>
      </w:r>
    </w:p>
    <w:p w14:paraId="0DC73F31">
      <w:pPr>
        <w:adjustRightInd w:val="0"/>
        <w:snapToGrid w:val="0"/>
        <w:spacing w:line="360" w:lineRule="auto"/>
        <w:ind w:firstLine="420" w:firstLineChars="2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（5）磋商有效期不足的；</w:t>
      </w:r>
    </w:p>
    <w:p w14:paraId="1790F94D">
      <w:pPr>
        <w:adjustRightInd w:val="0"/>
        <w:snapToGrid w:val="0"/>
        <w:spacing w:line="360" w:lineRule="auto"/>
        <w:ind w:firstLine="420" w:firstLineChars="2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（6）响应文件附有采购人不能接受的条件的。</w:t>
      </w:r>
    </w:p>
    <w:p w14:paraId="7CC7F74F">
      <w:pPr>
        <w:adjustRightInd w:val="0"/>
        <w:snapToGrid w:val="0"/>
        <w:spacing w:line="360" w:lineRule="auto"/>
        <w:ind w:firstLine="420" w:firstLineChars="2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（7）供应商不符合国家法律法规所规定资格条件；</w:t>
      </w:r>
    </w:p>
    <w:p w14:paraId="7DFD1959">
      <w:pPr>
        <w:adjustRightInd w:val="0"/>
        <w:snapToGrid w:val="0"/>
        <w:spacing w:line="360" w:lineRule="auto"/>
        <w:ind w:firstLine="420" w:firstLineChars="2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（8）供应商不符合磋商文件规定的资格条件；</w:t>
      </w:r>
    </w:p>
    <w:p w14:paraId="6C3648C8">
      <w:pPr>
        <w:adjustRightInd w:val="0"/>
        <w:snapToGrid w:val="0"/>
        <w:spacing w:line="360" w:lineRule="auto"/>
        <w:ind w:firstLine="420" w:firstLineChars="2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（9）参与同一个标段（包）的供应商存在供应商须知前附表规定的投标 （响应）文件无效情形。</w:t>
      </w:r>
    </w:p>
    <w:p w14:paraId="21D402B5">
      <w:pPr>
        <w:adjustRightInd w:val="0"/>
        <w:snapToGrid w:val="0"/>
        <w:spacing w:line="360" w:lineRule="auto"/>
        <w:ind w:firstLine="422" w:firstLineChars="200"/>
        <w:outlineLvl w:val="2"/>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6.7响应文件的澄清</w:t>
      </w:r>
    </w:p>
    <w:p w14:paraId="5C5CC9C2">
      <w:pPr>
        <w:adjustRightInd w:val="0"/>
        <w:snapToGrid w:val="0"/>
        <w:spacing w:line="360" w:lineRule="auto"/>
        <w:ind w:firstLine="420" w:firstLineChars="2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6.7.1对于响应文件中含义不明确、同类问题表述不一致或者有明显文字和计算错误的内容，磋商小组应当以书面形式要求供应商作出必要的澄清、说明或者补正；</w:t>
      </w:r>
    </w:p>
    <w:p w14:paraId="21551F7F">
      <w:pPr>
        <w:adjustRightInd w:val="0"/>
        <w:snapToGrid w:val="0"/>
        <w:spacing w:line="360" w:lineRule="auto"/>
        <w:ind w:firstLine="420" w:firstLineChars="2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6.7.2供应商的澄清、说明或者补正应当采用书面形式，并加盖公章，或者由法定代表人（单位负责人）或其授权的代表签字；</w:t>
      </w:r>
    </w:p>
    <w:p w14:paraId="2D9E6500">
      <w:pPr>
        <w:adjustRightInd w:val="0"/>
        <w:snapToGrid w:val="0"/>
        <w:spacing w:line="360" w:lineRule="auto"/>
        <w:ind w:firstLine="420" w:firstLineChars="2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6.7.3供应商的澄清、说明或者补正不得超出响应文件的范围或者改变响应文件的实质性内容。</w:t>
      </w:r>
    </w:p>
    <w:p w14:paraId="5A2C537E">
      <w:pPr>
        <w:adjustRightInd w:val="0"/>
        <w:snapToGrid w:val="0"/>
        <w:spacing w:line="360" w:lineRule="auto"/>
        <w:ind w:firstLine="422" w:firstLineChars="200"/>
        <w:outlineLvl w:val="2"/>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6.8错误的修正</w:t>
      </w:r>
    </w:p>
    <w:p w14:paraId="322F5E24">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6.8.1响应文件报价出现前后不一致的，除磋商文件另有规定外，按照下列规定修正</w:t>
      </w:r>
      <w:r>
        <w:rPr>
          <w:rFonts w:hint="eastAsia" w:ascii="宋体" w:hAnsi="宋体" w:eastAsia="宋体" w:cs="宋体"/>
          <w:color w:val="auto"/>
          <w:sz w:val="21"/>
          <w:szCs w:val="21"/>
          <w:highlight w:val="none"/>
        </w:rPr>
        <w:t>：</w:t>
      </w:r>
    </w:p>
    <w:p w14:paraId="10E126EC">
      <w:pPr>
        <w:adjustRightInd w:val="0"/>
        <w:snapToGrid w:val="0"/>
        <w:spacing w:line="360" w:lineRule="auto"/>
        <w:ind w:firstLine="210" w:firstLineChars="1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（1）响应文件中报价一览表（报价表）内容与响应文件中相应内容不一致的，以报价一览表（报价表）为准；</w:t>
      </w:r>
    </w:p>
    <w:p w14:paraId="1DC84158">
      <w:pPr>
        <w:widowControl/>
        <w:adjustRightInd w:val="0"/>
        <w:snapToGrid w:val="0"/>
        <w:spacing w:line="360" w:lineRule="auto"/>
        <w:ind w:firstLine="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（2）大写金额和小写金额不一致的，以大写金额为准；</w:t>
      </w:r>
    </w:p>
    <w:p w14:paraId="77432335">
      <w:pPr>
        <w:widowControl/>
        <w:adjustRightInd w:val="0"/>
        <w:snapToGrid w:val="0"/>
        <w:spacing w:line="360" w:lineRule="auto"/>
        <w:ind w:firstLine="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（3）单价金额小数点或者百分比有明显错位的，以报价一览表的总价为准，并修改单价；</w:t>
      </w:r>
    </w:p>
    <w:p w14:paraId="7F50515F">
      <w:pPr>
        <w:widowControl/>
        <w:adjustRightInd w:val="0"/>
        <w:snapToGrid w:val="0"/>
        <w:spacing w:line="360" w:lineRule="auto"/>
        <w:ind w:firstLine="210" w:firstLineChars="1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（4）总价金额与按单价汇总金额不一致的，以单价金额计算结果为准。</w:t>
      </w:r>
    </w:p>
    <w:p w14:paraId="3AAF4C54">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同时出现两种以上不一致的，按照前款规定的顺序修正。修正后的报价经供应商确认后产生约束力，供应商不确认的，其响应报价无效。</w:t>
      </w:r>
    </w:p>
    <w:p w14:paraId="25ECD13B">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6.8.2允许修正响应文件中不构成重大偏离的、微小的、非正规的、不一致或不规则的地方。</w:t>
      </w:r>
    </w:p>
    <w:p w14:paraId="5C7E25BC">
      <w:pPr>
        <w:adjustRightInd w:val="0"/>
        <w:snapToGrid w:val="0"/>
        <w:spacing w:line="360" w:lineRule="auto"/>
        <w:ind w:firstLine="420" w:firstLineChars="2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重大偏离是指对磋商文件规定的范围、质量和性能产生重大或不可接受的偏差，或限制了采购代理机构、采购人的权力和供应商的义务的规定，而纠正这些偏离将影响到其它提交实质性响应文件的供应商的公平竞争地位。</w:t>
      </w:r>
    </w:p>
    <w:p w14:paraId="38100F59">
      <w:pPr>
        <w:adjustRightInd w:val="0"/>
        <w:snapToGrid w:val="0"/>
        <w:spacing w:line="360" w:lineRule="auto"/>
        <w:ind w:firstLine="422" w:firstLineChars="200"/>
        <w:outlineLvl w:val="2"/>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6.9磋商的程序及方法</w:t>
      </w:r>
    </w:p>
    <w:p w14:paraId="3971AF1E">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6.9.1磋商文件能够详细列明采购标的的技术、服务要求的，磋商结束后，磋商小组将要求所有实质性响应的供应商在规定时间内提交最后报价，提交最后报价的供应商不得少于3家。如符合《政府采购竞争性磋商采购方式管理暂行办法》规定的相关情形的，提交最后报价的供应商可以为2家。</w:t>
      </w:r>
    </w:p>
    <w:p w14:paraId="05C26F1E">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6.9.2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如符合《政府采购竞争性磋商采购方式管理暂行办法》规定的相关情形的，提交最后报价的供应商可以为2家。</w:t>
      </w:r>
    </w:p>
    <w:p w14:paraId="07B9866F">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6.9.3如磋商小组一致认为某个供应商的报价明显不合理，有降低质量、不能诚信履行的可能时，磋商小组有权决定是否通知供应商限期进行书面解释或提供相关证明材料。若已要求，而该供应商在规定期限内未做出解释、作出的解释不合理或不能提供证明材料的，经磋商小组取得一致意见后，可拒绝该报价。</w:t>
      </w:r>
    </w:p>
    <w:p w14:paraId="5EF72DF2">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6.9.4经磋商确定最终采购需求和提交最后报价的供应商后，由磋商小组采用综合评分法对提交最后报价的供应商的响应文件和最后报价进行综合评分。</w:t>
      </w:r>
    </w:p>
    <w:p w14:paraId="5026EE9F">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6.9.5未在规定时间内提交最后报价的供应商，以第一轮报价进行评审。</w:t>
      </w:r>
    </w:p>
    <w:p w14:paraId="286DAFDA">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标准如下:</w:t>
      </w:r>
    </w:p>
    <w:tbl>
      <w:tblPr>
        <w:tblStyle w:val="27"/>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15" w:type="dxa"/>
          <w:left w:w="15" w:type="dxa"/>
          <w:bottom w:w="15" w:type="dxa"/>
          <w:right w:w="15" w:type="dxa"/>
        </w:tblCellMar>
      </w:tblPr>
      <w:tblGrid>
        <w:gridCol w:w="1181"/>
        <w:gridCol w:w="1236"/>
        <w:gridCol w:w="6681"/>
      </w:tblGrid>
      <w:tr w14:paraId="13CD5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649" w:type="pct"/>
            <w:vAlign w:val="center"/>
          </w:tcPr>
          <w:p w14:paraId="08DBCD22">
            <w:pPr>
              <w:widowControl/>
              <w:spacing w:line="360" w:lineRule="auto"/>
              <w:jc w:val="center"/>
              <w:textAlignment w:val="top"/>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bidi="ar"/>
              </w:rPr>
              <w:t>评分因素</w:t>
            </w:r>
          </w:p>
        </w:tc>
        <w:tc>
          <w:tcPr>
            <w:tcW w:w="679" w:type="pct"/>
            <w:vAlign w:val="center"/>
          </w:tcPr>
          <w:p w14:paraId="780D6030">
            <w:pPr>
              <w:widowControl/>
              <w:spacing w:line="36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bidi="ar"/>
              </w:rPr>
              <w:t>评分内容</w:t>
            </w:r>
          </w:p>
        </w:tc>
        <w:tc>
          <w:tcPr>
            <w:tcW w:w="3671" w:type="pct"/>
            <w:vAlign w:val="center"/>
          </w:tcPr>
          <w:p w14:paraId="4F11A39F">
            <w:pPr>
              <w:widowControl/>
              <w:spacing w:line="36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bidi="ar"/>
              </w:rPr>
              <w:t>评 分 标 准</w:t>
            </w:r>
          </w:p>
        </w:tc>
      </w:tr>
      <w:tr w14:paraId="16864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2" w:hRule="atLeast"/>
        </w:trPr>
        <w:tc>
          <w:tcPr>
            <w:tcW w:w="649" w:type="pct"/>
            <w:vMerge w:val="restart"/>
            <w:vAlign w:val="center"/>
          </w:tcPr>
          <w:p w14:paraId="56342D3E">
            <w:pPr>
              <w:jc w:val="center"/>
              <w:rPr>
                <w:rFonts w:hint="eastAsia" w:ascii="宋体" w:hAnsi="宋体" w:eastAsia="宋体" w:cs="宋体"/>
                <w:color w:val="auto"/>
                <w:kern w:val="0"/>
                <w:sz w:val="21"/>
                <w:szCs w:val="21"/>
                <w:highlight w:val="none"/>
              </w:rPr>
            </w:pPr>
            <w:r>
              <w:rPr>
                <w:rFonts w:hint="eastAsia" w:ascii="宋体" w:hAnsi="宋体" w:eastAsia="宋体" w:cs="宋体"/>
                <w:bCs/>
                <w:color w:val="auto"/>
                <w:spacing w:val="6"/>
                <w:sz w:val="21"/>
                <w:szCs w:val="21"/>
                <w:highlight w:val="none"/>
              </w:rPr>
              <w:t>报价部分（30分）</w:t>
            </w:r>
          </w:p>
        </w:tc>
        <w:tc>
          <w:tcPr>
            <w:tcW w:w="679" w:type="pct"/>
            <w:vMerge w:val="restart"/>
            <w:vAlign w:val="center"/>
          </w:tcPr>
          <w:p w14:paraId="3F367742">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Cs/>
                <w:color w:val="auto"/>
                <w:spacing w:val="6"/>
                <w:sz w:val="21"/>
                <w:szCs w:val="21"/>
                <w:highlight w:val="none"/>
              </w:rPr>
              <w:t>报价部分（30分）</w:t>
            </w:r>
          </w:p>
        </w:tc>
        <w:tc>
          <w:tcPr>
            <w:tcW w:w="3671" w:type="pct"/>
            <w:vMerge w:val="restart"/>
            <w:vAlign w:val="center"/>
          </w:tcPr>
          <w:p w14:paraId="59585A65">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1.1对小型和微型企业产品给予响应报价10%的扣除，用扣除后的价格参与评审。</w:t>
            </w:r>
          </w:p>
          <w:p w14:paraId="49C485DF">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依据财库〔2020〕46号文、财库〔2022〕19号文的相关规定，在货物采购项目中，供应商提供的货物既有小微企业制造的，也有大中型企业制造的，不享受价格扣除。</w:t>
            </w:r>
          </w:p>
          <w:p w14:paraId="7BA5D52D">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1.2监狱企业、残疾人福利性单位视同小型、微型企业，对其投标报价按1.1款的比例予以扣除，用扣除后的价格参与评审。监狱企业参加政府采购活动时，应当提供省级以上监狱管理局、戒毒管理局（含新疆生产建设兵团）出具的属于监狱企业的证明文件。</w:t>
            </w:r>
          </w:p>
          <w:p w14:paraId="7FE00F4C">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残疾人福利性单位参加政府采购活动时，应当提供《残疾人福利性单位声明函》</w:t>
            </w:r>
          </w:p>
          <w:p w14:paraId="27743F16">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1.3监狱企业、残疾人福利性单位属于小型、微型企业的，不重复享受政策。</w:t>
            </w:r>
          </w:p>
          <w:p w14:paraId="1916276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价格分采用低价优先法计算，即满足磋商文件要求且评审报价最低的为评审基准价，其价格分为满分。其他供应商的价格分统一按照下列公式计算：</w:t>
            </w:r>
          </w:p>
          <w:p w14:paraId="7B969E4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磋商报价得分=(磋商基准价</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最后报价)×30</w:t>
            </w:r>
          </w:p>
        </w:tc>
      </w:tr>
      <w:tr w14:paraId="6AB4B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68" w:hRule="atLeast"/>
        </w:trPr>
        <w:tc>
          <w:tcPr>
            <w:tcW w:w="649" w:type="pct"/>
            <w:vMerge w:val="continue"/>
            <w:vAlign w:val="center"/>
          </w:tcPr>
          <w:p w14:paraId="58C372FA">
            <w:pPr>
              <w:spacing w:line="360" w:lineRule="auto"/>
              <w:jc w:val="center"/>
              <w:rPr>
                <w:rFonts w:hint="eastAsia" w:ascii="宋体" w:hAnsi="宋体" w:eastAsia="宋体" w:cs="宋体"/>
                <w:color w:val="auto"/>
                <w:sz w:val="21"/>
                <w:szCs w:val="21"/>
                <w:highlight w:val="none"/>
              </w:rPr>
            </w:pPr>
          </w:p>
        </w:tc>
        <w:tc>
          <w:tcPr>
            <w:tcW w:w="679" w:type="pct"/>
            <w:vMerge w:val="continue"/>
            <w:vAlign w:val="center"/>
          </w:tcPr>
          <w:p w14:paraId="34BAF485">
            <w:pPr>
              <w:spacing w:line="360" w:lineRule="auto"/>
              <w:jc w:val="center"/>
              <w:rPr>
                <w:rFonts w:hint="eastAsia" w:ascii="宋体" w:hAnsi="宋体" w:eastAsia="宋体" w:cs="宋体"/>
                <w:color w:val="auto"/>
                <w:kern w:val="0"/>
                <w:sz w:val="21"/>
                <w:szCs w:val="21"/>
                <w:highlight w:val="none"/>
              </w:rPr>
            </w:pPr>
          </w:p>
        </w:tc>
        <w:tc>
          <w:tcPr>
            <w:tcW w:w="3671" w:type="pct"/>
            <w:vMerge w:val="continue"/>
            <w:vAlign w:val="center"/>
          </w:tcPr>
          <w:p w14:paraId="396FBED1">
            <w:pPr>
              <w:spacing w:line="360" w:lineRule="auto"/>
              <w:jc w:val="left"/>
              <w:rPr>
                <w:rFonts w:hint="eastAsia" w:ascii="宋体" w:hAnsi="宋体" w:eastAsia="宋体" w:cs="宋体"/>
                <w:color w:val="auto"/>
                <w:sz w:val="21"/>
                <w:szCs w:val="21"/>
                <w:highlight w:val="none"/>
              </w:rPr>
            </w:pPr>
          </w:p>
        </w:tc>
      </w:tr>
      <w:tr w14:paraId="1E695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649" w:type="pct"/>
            <w:vMerge w:val="restart"/>
            <w:vAlign w:val="center"/>
          </w:tcPr>
          <w:p w14:paraId="5F048D00">
            <w:pPr>
              <w:spacing w:line="360" w:lineRule="auto"/>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商务部分</w:t>
            </w:r>
          </w:p>
          <w:p w14:paraId="54C01CE5">
            <w:pPr>
              <w:spacing w:line="360" w:lineRule="auto"/>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w:t>
            </w:r>
            <w:r>
              <w:rPr>
                <w:rFonts w:hint="eastAsia" w:ascii="宋体" w:hAnsi="宋体" w:eastAsia="宋体" w:cs="宋体"/>
                <w:bCs/>
                <w:iCs/>
                <w:color w:val="auto"/>
                <w:sz w:val="21"/>
                <w:szCs w:val="21"/>
                <w:highlight w:val="none"/>
                <w:lang w:val="en-US" w:eastAsia="zh-CN"/>
              </w:rPr>
              <w:t>15</w:t>
            </w:r>
            <w:r>
              <w:rPr>
                <w:rFonts w:hint="eastAsia" w:ascii="宋体" w:hAnsi="宋体" w:eastAsia="宋体" w:cs="宋体"/>
                <w:color w:val="auto"/>
                <w:kern w:val="0"/>
                <w:sz w:val="21"/>
                <w:szCs w:val="21"/>
                <w:highlight w:val="none"/>
                <w:lang w:bidi="ar"/>
              </w:rPr>
              <w:t>分）</w:t>
            </w:r>
          </w:p>
        </w:tc>
        <w:tc>
          <w:tcPr>
            <w:tcW w:w="679" w:type="pct"/>
            <w:vAlign w:val="center"/>
          </w:tcPr>
          <w:p w14:paraId="5412E7CB">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业绩（</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分）</w:t>
            </w:r>
          </w:p>
        </w:tc>
        <w:tc>
          <w:tcPr>
            <w:tcW w:w="3671" w:type="pct"/>
            <w:vAlign w:val="center"/>
          </w:tcPr>
          <w:p w14:paraId="6F7820C3">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供应商每提供一份2021年1月1日（以合同签订时间为准）以来类似项目（服装销售）业绩得2分，最高得6分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提供合同扫描件</w:t>
            </w:r>
            <w:r>
              <w:rPr>
                <w:rFonts w:hint="eastAsia" w:ascii="宋体" w:hAnsi="宋体" w:eastAsia="宋体" w:cs="宋体"/>
                <w:color w:val="auto"/>
                <w:sz w:val="21"/>
                <w:szCs w:val="21"/>
                <w:highlight w:val="none"/>
                <w:lang w:eastAsia="zh-CN"/>
              </w:rPr>
              <w:t>）</w:t>
            </w:r>
          </w:p>
        </w:tc>
      </w:tr>
      <w:tr w14:paraId="58E16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649" w:type="pct"/>
            <w:vMerge w:val="continue"/>
            <w:vAlign w:val="center"/>
          </w:tcPr>
          <w:p w14:paraId="4A450C4E">
            <w:pPr>
              <w:spacing w:line="360" w:lineRule="auto"/>
              <w:jc w:val="center"/>
              <w:rPr>
                <w:rFonts w:hint="eastAsia" w:ascii="宋体" w:hAnsi="宋体" w:eastAsia="宋体" w:cs="宋体"/>
                <w:color w:val="auto"/>
                <w:kern w:val="0"/>
                <w:sz w:val="21"/>
                <w:szCs w:val="21"/>
                <w:highlight w:val="none"/>
                <w:lang w:bidi="ar"/>
              </w:rPr>
            </w:pPr>
          </w:p>
        </w:tc>
        <w:tc>
          <w:tcPr>
            <w:tcW w:w="679" w:type="pct"/>
            <w:vAlign w:val="center"/>
          </w:tcPr>
          <w:p w14:paraId="3DEFC562">
            <w:pPr>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认证证书</w:t>
            </w:r>
          </w:p>
          <w:p w14:paraId="63516B82">
            <w:pPr>
              <w:spacing w:line="360" w:lineRule="auto"/>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分）</w:t>
            </w:r>
          </w:p>
        </w:tc>
        <w:tc>
          <w:tcPr>
            <w:tcW w:w="3671" w:type="pct"/>
            <w:vAlign w:val="center"/>
          </w:tcPr>
          <w:p w14:paraId="4948B253">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lang w:val="en-US" w:eastAsia="zh-CN"/>
              </w:rPr>
              <w:t>或制造商</w:t>
            </w:r>
            <w:r>
              <w:rPr>
                <w:rFonts w:hint="eastAsia" w:ascii="宋体" w:hAnsi="宋体" w:eastAsia="宋体" w:cs="宋体"/>
                <w:color w:val="auto"/>
                <w:sz w:val="21"/>
                <w:szCs w:val="21"/>
                <w:highlight w:val="none"/>
              </w:rPr>
              <w:t>提供有效期内的质量管理体系认证证书、职业健康安全管理体系认证书、环境管理体系认证证书，每</w:t>
            </w:r>
            <w:r>
              <w:rPr>
                <w:rFonts w:hint="eastAsia" w:ascii="宋体" w:hAnsi="宋体" w:eastAsia="宋体" w:cs="宋体"/>
                <w:color w:val="auto"/>
                <w:sz w:val="21"/>
                <w:szCs w:val="21"/>
                <w:highlight w:val="none"/>
                <w:lang w:val="en-US" w:eastAsia="zh-CN"/>
              </w:rPr>
              <w:t>有一</w:t>
            </w:r>
            <w:r>
              <w:rPr>
                <w:rFonts w:hint="eastAsia" w:ascii="宋体" w:hAnsi="宋体" w:eastAsia="宋体" w:cs="宋体"/>
                <w:color w:val="auto"/>
                <w:sz w:val="21"/>
                <w:szCs w:val="21"/>
                <w:highlight w:val="none"/>
              </w:rPr>
              <w:t>项得1分，本项最高得3分。（注：响应文件附证书</w:t>
            </w:r>
            <w:r>
              <w:rPr>
                <w:rFonts w:hint="eastAsia" w:ascii="宋体" w:hAnsi="宋体" w:eastAsia="宋体" w:cs="宋体"/>
                <w:color w:val="auto"/>
                <w:sz w:val="21"/>
                <w:szCs w:val="21"/>
                <w:highlight w:val="none"/>
                <w:lang w:val="en-US" w:eastAsia="zh-CN"/>
              </w:rPr>
              <w:t>扫描</w:t>
            </w:r>
            <w:r>
              <w:rPr>
                <w:rFonts w:hint="eastAsia" w:ascii="宋体" w:hAnsi="宋体" w:eastAsia="宋体" w:cs="宋体"/>
                <w:color w:val="auto"/>
                <w:sz w:val="21"/>
                <w:szCs w:val="21"/>
                <w:highlight w:val="none"/>
              </w:rPr>
              <w:t>件并加盖公章）</w:t>
            </w:r>
          </w:p>
        </w:tc>
      </w:tr>
      <w:tr w14:paraId="1A03AF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22" w:hRule="atLeast"/>
        </w:trPr>
        <w:tc>
          <w:tcPr>
            <w:tcW w:w="649" w:type="pct"/>
            <w:vMerge w:val="continue"/>
            <w:vAlign w:val="center"/>
          </w:tcPr>
          <w:p w14:paraId="2C618F61">
            <w:pPr>
              <w:spacing w:line="360" w:lineRule="auto"/>
              <w:jc w:val="center"/>
              <w:rPr>
                <w:rFonts w:hint="eastAsia" w:ascii="宋体" w:hAnsi="宋体" w:eastAsia="宋体" w:cs="宋体"/>
                <w:color w:val="auto"/>
                <w:kern w:val="0"/>
                <w:sz w:val="21"/>
                <w:szCs w:val="21"/>
                <w:highlight w:val="none"/>
                <w:lang w:bidi="ar"/>
              </w:rPr>
            </w:pPr>
          </w:p>
        </w:tc>
        <w:tc>
          <w:tcPr>
            <w:tcW w:w="679" w:type="pct"/>
            <w:shd w:val="clear" w:color="auto" w:fill="auto"/>
            <w:vAlign w:val="center"/>
          </w:tcPr>
          <w:p w14:paraId="3FD3C823">
            <w:pPr>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售后服务方案（</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分）</w:t>
            </w:r>
          </w:p>
        </w:tc>
        <w:tc>
          <w:tcPr>
            <w:tcW w:w="3671" w:type="pct"/>
            <w:shd w:val="clear" w:color="auto" w:fill="auto"/>
            <w:vAlign w:val="center"/>
          </w:tcPr>
          <w:p w14:paraId="4DC36C92">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根据供应商提供的售后服务方案（包含但不限于</w:t>
            </w:r>
            <w:r>
              <w:rPr>
                <w:rFonts w:hint="eastAsia" w:ascii="宋体" w:hAnsi="宋体" w:eastAsia="宋体" w:cs="宋体"/>
                <w:color w:val="auto"/>
                <w:spacing w:val="7"/>
                <w:sz w:val="21"/>
                <w:szCs w:val="21"/>
                <w:highlight w:val="none"/>
                <w:lang w:val="en-US" w:eastAsia="zh-CN"/>
              </w:rPr>
              <w:t>①</w:t>
            </w:r>
            <w:r>
              <w:rPr>
                <w:rFonts w:hint="eastAsia" w:ascii="宋体" w:hAnsi="宋体" w:eastAsia="宋体" w:cs="宋体"/>
                <w:color w:val="auto"/>
                <w:sz w:val="21"/>
                <w:szCs w:val="21"/>
                <w:highlight w:val="none"/>
              </w:rPr>
              <w:t>售后服务</w:t>
            </w:r>
            <w:r>
              <w:rPr>
                <w:rFonts w:hint="eastAsia" w:ascii="宋体" w:hAnsi="宋体" w:eastAsia="宋体" w:cs="宋体"/>
                <w:color w:val="auto"/>
                <w:sz w:val="21"/>
                <w:szCs w:val="21"/>
                <w:highlight w:val="none"/>
                <w:lang w:val="en-US" w:eastAsia="zh-CN"/>
              </w:rPr>
              <w:t>内容</w:t>
            </w:r>
            <w:r>
              <w:rPr>
                <w:rFonts w:hint="eastAsia" w:ascii="宋体" w:hAnsi="宋体" w:eastAsia="宋体" w:cs="宋体"/>
                <w:color w:val="auto"/>
                <w:spacing w:val="7"/>
                <w:sz w:val="21"/>
                <w:szCs w:val="21"/>
                <w:highlight w:val="none"/>
                <w:lang w:val="en-US" w:eastAsia="zh-CN"/>
              </w:rPr>
              <w:t>②</w:t>
            </w:r>
            <w:r>
              <w:rPr>
                <w:rFonts w:hint="eastAsia" w:ascii="宋体" w:hAnsi="宋体" w:eastAsia="宋体" w:cs="宋体"/>
                <w:color w:val="auto"/>
                <w:sz w:val="21"/>
                <w:szCs w:val="21"/>
                <w:highlight w:val="none"/>
                <w:lang w:val="en-US" w:eastAsia="zh-CN"/>
              </w:rPr>
              <w:t>售后服务计划</w:t>
            </w:r>
            <w:r>
              <w:rPr>
                <w:rFonts w:hint="eastAsia" w:ascii="宋体" w:hAnsi="宋体" w:eastAsia="宋体" w:cs="宋体"/>
                <w:color w:val="auto"/>
                <w:spacing w:val="7"/>
                <w:sz w:val="21"/>
                <w:szCs w:val="21"/>
                <w:highlight w:val="none"/>
                <w:lang w:val="en-US" w:eastAsia="zh-CN"/>
              </w:rPr>
              <w:t>③解决质量问题的响应时间、应急措施</w:t>
            </w:r>
            <w:r>
              <w:rPr>
                <w:rFonts w:hint="eastAsia" w:ascii="宋体" w:hAnsi="宋体" w:eastAsia="宋体" w:cs="宋体"/>
                <w:color w:val="auto"/>
                <w:sz w:val="21"/>
                <w:szCs w:val="21"/>
                <w:highlight w:val="none"/>
              </w:rPr>
              <w:t>等方面按以下标准进行打分：</w:t>
            </w:r>
          </w:p>
          <w:p w14:paraId="71531E70">
            <w:pPr>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方案内容结构严谨，思路清晰、措施合理，能够体现对本项目的针对性（指充分理解项目需求，对需求有深入分析，针对采购项目内容要求而细化制订）且满足磋商文件要求的，得6分,每缺少一项扣2分，每出现一项存在不足的扣1分，扣完为止(不足是指：该方面分析内容理解不准确，不符合实际，虽有内容但描述错误或描述简单、不满足项目实际需求或不具有针对性，体现不齐全；阐述存在逻辑错误；语言错误或存在歧义；项目名称、实施地点与本项目不一致等)</w:t>
            </w:r>
          </w:p>
        </w:tc>
      </w:tr>
      <w:tr w14:paraId="482F3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649" w:type="pct"/>
            <w:vMerge w:val="restart"/>
            <w:vAlign w:val="center"/>
          </w:tcPr>
          <w:p w14:paraId="76787078">
            <w:pPr>
              <w:jc w:val="center"/>
              <w:rPr>
                <w:rFonts w:hint="eastAsia" w:ascii="宋体" w:hAnsi="宋体" w:eastAsia="宋体" w:cs="宋体"/>
                <w:color w:val="auto"/>
                <w:kern w:val="0"/>
                <w:sz w:val="21"/>
                <w:szCs w:val="21"/>
                <w:highlight w:val="none"/>
                <w:lang w:bidi="ar"/>
              </w:rPr>
            </w:pPr>
            <w:bookmarkStart w:id="76" w:name="OLE_LINK5" w:colFirst="1" w:colLast="2"/>
            <w:r>
              <w:rPr>
                <w:rFonts w:hint="eastAsia" w:ascii="宋体" w:hAnsi="宋体" w:eastAsia="宋体" w:cs="宋体"/>
                <w:color w:val="auto"/>
                <w:kern w:val="0"/>
                <w:sz w:val="21"/>
                <w:szCs w:val="21"/>
                <w:highlight w:val="none"/>
                <w:lang w:bidi="ar"/>
              </w:rPr>
              <w:t>技术部分</w:t>
            </w:r>
          </w:p>
          <w:p w14:paraId="1F8FD28C">
            <w:pPr>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rPr>
              <w:t>55</w:t>
            </w:r>
            <w:r>
              <w:rPr>
                <w:rFonts w:hint="eastAsia" w:ascii="宋体" w:hAnsi="宋体" w:eastAsia="宋体" w:cs="宋体"/>
                <w:color w:val="auto"/>
                <w:kern w:val="0"/>
                <w:sz w:val="21"/>
                <w:szCs w:val="21"/>
                <w:highlight w:val="none"/>
                <w:lang w:bidi="ar"/>
              </w:rPr>
              <w:t>分）</w:t>
            </w:r>
          </w:p>
        </w:tc>
        <w:tc>
          <w:tcPr>
            <w:tcW w:w="679" w:type="pct"/>
            <w:shd w:val="clear" w:color="auto" w:fill="auto"/>
            <w:vAlign w:val="center"/>
          </w:tcPr>
          <w:p w14:paraId="0BB44015">
            <w:pPr>
              <w:spacing w:line="360" w:lineRule="auto"/>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技术参数（23分）</w:t>
            </w:r>
          </w:p>
        </w:tc>
        <w:tc>
          <w:tcPr>
            <w:tcW w:w="3671" w:type="pct"/>
            <w:shd w:val="clear" w:color="auto" w:fill="auto"/>
            <w:vAlign w:val="center"/>
          </w:tcPr>
          <w:p w14:paraId="5B701B18">
            <w:pPr>
              <w:spacing w:line="360" w:lineRule="auto"/>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供应商需如实反馈所投产品的技术参数，完全满足磋商文件的，功能及其他参数不低于采购参数的得满分23分，技术指标每有一项不满足或低于磋商文件要求扣0.3分，扣完为止。</w:t>
            </w:r>
          </w:p>
        </w:tc>
      </w:tr>
      <w:tr w14:paraId="2FCFE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649" w:type="pct"/>
            <w:vMerge w:val="continue"/>
            <w:vAlign w:val="center"/>
          </w:tcPr>
          <w:p w14:paraId="7D8790F4">
            <w:pPr>
              <w:jc w:val="center"/>
              <w:rPr>
                <w:rFonts w:hint="eastAsia" w:ascii="宋体" w:hAnsi="宋体" w:eastAsia="宋体" w:cs="宋体"/>
                <w:color w:val="auto"/>
                <w:kern w:val="0"/>
                <w:sz w:val="21"/>
                <w:szCs w:val="21"/>
                <w:highlight w:val="none"/>
                <w:lang w:bidi="ar"/>
              </w:rPr>
            </w:pPr>
          </w:p>
        </w:tc>
        <w:tc>
          <w:tcPr>
            <w:tcW w:w="679" w:type="pct"/>
            <w:shd w:val="clear" w:color="auto" w:fill="auto"/>
            <w:vAlign w:val="center"/>
          </w:tcPr>
          <w:p w14:paraId="3C05B8EF">
            <w:pPr>
              <w:spacing w:line="360" w:lineRule="auto"/>
              <w:jc w:val="center"/>
              <w:rPr>
                <w:rFonts w:hint="default"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服装深化设计（6分）</w:t>
            </w:r>
          </w:p>
        </w:tc>
        <w:tc>
          <w:tcPr>
            <w:tcW w:w="3671" w:type="pct"/>
            <w:shd w:val="clear" w:color="auto" w:fill="auto"/>
            <w:vAlign w:val="center"/>
          </w:tcPr>
          <w:p w14:paraId="6A986EF5">
            <w:pPr>
              <w:spacing w:line="360" w:lineRule="auto"/>
              <w:rPr>
                <w:rFonts w:hint="default"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服装设计</w:t>
            </w:r>
            <w:r>
              <w:rPr>
                <w:rFonts w:hint="eastAsia" w:ascii="宋体" w:hAnsi="宋体" w:eastAsia="宋体" w:cs="宋体"/>
                <w:bCs/>
                <w:iCs/>
                <w:color w:val="auto"/>
                <w:sz w:val="21"/>
                <w:szCs w:val="21"/>
                <w:highlight w:val="none"/>
              </w:rPr>
              <w:t>包含但不限于</w:t>
            </w:r>
            <w:r>
              <w:rPr>
                <w:rFonts w:hint="eastAsia" w:ascii="宋体" w:hAnsi="宋体" w:eastAsia="宋体" w:cs="宋体"/>
                <w:color w:val="auto"/>
                <w:spacing w:val="7"/>
                <w:sz w:val="21"/>
                <w:szCs w:val="21"/>
                <w:highlight w:val="none"/>
                <w:lang w:val="en-US" w:eastAsia="zh-CN"/>
              </w:rPr>
              <w:t>①整体设计构思方案（体现河南和体育元素）</w:t>
            </w:r>
            <w:r>
              <w:rPr>
                <w:rFonts w:hint="eastAsia" w:ascii="宋体" w:hAnsi="宋体" w:eastAsia="宋体" w:cs="宋体"/>
                <w:bCs/>
                <w:iCs/>
                <w:color w:val="auto"/>
                <w:sz w:val="21"/>
                <w:szCs w:val="21"/>
                <w:highlight w:val="none"/>
                <w:lang w:val="en-US" w:eastAsia="zh-CN"/>
              </w:rPr>
              <w:t>②样服制作及修改方案③服饰的最终效果标准（可提供类似案例图纸予以佐证）等：方案内容结构严谨，思路清晰、措施合理，能够体现对本项目的针对性（指充分理解项目需求，对需求有深入分析，针对采购项目内容要求而细化制订）且满足磋商文件要求的，得6分,每缺少一项扣2分，每出现一项存在不足的扣1分，扣完为止(不足是指：</w:t>
            </w:r>
            <w:r>
              <w:rPr>
                <w:rFonts w:hint="eastAsia" w:ascii="宋体" w:hAnsi="宋体" w:eastAsia="宋体" w:cs="宋体"/>
                <w:color w:val="auto"/>
                <w:kern w:val="2"/>
                <w:sz w:val="21"/>
                <w:szCs w:val="21"/>
                <w:highlight w:val="none"/>
                <w:lang w:val="en-US" w:eastAsia="zh-CN" w:bidi="ar-SA"/>
              </w:rPr>
              <w:t>该方面分析内容理解不准确，不符合实际，虽有内容但描述错误或描述简单、不满足项目实际需求或不具有针对性，体现不齐全；阐述存在逻辑错误；语言错误或存在歧义；项目名称、实施地点与本项目不一致等)</w:t>
            </w:r>
          </w:p>
        </w:tc>
      </w:tr>
      <w:tr w14:paraId="11AD2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649" w:type="pct"/>
            <w:vMerge w:val="continue"/>
            <w:vAlign w:val="center"/>
          </w:tcPr>
          <w:p w14:paraId="100F4B8A">
            <w:pPr>
              <w:jc w:val="center"/>
              <w:rPr>
                <w:rFonts w:hint="eastAsia" w:ascii="宋体" w:hAnsi="宋体" w:eastAsia="宋体" w:cs="宋体"/>
                <w:color w:val="auto"/>
                <w:kern w:val="0"/>
                <w:sz w:val="21"/>
                <w:szCs w:val="21"/>
                <w:highlight w:val="none"/>
                <w:lang w:bidi="ar"/>
              </w:rPr>
            </w:pPr>
          </w:p>
        </w:tc>
        <w:tc>
          <w:tcPr>
            <w:tcW w:w="679" w:type="pct"/>
            <w:shd w:val="clear" w:color="auto" w:fill="auto"/>
            <w:vAlign w:val="center"/>
          </w:tcPr>
          <w:p w14:paraId="3CAEE745">
            <w:pPr>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供货组织方案（</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分）</w:t>
            </w:r>
          </w:p>
        </w:tc>
        <w:tc>
          <w:tcPr>
            <w:tcW w:w="3671" w:type="pct"/>
            <w:shd w:val="clear" w:color="auto" w:fill="auto"/>
            <w:vAlign w:val="center"/>
          </w:tcPr>
          <w:p w14:paraId="1FE9DCE6">
            <w:pPr>
              <w:spacing w:line="360" w:lineRule="auto"/>
              <w:rPr>
                <w:rFonts w:hint="eastAsia" w:ascii="宋体" w:hAnsi="宋体" w:eastAsia="宋体" w:cs="宋体"/>
                <w:bCs/>
                <w:iCs/>
                <w:color w:val="auto"/>
                <w:kern w:val="2"/>
                <w:sz w:val="21"/>
                <w:szCs w:val="21"/>
                <w:highlight w:val="none"/>
                <w:lang w:val="en-US" w:eastAsia="zh-CN" w:bidi="ar-SA"/>
              </w:rPr>
            </w:pPr>
            <w:r>
              <w:rPr>
                <w:rFonts w:hint="eastAsia" w:ascii="宋体" w:hAnsi="宋体" w:eastAsia="宋体" w:cs="宋体"/>
                <w:bCs/>
                <w:iCs/>
                <w:color w:val="auto"/>
                <w:sz w:val="21"/>
                <w:szCs w:val="21"/>
                <w:highlight w:val="none"/>
              </w:rPr>
              <w:t>供货组织方案，包含但不限于</w:t>
            </w:r>
            <w:r>
              <w:rPr>
                <w:rFonts w:hint="eastAsia" w:ascii="宋体" w:hAnsi="宋体" w:eastAsia="宋体" w:cs="宋体"/>
                <w:bCs/>
                <w:iCs/>
                <w:color w:val="auto"/>
                <w:sz w:val="21"/>
                <w:szCs w:val="21"/>
                <w:highlight w:val="none"/>
                <w:lang w:val="en-US" w:eastAsia="zh-CN"/>
              </w:rPr>
              <w:t>①</w:t>
            </w:r>
            <w:r>
              <w:rPr>
                <w:rFonts w:hint="eastAsia" w:ascii="宋体" w:hAnsi="宋体" w:eastAsia="宋体" w:cs="宋体"/>
                <w:bCs/>
                <w:iCs/>
                <w:color w:val="auto"/>
                <w:sz w:val="21"/>
                <w:szCs w:val="21"/>
                <w:highlight w:val="none"/>
              </w:rPr>
              <w:t>服装生产工</w:t>
            </w:r>
            <w:r>
              <w:rPr>
                <w:rFonts w:hint="eastAsia" w:ascii="宋体" w:hAnsi="宋体" w:eastAsia="宋体" w:cs="宋体"/>
                <w:bCs/>
                <w:iCs/>
                <w:color w:val="auto"/>
                <w:sz w:val="21"/>
                <w:szCs w:val="21"/>
                <w:highlight w:val="none"/>
                <w:lang w:val="en-US" w:eastAsia="zh-CN"/>
              </w:rPr>
              <w:t>艺②供货流程③货物配送及应急方案等：方案内容结构严谨，思路清晰、措施合理，能够体现对本项目的针对性（指充分理解项目需求，对需求有深入分析，针对采购项目内容要求而细化制订）且满足磋商文件要求的，得6分,每缺少一项扣2分，每出现一项存在不足的扣1分，扣完为止(不足是指：</w:t>
            </w:r>
            <w:r>
              <w:rPr>
                <w:rFonts w:hint="eastAsia" w:ascii="宋体" w:hAnsi="宋体" w:eastAsia="宋体" w:cs="宋体"/>
                <w:color w:val="auto"/>
                <w:kern w:val="2"/>
                <w:sz w:val="21"/>
                <w:szCs w:val="21"/>
                <w:highlight w:val="none"/>
                <w:lang w:val="en-US" w:eastAsia="zh-CN" w:bidi="ar-SA"/>
              </w:rPr>
              <w:t>该方面分析内容理解不准确，不符合实际，虽有内容但描述错误或描述简单、不满足项目实际需求或不具有针对性，体现不齐全；阐述存在逻辑错误；语言错误或存在歧义；项目名称、实施地点与本项目不一致等)</w:t>
            </w:r>
          </w:p>
        </w:tc>
      </w:tr>
      <w:tr w14:paraId="2C75D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649" w:type="pct"/>
            <w:vMerge w:val="continue"/>
            <w:vAlign w:val="center"/>
          </w:tcPr>
          <w:p w14:paraId="5D67893F">
            <w:pPr>
              <w:jc w:val="center"/>
              <w:rPr>
                <w:rFonts w:hint="eastAsia" w:ascii="宋体" w:hAnsi="宋体" w:eastAsia="宋体" w:cs="宋体"/>
                <w:color w:val="auto"/>
                <w:kern w:val="0"/>
                <w:sz w:val="21"/>
                <w:szCs w:val="21"/>
                <w:highlight w:val="none"/>
                <w:lang w:bidi="ar"/>
              </w:rPr>
            </w:pPr>
          </w:p>
        </w:tc>
        <w:tc>
          <w:tcPr>
            <w:tcW w:w="679" w:type="pct"/>
            <w:shd w:val="clear" w:color="auto" w:fill="auto"/>
            <w:vAlign w:val="center"/>
          </w:tcPr>
          <w:p w14:paraId="5143E382">
            <w:pPr>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质量保证措施</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6分</w:t>
            </w:r>
            <w:r>
              <w:rPr>
                <w:rFonts w:hint="eastAsia" w:ascii="宋体" w:hAnsi="宋体" w:eastAsia="宋体" w:cs="宋体"/>
                <w:color w:val="auto"/>
                <w:kern w:val="0"/>
                <w:sz w:val="21"/>
                <w:szCs w:val="21"/>
                <w:highlight w:val="none"/>
                <w:lang w:eastAsia="zh-CN"/>
              </w:rPr>
              <w:t>）</w:t>
            </w:r>
          </w:p>
        </w:tc>
        <w:tc>
          <w:tcPr>
            <w:tcW w:w="3671" w:type="pct"/>
            <w:shd w:val="clear" w:color="auto" w:fill="auto"/>
            <w:vAlign w:val="center"/>
          </w:tcPr>
          <w:p w14:paraId="7ED9C401">
            <w:pPr>
              <w:spacing w:line="360" w:lineRule="auto"/>
              <w:rPr>
                <w:rFonts w:hint="eastAsia" w:ascii="宋体" w:hAnsi="宋体" w:eastAsia="宋体" w:cs="宋体"/>
                <w:bCs/>
                <w:iCs/>
                <w:color w:val="auto"/>
                <w:kern w:val="2"/>
                <w:sz w:val="21"/>
                <w:szCs w:val="21"/>
                <w:highlight w:val="none"/>
                <w:lang w:val="en-US" w:eastAsia="zh-CN" w:bidi="ar-SA"/>
              </w:rPr>
            </w:pPr>
            <w:r>
              <w:rPr>
                <w:rFonts w:hint="eastAsia" w:ascii="宋体" w:hAnsi="宋体" w:eastAsia="宋体" w:cs="宋体"/>
                <w:bCs/>
                <w:iCs/>
                <w:color w:val="auto"/>
                <w:sz w:val="21"/>
                <w:szCs w:val="21"/>
                <w:highlight w:val="none"/>
              </w:rPr>
              <w:t>质量保证措施，包含但不限于</w:t>
            </w:r>
            <w:r>
              <w:rPr>
                <w:rFonts w:hint="eastAsia" w:ascii="宋体" w:hAnsi="宋体" w:eastAsia="宋体" w:cs="宋体"/>
                <w:color w:val="auto"/>
                <w:spacing w:val="7"/>
                <w:sz w:val="21"/>
                <w:szCs w:val="21"/>
                <w:highlight w:val="none"/>
                <w:lang w:val="en-US" w:eastAsia="zh-CN"/>
              </w:rPr>
              <w:t>①</w:t>
            </w:r>
            <w:r>
              <w:rPr>
                <w:rFonts w:hint="eastAsia" w:ascii="宋体" w:hAnsi="宋体" w:eastAsia="宋体" w:cs="宋体"/>
                <w:bCs/>
                <w:iCs/>
                <w:color w:val="auto"/>
                <w:sz w:val="21"/>
                <w:szCs w:val="21"/>
                <w:highlight w:val="none"/>
              </w:rPr>
              <w:t>原材料质量控制措施</w:t>
            </w:r>
            <w:r>
              <w:rPr>
                <w:rFonts w:hint="eastAsia" w:ascii="宋体" w:hAnsi="宋体" w:eastAsia="宋体" w:cs="宋体"/>
                <w:color w:val="auto"/>
                <w:spacing w:val="7"/>
                <w:sz w:val="21"/>
                <w:szCs w:val="21"/>
                <w:highlight w:val="none"/>
                <w:lang w:val="en-US" w:eastAsia="zh-CN"/>
              </w:rPr>
              <w:t>②</w:t>
            </w:r>
            <w:r>
              <w:rPr>
                <w:rFonts w:hint="eastAsia" w:ascii="宋体" w:hAnsi="宋体" w:eastAsia="宋体" w:cs="宋体"/>
                <w:bCs/>
                <w:iCs/>
                <w:color w:val="auto"/>
                <w:sz w:val="21"/>
                <w:szCs w:val="21"/>
                <w:highlight w:val="none"/>
              </w:rPr>
              <w:t>质保1年，非人为损坏的退换货流程</w:t>
            </w:r>
            <w:r>
              <w:rPr>
                <w:rFonts w:hint="eastAsia" w:ascii="宋体" w:hAnsi="宋体" w:eastAsia="宋体" w:cs="宋体"/>
                <w:color w:val="auto"/>
                <w:spacing w:val="7"/>
                <w:sz w:val="21"/>
                <w:szCs w:val="21"/>
                <w:highlight w:val="none"/>
                <w:lang w:val="en-US" w:eastAsia="zh-CN"/>
              </w:rPr>
              <w:t>③货物的包装</w:t>
            </w:r>
            <w:r>
              <w:rPr>
                <w:rFonts w:hint="eastAsia" w:ascii="宋体" w:hAnsi="宋体" w:eastAsia="宋体" w:cs="宋体"/>
                <w:bCs/>
                <w:iCs/>
                <w:color w:val="auto"/>
                <w:sz w:val="21"/>
                <w:szCs w:val="21"/>
                <w:highlight w:val="none"/>
              </w:rPr>
              <w:t>等：</w:t>
            </w:r>
            <w:r>
              <w:rPr>
                <w:rFonts w:hint="eastAsia" w:ascii="宋体" w:hAnsi="宋体" w:eastAsia="宋体" w:cs="宋体"/>
                <w:color w:val="auto"/>
                <w:kern w:val="2"/>
                <w:sz w:val="21"/>
                <w:szCs w:val="21"/>
                <w:highlight w:val="none"/>
                <w:lang w:val="en-US" w:eastAsia="zh-CN" w:bidi="ar-SA"/>
              </w:rPr>
              <w:t>方案内容结构严谨，思路清晰、措施合理，能够体现对本项目的针对性（指充分理解项目需求，对需求有深入分析，针对采购项目内容要求而细化制订）且满足磋商文件要求的，得6分,每缺少一项扣2分，每出现一项存在不足的扣1分，扣完为止(不足是指：该方面分析内容理解不准确，不符合实际，虽有内容但描述错误或描述简单、不满足项目实际需求或不具有针对性，体现不齐全；阐述存在逻辑错误；语言错误或存在歧义；项目名称、实施地点与本项目不一致等)</w:t>
            </w:r>
          </w:p>
        </w:tc>
      </w:tr>
      <w:bookmarkEnd w:id="76"/>
      <w:tr w14:paraId="6A22E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649" w:type="pct"/>
            <w:vMerge w:val="continue"/>
            <w:vAlign w:val="center"/>
          </w:tcPr>
          <w:p w14:paraId="4B332EF5">
            <w:pPr>
              <w:jc w:val="left"/>
              <w:rPr>
                <w:rFonts w:hint="eastAsia" w:ascii="宋体" w:hAnsi="宋体" w:eastAsia="宋体" w:cs="宋体"/>
                <w:color w:val="auto"/>
                <w:kern w:val="0"/>
                <w:sz w:val="21"/>
                <w:szCs w:val="21"/>
                <w:highlight w:val="none"/>
                <w:lang w:bidi="ar"/>
              </w:rPr>
            </w:pPr>
          </w:p>
        </w:tc>
        <w:tc>
          <w:tcPr>
            <w:tcW w:w="679" w:type="pct"/>
            <w:vAlign w:val="center"/>
          </w:tcPr>
          <w:p w14:paraId="774B5A0F">
            <w:pPr>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样品（14分）</w:t>
            </w:r>
          </w:p>
        </w:tc>
        <w:tc>
          <w:tcPr>
            <w:tcW w:w="3671" w:type="pct"/>
            <w:vAlign w:val="center"/>
          </w:tcPr>
          <w:p w14:paraId="6EBE67C8">
            <w:pPr>
              <w:numPr>
                <w:ilvl w:val="0"/>
                <w:numId w:val="0"/>
              </w:numPr>
              <w:spacing w:line="360" w:lineRule="auto"/>
              <w:rPr>
                <w:rFonts w:hint="eastAsia" w:ascii="宋体" w:hAnsi="宋体" w:eastAsia="宋体" w:cs="宋体"/>
                <w:bCs/>
                <w:iCs/>
                <w:color w:val="auto"/>
                <w:sz w:val="21"/>
                <w:szCs w:val="21"/>
                <w:highlight w:val="none"/>
                <w:lang w:eastAsia="zh-CN"/>
              </w:rPr>
            </w:pPr>
            <w:r>
              <w:rPr>
                <w:rFonts w:hint="eastAsia" w:ascii="宋体" w:hAnsi="宋体" w:eastAsia="宋体" w:cs="宋体"/>
                <w:bCs/>
                <w:iCs/>
                <w:color w:val="auto"/>
                <w:sz w:val="21"/>
                <w:szCs w:val="21"/>
                <w:highlight w:val="none"/>
                <w:lang w:eastAsia="zh-CN"/>
              </w:rPr>
              <w:t>（</w:t>
            </w:r>
            <w:r>
              <w:rPr>
                <w:rFonts w:hint="eastAsia" w:ascii="宋体" w:hAnsi="宋体" w:eastAsia="宋体" w:cs="宋体"/>
                <w:bCs/>
                <w:iCs/>
                <w:color w:val="auto"/>
                <w:sz w:val="21"/>
                <w:szCs w:val="21"/>
                <w:highlight w:val="none"/>
                <w:lang w:val="en-US" w:eastAsia="zh-CN"/>
              </w:rPr>
              <w:t>1</w:t>
            </w:r>
            <w:r>
              <w:rPr>
                <w:rFonts w:hint="eastAsia" w:ascii="宋体" w:hAnsi="宋体" w:eastAsia="宋体" w:cs="宋体"/>
                <w:bCs/>
                <w:iCs/>
                <w:color w:val="auto"/>
                <w:sz w:val="21"/>
                <w:szCs w:val="21"/>
                <w:highlight w:val="none"/>
                <w:lang w:eastAsia="zh-CN"/>
              </w:rPr>
              <w:t>）风衣：</w:t>
            </w:r>
          </w:p>
          <w:p w14:paraId="3E452A8C">
            <w:pPr>
              <w:numPr>
                <w:ilvl w:val="0"/>
                <w:numId w:val="0"/>
              </w:numPr>
              <w:spacing w:line="360" w:lineRule="auto"/>
              <w:rPr>
                <w:rFonts w:hint="eastAsia" w:ascii="宋体" w:hAnsi="宋体" w:eastAsia="宋体" w:cs="宋体"/>
                <w:bCs/>
                <w:iCs/>
                <w:color w:val="auto"/>
                <w:sz w:val="21"/>
                <w:szCs w:val="21"/>
                <w:highlight w:val="none"/>
                <w:lang w:eastAsia="zh-CN"/>
              </w:rPr>
            </w:pPr>
            <w:r>
              <w:rPr>
                <w:rFonts w:hint="eastAsia" w:ascii="宋体" w:hAnsi="宋体" w:eastAsia="宋体" w:cs="宋体"/>
                <w:bCs/>
                <w:iCs/>
                <w:color w:val="auto"/>
                <w:sz w:val="21"/>
                <w:szCs w:val="21"/>
                <w:highlight w:val="none"/>
                <w:lang w:val="en-US" w:eastAsia="zh-CN"/>
              </w:rPr>
              <w:t>样品</w:t>
            </w:r>
            <w:r>
              <w:rPr>
                <w:rFonts w:hint="eastAsia" w:ascii="宋体" w:hAnsi="宋体" w:eastAsia="宋体" w:cs="宋体"/>
                <w:bCs/>
                <w:iCs/>
                <w:color w:val="auto"/>
                <w:sz w:val="21"/>
                <w:szCs w:val="21"/>
                <w:highlight w:val="none"/>
                <w:lang w:eastAsia="zh-CN"/>
              </w:rPr>
              <w:t>缝制规整顺直、染色均匀、宽窄均匀、无针眼、无线头、</w:t>
            </w:r>
            <w:r>
              <w:rPr>
                <w:rFonts w:hint="eastAsia" w:ascii="宋体" w:hAnsi="宋体" w:eastAsia="宋体" w:cs="宋体"/>
                <w:bCs/>
                <w:iCs/>
                <w:color w:val="auto"/>
                <w:sz w:val="21"/>
                <w:szCs w:val="21"/>
                <w:highlight w:val="none"/>
                <w:lang w:val="en-US" w:eastAsia="zh-CN"/>
              </w:rPr>
              <w:t>无异味</w:t>
            </w:r>
            <w:r>
              <w:rPr>
                <w:rFonts w:hint="eastAsia" w:ascii="宋体" w:hAnsi="宋体" w:eastAsia="宋体" w:cs="宋体"/>
                <w:bCs/>
                <w:iCs/>
                <w:color w:val="auto"/>
                <w:sz w:val="21"/>
                <w:szCs w:val="21"/>
                <w:highlight w:val="none"/>
                <w:lang w:eastAsia="zh-CN"/>
              </w:rPr>
              <w:t>满足磋商文件要求得</w:t>
            </w:r>
            <w:r>
              <w:rPr>
                <w:rFonts w:hint="eastAsia" w:ascii="宋体" w:hAnsi="宋体" w:eastAsia="宋体" w:cs="宋体"/>
                <w:bCs/>
                <w:iCs/>
                <w:color w:val="auto"/>
                <w:sz w:val="21"/>
                <w:szCs w:val="21"/>
                <w:highlight w:val="none"/>
                <w:lang w:val="en-US" w:eastAsia="zh-CN"/>
              </w:rPr>
              <w:t>2</w:t>
            </w:r>
            <w:r>
              <w:rPr>
                <w:rFonts w:hint="eastAsia" w:ascii="宋体" w:hAnsi="宋体" w:eastAsia="宋体" w:cs="宋体"/>
                <w:bCs/>
                <w:iCs/>
                <w:color w:val="auto"/>
                <w:sz w:val="21"/>
                <w:szCs w:val="21"/>
                <w:highlight w:val="none"/>
                <w:lang w:eastAsia="zh-CN"/>
              </w:rPr>
              <w:t>分；</w:t>
            </w:r>
          </w:p>
          <w:p w14:paraId="71B5BA09">
            <w:pPr>
              <w:spacing w:line="360" w:lineRule="auto"/>
              <w:rPr>
                <w:rFonts w:hint="eastAsia" w:ascii="宋体" w:hAnsi="宋体" w:eastAsia="宋体" w:cs="宋体"/>
                <w:bCs/>
                <w:iCs/>
                <w:color w:val="auto"/>
                <w:sz w:val="21"/>
                <w:szCs w:val="21"/>
                <w:highlight w:val="none"/>
                <w:lang w:eastAsia="zh-CN"/>
              </w:rPr>
            </w:pPr>
            <w:r>
              <w:rPr>
                <w:rFonts w:hint="eastAsia" w:ascii="宋体" w:hAnsi="宋体" w:eastAsia="宋体" w:cs="宋体"/>
                <w:bCs/>
                <w:iCs/>
                <w:color w:val="auto"/>
                <w:sz w:val="21"/>
                <w:szCs w:val="21"/>
                <w:highlight w:val="none"/>
                <w:lang w:eastAsia="zh-CN"/>
              </w:rPr>
              <w:t>样品缝制较为规整顺直、染色均匀、宽窄较均匀、基本无针眼、基本无线头，</w:t>
            </w:r>
            <w:r>
              <w:rPr>
                <w:rFonts w:hint="eastAsia" w:ascii="宋体" w:hAnsi="宋体" w:eastAsia="宋体" w:cs="宋体"/>
                <w:bCs/>
                <w:iCs/>
                <w:color w:val="auto"/>
                <w:sz w:val="21"/>
                <w:szCs w:val="21"/>
                <w:highlight w:val="none"/>
                <w:lang w:val="en-US" w:eastAsia="zh-CN"/>
              </w:rPr>
              <w:t>稍有味道的</w:t>
            </w:r>
            <w:r>
              <w:rPr>
                <w:rFonts w:hint="eastAsia" w:ascii="宋体" w:hAnsi="宋体" w:eastAsia="宋体" w:cs="宋体"/>
                <w:bCs/>
                <w:iCs/>
                <w:color w:val="auto"/>
                <w:sz w:val="21"/>
                <w:szCs w:val="21"/>
                <w:highlight w:val="none"/>
                <w:lang w:eastAsia="zh-CN"/>
              </w:rPr>
              <w:t>得</w:t>
            </w:r>
            <w:r>
              <w:rPr>
                <w:rFonts w:hint="eastAsia" w:ascii="宋体" w:hAnsi="宋体" w:eastAsia="宋体" w:cs="宋体"/>
                <w:bCs/>
                <w:iCs/>
                <w:color w:val="auto"/>
                <w:sz w:val="21"/>
                <w:szCs w:val="21"/>
                <w:highlight w:val="none"/>
                <w:lang w:val="en-US" w:eastAsia="zh-CN"/>
              </w:rPr>
              <w:t>1</w:t>
            </w:r>
            <w:r>
              <w:rPr>
                <w:rFonts w:hint="eastAsia" w:ascii="宋体" w:hAnsi="宋体" w:eastAsia="宋体" w:cs="宋体"/>
                <w:bCs/>
                <w:iCs/>
                <w:color w:val="auto"/>
                <w:sz w:val="21"/>
                <w:szCs w:val="21"/>
                <w:highlight w:val="none"/>
                <w:lang w:eastAsia="zh-CN"/>
              </w:rPr>
              <w:t>分；</w:t>
            </w:r>
          </w:p>
          <w:p w14:paraId="019BDFF3">
            <w:pPr>
              <w:spacing w:line="360" w:lineRule="auto"/>
              <w:rPr>
                <w:rFonts w:hint="eastAsia" w:ascii="宋体" w:hAnsi="宋体" w:eastAsia="宋体" w:cs="宋体"/>
                <w:bCs/>
                <w:iCs/>
                <w:color w:val="auto"/>
                <w:sz w:val="21"/>
                <w:szCs w:val="21"/>
                <w:highlight w:val="none"/>
                <w:lang w:val="en-US" w:eastAsia="zh-CN"/>
              </w:rPr>
            </w:pPr>
            <w:r>
              <w:rPr>
                <w:rFonts w:hint="eastAsia" w:ascii="宋体" w:hAnsi="宋体" w:eastAsia="宋体" w:cs="宋体"/>
                <w:bCs/>
                <w:iCs/>
                <w:color w:val="auto"/>
                <w:sz w:val="21"/>
                <w:szCs w:val="21"/>
                <w:highlight w:val="none"/>
                <w:lang w:val="en-US" w:eastAsia="zh-CN"/>
              </w:rPr>
              <w:t>未提供不得分。</w:t>
            </w:r>
          </w:p>
          <w:p w14:paraId="517C2EA2">
            <w:pPr>
              <w:numPr>
                <w:ilvl w:val="0"/>
                <w:numId w:val="2"/>
              </w:numPr>
              <w:spacing w:line="360" w:lineRule="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领奖服：</w:t>
            </w:r>
          </w:p>
          <w:p w14:paraId="486FC899">
            <w:pPr>
              <w:numPr>
                <w:ilvl w:val="0"/>
                <w:numId w:val="0"/>
              </w:numPr>
              <w:spacing w:line="360" w:lineRule="auto"/>
              <w:rPr>
                <w:rFonts w:hint="eastAsia" w:ascii="宋体" w:hAnsi="宋体" w:eastAsia="宋体" w:cs="宋体"/>
                <w:bCs/>
                <w:iCs/>
                <w:color w:val="auto"/>
                <w:sz w:val="21"/>
                <w:szCs w:val="21"/>
                <w:highlight w:val="none"/>
                <w:lang w:eastAsia="zh-CN"/>
              </w:rPr>
            </w:pPr>
            <w:r>
              <w:rPr>
                <w:rFonts w:hint="eastAsia" w:ascii="宋体" w:hAnsi="宋体" w:eastAsia="宋体" w:cs="宋体"/>
                <w:bCs/>
                <w:iCs/>
                <w:color w:val="auto"/>
                <w:sz w:val="21"/>
                <w:szCs w:val="21"/>
                <w:highlight w:val="none"/>
                <w:lang w:val="en-US" w:eastAsia="zh-CN"/>
              </w:rPr>
              <w:t>样品</w:t>
            </w:r>
            <w:r>
              <w:rPr>
                <w:rFonts w:hint="eastAsia" w:ascii="宋体" w:hAnsi="宋体" w:eastAsia="宋体" w:cs="宋体"/>
                <w:bCs/>
                <w:iCs/>
                <w:color w:val="auto"/>
                <w:sz w:val="21"/>
                <w:szCs w:val="21"/>
                <w:highlight w:val="none"/>
                <w:lang w:eastAsia="zh-CN"/>
              </w:rPr>
              <w:t>缝制规整顺直、染色均匀、宽窄均匀、无针眼、无线头、针距均匀，</w:t>
            </w:r>
            <w:r>
              <w:rPr>
                <w:rFonts w:hint="eastAsia" w:ascii="宋体" w:hAnsi="宋体" w:eastAsia="宋体" w:cs="宋体"/>
                <w:bCs/>
                <w:iCs/>
                <w:color w:val="auto"/>
                <w:sz w:val="21"/>
                <w:szCs w:val="21"/>
                <w:highlight w:val="none"/>
                <w:lang w:val="en-US" w:eastAsia="zh-CN"/>
              </w:rPr>
              <w:t>标识清晰</w:t>
            </w:r>
            <w:r>
              <w:rPr>
                <w:rFonts w:hint="eastAsia" w:ascii="宋体" w:hAnsi="宋体" w:eastAsia="宋体" w:cs="宋体"/>
                <w:bCs/>
                <w:iCs/>
                <w:color w:val="auto"/>
                <w:sz w:val="21"/>
                <w:szCs w:val="21"/>
                <w:highlight w:val="none"/>
                <w:lang w:eastAsia="zh-CN"/>
              </w:rPr>
              <w:t>满足磋商文件要求得</w:t>
            </w:r>
            <w:r>
              <w:rPr>
                <w:rFonts w:hint="eastAsia" w:ascii="宋体" w:hAnsi="宋体" w:eastAsia="宋体" w:cs="宋体"/>
                <w:bCs/>
                <w:iCs/>
                <w:color w:val="auto"/>
                <w:sz w:val="21"/>
                <w:szCs w:val="21"/>
                <w:highlight w:val="none"/>
                <w:lang w:val="en-US" w:eastAsia="zh-CN"/>
              </w:rPr>
              <w:t>2</w:t>
            </w:r>
            <w:r>
              <w:rPr>
                <w:rFonts w:hint="eastAsia" w:ascii="宋体" w:hAnsi="宋体" w:eastAsia="宋体" w:cs="宋体"/>
                <w:bCs/>
                <w:iCs/>
                <w:color w:val="auto"/>
                <w:sz w:val="21"/>
                <w:szCs w:val="21"/>
                <w:highlight w:val="none"/>
                <w:lang w:eastAsia="zh-CN"/>
              </w:rPr>
              <w:t>分；</w:t>
            </w:r>
          </w:p>
          <w:p w14:paraId="7BB1AA3F">
            <w:pPr>
              <w:spacing w:line="360" w:lineRule="auto"/>
              <w:rPr>
                <w:rFonts w:hint="eastAsia" w:ascii="宋体" w:hAnsi="宋体" w:eastAsia="宋体" w:cs="宋体"/>
                <w:bCs/>
                <w:iCs/>
                <w:color w:val="auto"/>
                <w:sz w:val="21"/>
                <w:szCs w:val="21"/>
                <w:highlight w:val="none"/>
                <w:lang w:eastAsia="zh-CN"/>
              </w:rPr>
            </w:pPr>
            <w:r>
              <w:rPr>
                <w:rFonts w:hint="eastAsia" w:ascii="宋体" w:hAnsi="宋体" w:eastAsia="宋体" w:cs="宋体"/>
                <w:bCs/>
                <w:iCs/>
                <w:color w:val="auto"/>
                <w:sz w:val="21"/>
                <w:szCs w:val="21"/>
                <w:highlight w:val="none"/>
                <w:lang w:eastAsia="zh-CN"/>
              </w:rPr>
              <w:t>样品缝制较为规整顺直、染色均匀、宽窄较均匀、基本无针眼、基本无线头、针距较均匀，</w:t>
            </w:r>
            <w:r>
              <w:rPr>
                <w:rFonts w:hint="eastAsia" w:ascii="宋体" w:hAnsi="宋体" w:eastAsia="宋体" w:cs="宋体"/>
                <w:bCs/>
                <w:iCs/>
                <w:color w:val="auto"/>
                <w:sz w:val="21"/>
                <w:szCs w:val="21"/>
                <w:highlight w:val="none"/>
                <w:lang w:val="en-US" w:eastAsia="zh-CN"/>
              </w:rPr>
              <w:t>标识模糊</w:t>
            </w:r>
            <w:r>
              <w:rPr>
                <w:rFonts w:hint="eastAsia" w:ascii="宋体" w:hAnsi="宋体" w:eastAsia="宋体" w:cs="宋体"/>
                <w:bCs/>
                <w:iCs/>
                <w:color w:val="auto"/>
                <w:sz w:val="21"/>
                <w:szCs w:val="21"/>
                <w:highlight w:val="none"/>
                <w:lang w:eastAsia="zh-CN"/>
              </w:rPr>
              <w:t>得</w:t>
            </w:r>
            <w:r>
              <w:rPr>
                <w:rFonts w:hint="eastAsia" w:ascii="宋体" w:hAnsi="宋体" w:eastAsia="宋体" w:cs="宋体"/>
                <w:bCs/>
                <w:iCs/>
                <w:color w:val="auto"/>
                <w:sz w:val="21"/>
                <w:szCs w:val="21"/>
                <w:highlight w:val="none"/>
                <w:lang w:val="en-US" w:eastAsia="zh-CN"/>
              </w:rPr>
              <w:t>1</w:t>
            </w:r>
            <w:r>
              <w:rPr>
                <w:rFonts w:hint="eastAsia" w:ascii="宋体" w:hAnsi="宋体" w:eastAsia="宋体" w:cs="宋体"/>
                <w:bCs/>
                <w:iCs/>
                <w:color w:val="auto"/>
                <w:sz w:val="21"/>
                <w:szCs w:val="21"/>
                <w:highlight w:val="none"/>
                <w:lang w:eastAsia="zh-CN"/>
              </w:rPr>
              <w:t>分；</w:t>
            </w:r>
          </w:p>
          <w:p w14:paraId="4D99DB2F">
            <w:pPr>
              <w:spacing w:line="360" w:lineRule="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Cs/>
                <w:iCs/>
                <w:color w:val="auto"/>
                <w:sz w:val="21"/>
                <w:szCs w:val="21"/>
                <w:highlight w:val="none"/>
                <w:lang w:val="en-US" w:eastAsia="zh-CN"/>
              </w:rPr>
              <w:t>未提供不得分。</w:t>
            </w:r>
          </w:p>
          <w:p w14:paraId="783F4050">
            <w:pPr>
              <w:numPr>
                <w:ilvl w:val="0"/>
                <w:numId w:val="2"/>
              </w:numPr>
              <w:spacing w:line="360" w:lineRule="auto"/>
              <w:ind w:left="0" w:leftChars="0" w:firstLine="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翻领短袖T恤、圆领短袖T恤、防晒衣：</w:t>
            </w:r>
          </w:p>
          <w:p w14:paraId="2A66E947">
            <w:pPr>
              <w:numPr>
                <w:ilvl w:val="0"/>
                <w:numId w:val="0"/>
              </w:numPr>
              <w:spacing w:line="360" w:lineRule="auto"/>
              <w:rPr>
                <w:rFonts w:hint="eastAsia" w:ascii="宋体" w:hAnsi="宋体" w:eastAsia="宋体" w:cs="宋体"/>
                <w:bCs/>
                <w:iCs/>
                <w:color w:val="auto"/>
                <w:sz w:val="21"/>
                <w:szCs w:val="21"/>
                <w:highlight w:val="none"/>
                <w:lang w:eastAsia="zh-CN"/>
              </w:rPr>
            </w:pPr>
            <w:r>
              <w:rPr>
                <w:rFonts w:hint="eastAsia" w:ascii="宋体" w:hAnsi="宋体" w:eastAsia="宋体" w:cs="宋体"/>
                <w:bCs/>
                <w:iCs/>
                <w:color w:val="auto"/>
                <w:sz w:val="21"/>
                <w:szCs w:val="21"/>
                <w:highlight w:val="none"/>
                <w:lang w:val="en-US" w:eastAsia="zh-CN"/>
              </w:rPr>
              <w:t>样品</w:t>
            </w:r>
            <w:r>
              <w:rPr>
                <w:rFonts w:hint="eastAsia" w:ascii="宋体" w:hAnsi="宋体" w:eastAsia="宋体" w:cs="宋体"/>
                <w:bCs/>
                <w:iCs/>
                <w:color w:val="auto"/>
                <w:sz w:val="21"/>
                <w:szCs w:val="21"/>
                <w:highlight w:val="none"/>
                <w:lang w:eastAsia="zh-CN"/>
              </w:rPr>
              <w:t>缝制规整顺直、染色均匀、宽窄均匀、无针眼、无线头，</w:t>
            </w:r>
            <w:r>
              <w:rPr>
                <w:rFonts w:hint="eastAsia" w:ascii="宋体" w:hAnsi="宋体" w:eastAsia="宋体" w:cs="宋体"/>
                <w:bCs/>
                <w:iCs/>
                <w:color w:val="auto"/>
                <w:sz w:val="21"/>
                <w:szCs w:val="21"/>
                <w:highlight w:val="none"/>
                <w:lang w:val="en-US" w:eastAsia="zh-CN"/>
              </w:rPr>
              <w:t>无异味</w:t>
            </w:r>
            <w:r>
              <w:rPr>
                <w:rFonts w:hint="eastAsia" w:ascii="宋体" w:hAnsi="宋体" w:eastAsia="宋体" w:cs="宋体"/>
                <w:bCs/>
                <w:iCs/>
                <w:color w:val="auto"/>
                <w:sz w:val="21"/>
                <w:szCs w:val="21"/>
                <w:highlight w:val="none"/>
                <w:lang w:eastAsia="zh-CN"/>
              </w:rPr>
              <w:t>满足磋商文件要求得</w:t>
            </w:r>
            <w:r>
              <w:rPr>
                <w:rFonts w:hint="eastAsia" w:ascii="宋体" w:hAnsi="宋体" w:eastAsia="宋体" w:cs="宋体"/>
                <w:bCs/>
                <w:iCs/>
                <w:color w:val="auto"/>
                <w:sz w:val="21"/>
                <w:szCs w:val="21"/>
                <w:highlight w:val="none"/>
                <w:lang w:val="en-US" w:eastAsia="zh-CN"/>
              </w:rPr>
              <w:t>2</w:t>
            </w:r>
            <w:r>
              <w:rPr>
                <w:rFonts w:hint="eastAsia" w:ascii="宋体" w:hAnsi="宋体" w:eastAsia="宋体" w:cs="宋体"/>
                <w:bCs/>
                <w:iCs/>
                <w:color w:val="auto"/>
                <w:sz w:val="21"/>
                <w:szCs w:val="21"/>
                <w:highlight w:val="none"/>
                <w:lang w:eastAsia="zh-CN"/>
              </w:rPr>
              <w:t>分；</w:t>
            </w:r>
          </w:p>
          <w:p w14:paraId="7E9D69A9">
            <w:pPr>
              <w:spacing w:line="360" w:lineRule="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Cs/>
                <w:iCs/>
                <w:color w:val="auto"/>
                <w:sz w:val="21"/>
                <w:szCs w:val="21"/>
                <w:highlight w:val="none"/>
                <w:lang w:eastAsia="zh-CN"/>
              </w:rPr>
              <w:t>样品缝制较为规整顺直、染色均匀、宽窄较均匀、基本无针眼、基本无线头，</w:t>
            </w:r>
            <w:r>
              <w:rPr>
                <w:rFonts w:hint="eastAsia" w:ascii="宋体" w:hAnsi="宋体" w:eastAsia="宋体" w:cs="宋体"/>
                <w:bCs/>
                <w:iCs/>
                <w:color w:val="auto"/>
                <w:sz w:val="21"/>
                <w:szCs w:val="21"/>
                <w:highlight w:val="none"/>
                <w:lang w:val="en-US" w:eastAsia="zh-CN"/>
              </w:rPr>
              <w:t>稍有味道的</w:t>
            </w:r>
            <w:r>
              <w:rPr>
                <w:rFonts w:hint="eastAsia" w:ascii="宋体" w:hAnsi="宋体" w:eastAsia="宋体" w:cs="宋体"/>
                <w:bCs/>
                <w:iCs/>
                <w:color w:val="auto"/>
                <w:sz w:val="21"/>
                <w:szCs w:val="21"/>
                <w:highlight w:val="none"/>
                <w:lang w:eastAsia="zh-CN"/>
              </w:rPr>
              <w:t>得</w:t>
            </w:r>
            <w:r>
              <w:rPr>
                <w:rFonts w:hint="eastAsia" w:ascii="宋体" w:hAnsi="宋体" w:eastAsia="宋体" w:cs="宋体"/>
                <w:bCs/>
                <w:iCs/>
                <w:color w:val="auto"/>
                <w:sz w:val="21"/>
                <w:szCs w:val="21"/>
                <w:highlight w:val="none"/>
                <w:lang w:val="en-US" w:eastAsia="zh-CN"/>
              </w:rPr>
              <w:t>1</w:t>
            </w:r>
            <w:r>
              <w:rPr>
                <w:rFonts w:hint="eastAsia" w:ascii="宋体" w:hAnsi="宋体" w:eastAsia="宋体" w:cs="宋体"/>
                <w:bCs/>
                <w:iCs/>
                <w:color w:val="auto"/>
                <w:sz w:val="21"/>
                <w:szCs w:val="21"/>
                <w:highlight w:val="none"/>
                <w:lang w:eastAsia="zh-CN"/>
              </w:rPr>
              <w:t>分；</w:t>
            </w:r>
          </w:p>
          <w:p w14:paraId="5BFB61A4">
            <w:pPr>
              <w:numPr>
                <w:ilvl w:val="0"/>
                <w:numId w:val="2"/>
              </w:numPr>
              <w:spacing w:line="360" w:lineRule="auto"/>
              <w:ind w:left="0" w:leftChars="0" w:firstLine="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运动帽、运动袜：</w:t>
            </w:r>
          </w:p>
          <w:p w14:paraId="3BCC3C1A">
            <w:pPr>
              <w:spacing w:line="360" w:lineRule="auto"/>
              <w:rPr>
                <w:rFonts w:hint="eastAsia" w:ascii="宋体" w:hAnsi="宋体" w:eastAsia="宋体" w:cs="宋体"/>
                <w:bCs/>
                <w:iCs/>
                <w:color w:val="auto"/>
                <w:sz w:val="21"/>
                <w:szCs w:val="21"/>
                <w:highlight w:val="none"/>
                <w:lang w:eastAsia="zh-CN"/>
              </w:rPr>
            </w:pPr>
            <w:r>
              <w:rPr>
                <w:rFonts w:hint="eastAsia" w:ascii="宋体" w:hAnsi="宋体" w:eastAsia="宋体" w:cs="宋体"/>
                <w:bCs/>
                <w:iCs/>
                <w:color w:val="auto"/>
                <w:sz w:val="21"/>
                <w:szCs w:val="21"/>
                <w:highlight w:val="none"/>
                <w:lang w:eastAsia="zh-CN"/>
              </w:rPr>
              <w:t>样品缝制规整顺直、染色均匀、宽窄均匀、无针眼、无线头、</w:t>
            </w:r>
            <w:r>
              <w:rPr>
                <w:rFonts w:hint="eastAsia" w:ascii="宋体" w:hAnsi="宋体" w:eastAsia="宋体" w:cs="宋体"/>
                <w:bCs/>
                <w:iCs/>
                <w:color w:val="auto"/>
                <w:sz w:val="21"/>
                <w:szCs w:val="21"/>
                <w:highlight w:val="none"/>
                <w:lang w:val="en-US" w:eastAsia="zh-CN"/>
              </w:rPr>
              <w:t>设计合理</w:t>
            </w:r>
            <w:r>
              <w:rPr>
                <w:rFonts w:hint="eastAsia" w:ascii="宋体" w:hAnsi="宋体" w:eastAsia="宋体" w:cs="宋体"/>
                <w:bCs/>
                <w:iCs/>
                <w:color w:val="auto"/>
                <w:sz w:val="21"/>
                <w:szCs w:val="21"/>
                <w:highlight w:val="none"/>
                <w:lang w:eastAsia="zh-CN"/>
              </w:rPr>
              <w:t>，满足磋商文件要求得2分；</w:t>
            </w:r>
          </w:p>
          <w:p w14:paraId="6BCE0C1A">
            <w:pPr>
              <w:spacing w:line="360" w:lineRule="auto"/>
              <w:rPr>
                <w:rFonts w:hint="eastAsia" w:ascii="宋体" w:hAnsi="宋体" w:eastAsia="宋体" w:cs="宋体"/>
                <w:bCs/>
                <w:iCs/>
                <w:color w:val="auto"/>
                <w:sz w:val="21"/>
                <w:szCs w:val="21"/>
                <w:highlight w:val="none"/>
                <w:lang w:eastAsia="zh-CN"/>
              </w:rPr>
            </w:pPr>
            <w:r>
              <w:rPr>
                <w:rFonts w:hint="eastAsia" w:ascii="宋体" w:hAnsi="宋体" w:eastAsia="宋体" w:cs="宋体"/>
                <w:bCs/>
                <w:iCs/>
                <w:color w:val="auto"/>
                <w:sz w:val="21"/>
                <w:szCs w:val="21"/>
                <w:highlight w:val="none"/>
                <w:lang w:eastAsia="zh-CN"/>
              </w:rPr>
              <w:t>样品缝制较为规整顺直、染色均匀、宽窄较均匀、基本无针眼、基本无线头、</w:t>
            </w:r>
            <w:r>
              <w:rPr>
                <w:rFonts w:hint="eastAsia" w:ascii="宋体" w:hAnsi="宋体" w:eastAsia="宋体" w:cs="宋体"/>
                <w:bCs/>
                <w:iCs/>
                <w:color w:val="auto"/>
                <w:sz w:val="21"/>
                <w:szCs w:val="21"/>
                <w:highlight w:val="none"/>
                <w:lang w:val="en-US" w:eastAsia="zh-CN"/>
              </w:rPr>
              <w:t>设计合理</w:t>
            </w:r>
            <w:r>
              <w:rPr>
                <w:rFonts w:hint="eastAsia" w:ascii="宋体" w:hAnsi="宋体" w:eastAsia="宋体" w:cs="宋体"/>
                <w:bCs/>
                <w:iCs/>
                <w:color w:val="auto"/>
                <w:sz w:val="21"/>
                <w:szCs w:val="21"/>
                <w:highlight w:val="none"/>
                <w:lang w:eastAsia="zh-CN"/>
              </w:rPr>
              <w:t>，得1分；</w:t>
            </w:r>
          </w:p>
          <w:p w14:paraId="1075B395">
            <w:pPr>
              <w:numPr>
                <w:ilvl w:val="0"/>
                <w:numId w:val="0"/>
              </w:numPr>
              <w:spacing w:line="360" w:lineRule="auto"/>
              <w:ind w:left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Cs/>
                <w:iCs/>
                <w:color w:val="auto"/>
                <w:sz w:val="21"/>
                <w:szCs w:val="21"/>
                <w:highlight w:val="none"/>
                <w:lang w:val="en-US" w:eastAsia="zh-CN"/>
              </w:rPr>
              <w:t>未提供不得分。</w:t>
            </w:r>
          </w:p>
          <w:p w14:paraId="7F440D78">
            <w:pPr>
              <w:numPr>
                <w:ilvl w:val="0"/>
                <w:numId w:val="2"/>
              </w:numPr>
              <w:spacing w:line="360" w:lineRule="auto"/>
              <w:ind w:left="0" w:leftChars="0" w:firstLine="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运动短裤、斜挎包、运动背包：</w:t>
            </w:r>
          </w:p>
          <w:p w14:paraId="1D93B192">
            <w:pPr>
              <w:spacing w:line="360" w:lineRule="auto"/>
              <w:rPr>
                <w:rFonts w:hint="eastAsia" w:ascii="宋体" w:hAnsi="宋体" w:eastAsia="宋体" w:cs="宋体"/>
                <w:bCs/>
                <w:iCs/>
                <w:color w:val="auto"/>
                <w:sz w:val="21"/>
                <w:szCs w:val="21"/>
                <w:highlight w:val="none"/>
                <w:lang w:eastAsia="zh-CN"/>
              </w:rPr>
            </w:pPr>
            <w:r>
              <w:rPr>
                <w:rFonts w:hint="eastAsia" w:ascii="宋体" w:hAnsi="宋体" w:eastAsia="宋体" w:cs="宋体"/>
                <w:bCs/>
                <w:iCs/>
                <w:color w:val="auto"/>
                <w:sz w:val="21"/>
                <w:szCs w:val="21"/>
                <w:highlight w:val="none"/>
                <w:lang w:eastAsia="zh-CN"/>
              </w:rPr>
              <w:t>样品缝制规整顺直、染色均匀、宽窄均匀、无针眼、无线头、针距均匀，满足磋商文件要求得2分；</w:t>
            </w:r>
          </w:p>
          <w:p w14:paraId="675EE1E7">
            <w:pPr>
              <w:spacing w:line="360" w:lineRule="auto"/>
              <w:rPr>
                <w:rFonts w:hint="eastAsia" w:ascii="宋体" w:hAnsi="宋体" w:eastAsia="宋体" w:cs="宋体"/>
                <w:bCs/>
                <w:iCs/>
                <w:color w:val="auto"/>
                <w:sz w:val="21"/>
                <w:szCs w:val="21"/>
                <w:highlight w:val="none"/>
                <w:lang w:eastAsia="zh-CN"/>
              </w:rPr>
            </w:pPr>
            <w:r>
              <w:rPr>
                <w:rFonts w:hint="eastAsia" w:ascii="宋体" w:hAnsi="宋体" w:eastAsia="宋体" w:cs="宋体"/>
                <w:bCs/>
                <w:iCs/>
                <w:color w:val="auto"/>
                <w:sz w:val="21"/>
                <w:szCs w:val="21"/>
                <w:highlight w:val="none"/>
                <w:lang w:eastAsia="zh-CN"/>
              </w:rPr>
              <w:t>样品缝制较为规整顺直、染色均匀、宽窄较均匀、基本无针眼、基本无线头、针距较均匀，得1分；</w:t>
            </w:r>
          </w:p>
          <w:p w14:paraId="68FD733B">
            <w:pPr>
              <w:numPr>
                <w:ilvl w:val="0"/>
                <w:numId w:val="0"/>
              </w:numPr>
              <w:spacing w:line="360" w:lineRule="auto"/>
              <w:ind w:leftChars="0"/>
              <w:rPr>
                <w:rFonts w:hint="eastAsia" w:ascii="宋体" w:hAnsi="宋体" w:eastAsia="宋体" w:cs="宋体"/>
                <w:bCs/>
                <w:iCs/>
                <w:color w:val="auto"/>
                <w:sz w:val="21"/>
                <w:szCs w:val="21"/>
                <w:highlight w:val="none"/>
                <w:lang w:val="en-US" w:eastAsia="zh-CN"/>
              </w:rPr>
            </w:pPr>
            <w:r>
              <w:rPr>
                <w:rFonts w:hint="eastAsia" w:ascii="宋体" w:hAnsi="宋体" w:eastAsia="宋体" w:cs="宋体"/>
                <w:bCs/>
                <w:iCs/>
                <w:color w:val="auto"/>
                <w:sz w:val="21"/>
                <w:szCs w:val="21"/>
                <w:highlight w:val="none"/>
                <w:lang w:val="en-US" w:eastAsia="zh-CN"/>
              </w:rPr>
              <w:t>未提供不得分。</w:t>
            </w:r>
          </w:p>
          <w:p w14:paraId="5502B168">
            <w:pPr>
              <w:numPr>
                <w:ilvl w:val="0"/>
                <w:numId w:val="2"/>
              </w:numPr>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运动鞋</w:t>
            </w:r>
            <w:r>
              <w:rPr>
                <w:rFonts w:hint="eastAsia" w:ascii="宋体" w:hAnsi="宋体" w:eastAsia="宋体" w:cs="宋体"/>
                <w:color w:val="auto"/>
                <w:sz w:val="21"/>
                <w:szCs w:val="21"/>
                <w:highlight w:val="none"/>
                <w:lang w:eastAsia="zh-CN"/>
              </w:rPr>
              <w:t>、拖鞋：</w:t>
            </w:r>
          </w:p>
          <w:p w14:paraId="3B5F2AB7">
            <w:pPr>
              <w:numPr>
                <w:ilvl w:val="0"/>
                <w:numId w:val="0"/>
              </w:numPr>
              <w:spacing w:line="360" w:lineRule="auto"/>
              <w:ind w:leftChars="0"/>
              <w:rPr>
                <w:rFonts w:hint="eastAsia" w:ascii="宋体" w:hAnsi="宋体" w:eastAsia="宋体" w:cs="宋体"/>
                <w:bCs/>
                <w:iCs/>
                <w:color w:val="auto"/>
                <w:sz w:val="21"/>
                <w:szCs w:val="21"/>
                <w:highlight w:val="none"/>
                <w:lang w:eastAsia="zh-CN"/>
              </w:rPr>
            </w:pPr>
            <w:r>
              <w:rPr>
                <w:rFonts w:hint="eastAsia" w:ascii="宋体" w:hAnsi="宋体" w:eastAsia="宋体" w:cs="宋体"/>
                <w:bCs/>
                <w:iCs/>
                <w:color w:val="auto"/>
                <w:sz w:val="21"/>
                <w:szCs w:val="21"/>
                <w:highlight w:val="none"/>
                <w:lang w:eastAsia="zh-CN"/>
              </w:rPr>
              <w:t>样品的</w:t>
            </w:r>
            <w:r>
              <w:rPr>
                <w:rFonts w:hint="eastAsia" w:ascii="宋体" w:hAnsi="宋体" w:eastAsia="宋体" w:cs="宋体"/>
                <w:bCs/>
                <w:iCs/>
                <w:color w:val="auto"/>
                <w:sz w:val="21"/>
                <w:szCs w:val="21"/>
                <w:highlight w:val="none"/>
                <w:lang w:val="en-US" w:eastAsia="zh-CN"/>
              </w:rPr>
              <w:t>材质、款式、</w:t>
            </w:r>
            <w:r>
              <w:rPr>
                <w:rFonts w:hint="eastAsia" w:ascii="宋体" w:hAnsi="宋体" w:eastAsia="宋体" w:cs="宋体"/>
                <w:bCs/>
                <w:iCs/>
                <w:color w:val="auto"/>
                <w:sz w:val="21"/>
                <w:szCs w:val="21"/>
                <w:highlight w:val="none"/>
                <w:lang w:eastAsia="zh-CN"/>
              </w:rPr>
              <w:t>做工及质量</w:t>
            </w:r>
            <w:r>
              <w:rPr>
                <w:rFonts w:hint="eastAsia" w:ascii="宋体" w:hAnsi="宋体" w:eastAsia="宋体" w:cs="宋体"/>
                <w:bCs/>
                <w:iCs/>
                <w:color w:val="auto"/>
                <w:sz w:val="21"/>
                <w:szCs w:val="21"/>
                <w:highlight w:val="none"/>
                <w:lang w:val="en-US" w:eastAsia="zh-CN"/>
              </w:rPr>
              <w:t>符合要求</w:t>
            </w:r>
            <w:r>
              <w:rPr>
                <w:rFonts w:hint="eastAsia" w:ascii="宋体" w:hAnsi="宋体" w:eastAsia="宋体" w:cs="宋体"/>
                <w:bCs/>
                <w:iCs/>
                <w:color w:val="auto"/>
                <w:sz w:val="21"/>
                <w:szCs w:val="21"/>
                <w:highlight w:val="none"/>
                <w:lang w:eastAsia="zh-CN"/>
              </w:rPr>
              <w:t>满足磋商文件要求得</w:t>
            </w:r>
            <w:r>
              <w:rPr>
                <w:rFonts w:hint="eastAsia" w:ascii="宋体" w:hAnsi="宋体" w:eastAsia="宋体" w:cs="宋体"/>
                <w:bCs/>
                <w:iCs/>
                <w:color w:val="auto"/>
                <w:sz w:val="21"/>
                <w:szCs w:val="21"/>
                <w:highlight w:val="none"/>
                <w:lang w:val="en-US" w:eastAsia="zh-CN"/>
              </w:rPr>
              <w:t>2</w:t>
            </w:r>
            <w:r>
              <w:rPr>
                <w:rFonts w:hint="eastAsia" w:ascii="宋体" w:hAnsi="宋体" w:eastAsia="宋体" w:cs="宋体"/>
                <w:bCs/>
                <w:iCs/>
                <w:color w:val="auto"/>
                <w:sz w:val="21"/>
                <w:szCs w:val="21"/>
                <w:highlight w:val="none"/>
                <w:lang w:eastAsia="zh-CN"/>
              </w:rPr>
              <w:t>分；</w:t>
            </w:r>
          </w:p>
          <w:p w14:paraId="0EFEADFE">
            <w:pPr>
              <w:numPr>
                <w:ilvl w:val="0"/>
                <w:numId w:val="0"/>
              </w:numPr>
              <w:spacing w:line="360" w:lineRule="auto"/>
              <w:ind w:leftChars="0"/>
              <w:rPr>
                <w:rFonts w:hint="eastAsia" w:ascii="宋体" w:hAnsi="宋体" w:eastAsia="宋体" w:cs="宋体"/>
                <w:bCs/>
                <w:iCs/>
                <w:color w:val="auto"/>
                <w:sz w:val="21"/>
                <w:szCs w:val="21"/>
                <w:highlight w:val="none"/>
                <w:lang w:eastAsia="zh-CN"/>
              </w:rPr>
            </w:pPr>
            <w:r>
              <w:rPr>
                <w:rFonts w:hint="eastAsia" w:ascii="宋体" w:hAnsi="宋体" w:eastAsia="宋体" w:cs="宋体"/>
                <w:bCs/>
                <w:iCs/>
                <w:color w:val="auto"/>
                <w:sz w:val="21"/>
                <w:szCs w:val="21"/>
                <w:highlight w:val="none"/>
                <w:lang w:eastAsia="zh-CN"/>
              </w:rPr>
              <w:t>样品的</w:t>
            </w:r>
            <w:r>
              <w:rPr>
                <w:rFonts w:hint="eastAsia" w:ascii="宋体" w:hAnsi="宋体" w:eastAsia="宋体" w:cs="宋体"/>
                <w:bCs/>
                <w:iCs/>
                <w:color w:val="auto"/>
                <w:sz w:val="21"/>
                <w:szCs w:val="21"/>
                <w:highlight w:val="none"/>
                <w:lang w:val="en-US" w:eastAsia="zh-CN"/>
              </w:rPr>
              <w:t>材质、款式、</w:t>
            </w:r>
            <w:r>
              <w:rPr>
                <w:rFonts w:hint="eastAsia" w:ascii="宋体" w:hAnsi="宋体" w:eastAsia="宋体" w:cs="宋体"/>
                <w:bCs/>
                <w:iCs/>
                <w:color w:val="auto"/>
                <w:sz w:val="21"/>
                <w:szCs w:val="21"/>
                <w:highlight w:val="none"/>
                <w:lang w:eastAsia="zh-CN"/>
              </w:rPr>
              <w:t>做工及质量</w:t>
            </w:r>
            <w:r>
              <w:rPr>
                <w:rFonts w:hint="eastAsia" w:ascii="宋体" w:hAnsi="宋体" w:eastAsia="宋体" w:cs="宋体"/>
                <w:bCs/>
                <w:iCs/>
                <w:color w:val="auto"/>
                <w:sz w:val="21"/>
                <w:szCs w:val="21"/>
                <w:highlight w:val="none"/>
                <w:lang w:val="en-US" w:eastAsia="zh-CN"/>
              </w:rPr>
              <w:t>一般的</w:t>
            </w:r>
            <w:r>
              <w:rPr>
                <w:rFonts w:hint="eastAsia" w:ascii="宋体" w:hAnsi="宋体" w:eastAsia="宋体" w:cs="宋体"/>
                <w:bCs/>
                <w:iCs/>
                <w:color w:val="auto"/>
                <w:sz w:val="21"/>
                <w:szCs w:val="21"/>
                <w:highlight w:val="none"/>
                <w:lang w:eastAsia="zh-CN"/>
              </w:rPr>
              <w:t>得</w:t>
            </w:r>
            <w:r>
              <w:rPr>
                <w:rFonts w:hint="eastAsia" w:ascii="宋体" w:hAnsi="宋体" w:eastAsia="宋体" w:cs="宋体"/>
                <w:bCs/>
                <w:iCs/>
                <w:color w:val="auto"/>
                <w:sz w:val="21"/>
                <w:szCs w:val="21"/>
                <w:highlight w:val="none"/>
                <w:lang w:val="en-US" w:eastAsia="zh-CN"/>
              </w:rPr>
              <w:t>1</w:t>
            </w:r>
            <w:r>
              <w:rPr>
                <w:rFonts w:hint="eastAsia" w:ascii="宋体" w:hAnsi="宋体" w:eastAsia="宋体" w:cs="宋体"/>
                <w:bCs/>
                <w:iCs/>
                <w:color w:val="auto"/>
                <w:sz w:val="21"/>
                <w:szCs w:val="21"/>
                <w:highlight w:val="none"/>
                <w:lang w:eastAsia="zh-CN"/>
              </w:rPr>
              <w:t>分；</w:t>
            </w:r>
          </w:p>
          <w:p w14:paraId="222252B0">
            <w:pPr>
              <w:pStyle w:val="2"/>
              <w:ind w:left="0" w:leftChars="0" w:firstLine="0" w:firstLineChars="0"/>
              <w:rPr>
                <w:rFonts w:hint="eastAsia"/>
                <w:color w:val="auto"/>
                <w:highlight w:val="none"/>
              </w:rPr>
            </w:pPr>
            <w:r>
              <w:rPr>
                <w:rFonts w:hint="eastAsia" w:ascii="宋体" w:hAnsi="宋体" w:eastAsia="宋体" w:cs="宋体"/>
                <w:bCs/>
                <w:iCs/>
                <w:color w:val="auto"/>
                <w:sz w:val="21"/>
                <w:szCs w:val="21"/>
                <w:highlight w:val="none"/>
                <w:lang w:val="en-US" w:eastAsia="zh-CN"/>
              </w:rPr>
              <w:t>未提供不得分。</w:t>
            </w:r>
          </w:p>
          <w:p w14:paraId="5B61FAF9">
            <w:pPr>
              <w:numPr>
                <w:ilvl w:val="0"/>
                <w:numId w:val="2"/>
              </w:numPr>
              <w:spacing w:line="360"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拉杆箱：</w:t>
            </w:r>
          </w:p>
          <w:p w14:paraId="25DE201F">
            <w:pPr>
              <w:numPr>
                <w:ilvl w:val="0"/>
                <w:numId w:val="0"/>
              </w:numPr>
              <w:spacing w:line="360" w:lineRule="auto"/>
              <w:ind w:leftChars="0"/>
              <w:rPr>
                <w:rFonts w:hint="eastAsia" w:ascii="宋体" w:hAnsi="宋体" w:eastAsia="宋体" w:cs="宋体"/>
                <w:bCs/>
                <w:iCs/>
                <w:color w:val="auto"/>
                <w:sz w:val="21"/>
                <w:szCs w:val="21"/>
                <w:highlight w:val="none"/>
                <w:lang w:eastAsia="zh-CN"/>
              </w:rPr>
            </w:pPr>
            <w:r>
              <w:rPr>
                <w:rFonts w:hint="eastAsia" w:ascii="宋体" w:hAnsi="宋体" w:eastAsia="宋体" w:cs="宋体"/>
                <w:bCs/>
                <w:iCs/>
                <w:color w:val="auto"/>
                <w:sz w:val="21"/>
                <w:szCs w:val="21"/>
                <w:highlight w:val="none"/>
                <w:lang w:eastAsia="zh-CN"/>
              </w:rPr>
              <w:t>样品的</w:t>
            </w:r>
            <w:r>
              <w:rPr>
                <w:rFonts w:hint="eastAsia" w:ascii="宋体" w:hAnsi="宋体" w:eastAsia="宋体" w:cs="宋体"/>
                <w:bCs/>
                <w:iCs/>
                <w:color w:val="auto"/>
                <w:sz w:val="21"/>
                <w:szCs w:val="21"/>
                <w:highlight w:val="none"/>
                <w:lang w:val="en-US" w:eastAsia="zh-CN"/>
              </w:rPr>
              <w:t>材质、款式、</w:t>
            </w:r>
            <w:r>
              <w:rPr>
                <w:rFonts w:hint="eastAsia" w:ascii="宋体" w:hAnsi="宋体" w:eastAsia="宋体" w:cs="宋体"/>
                <w:bCs/>
                <w:iCs/>
                <w:color w:val="auto"/>
                <w:sz w:val="21"/>
                <w:szCs w:val="21"/>
                <w:highlight w:val="none"/>
                <w:lang w:eastAsia="zh-CN"/>
              </w:rPr>
              <w:t>做工及质量</w:t>
            </w:r>
            <w:r>
              <w:rPr>
                <w:rFonts w:hint="eastAsia" w:ascii="宋体" w:hAnsi="宋体" w:eastAsia="宋体" w:cs="宋体"/>
                <w:bCs/>
                <w:iCs/>
                <w:color w:val="auto"/>
                <w:sz w:val="21"/>
                <w:szCs w:val="21"/>
                <w:highlight w:val="none"/>
                <w:lang w:val="en-US" w:eastAsia="zh-CN"/>
              </w:rPr>
              <w:t>符合要求</w:t>
            </w:r>
            <w:r>
              <w:rPr>
                <w:rFonts w:hint="eastAsia" w:ascii="宋体" w:hAnsi="宋体" w:eastAsia="宋体" w:cs="宋体"/>
                <w:bCs/>
                <w:iCs/>
                <w:color w:val="auto"/>
                <w:sz w:val="21"/>
                <w:szCs w:val="21"/>
                <w:highlight w:val="none"/>
                <w:lang w:eastAsia="zh-CN"/>
              </w:rPr>
              <w:t>满足磋商文件要求得</w:t>
            </w:r>
            <w:r>
              <w:rPr>
                <w:rFonts w:hint="eastAsia" w:ascii="宋体" w:hAnsi="宋体" w:eastAsia="宋体" w:cs="宋体"/>
                <w:bCs/>
                <w:iCs/>
                <w:color w:val="auto"/>
                <w:sz w:val="21"/>
                <w:szCs w:val="21"/>
                <w:highlight w:val="none"/>
                <w:lang w:val="en-US" w:eastAsia="zh-CN"/>
              </w:rPr>
              <w:t>2</w:t>
            </w:r>
            <w:r>
              <w:rPr>
                <w:rFonts w:hint="eastAsia" w:ascii="宋体" w:hAnsi="宋体" w:eastAsia="宋体" w:cs="宋体"/>
                <w:bCs/>
                <w:iCs/>
                <w:color w:val="auto"/>
                <w:sz w:val="21"/>
                <w:szCs w:val="21"/>
                <w:highlight w:val="none"/>
                <w:lang w:eastAsia="zh-CN"/>
              </w:rPr>
              <w:t>分；</w:t>
            </w:r>
          </w:p>
          <w:p w14:paraId="4FA5A24D">
            <w:pPr>
              <w:numPr>
                <w:ilvl w:val="0"/>
                <w:numId w:val="0"/>
              </w:numPr>
              <w:spacing w:line="360" w:lineRule="auto"/>
              <w:ind w:leftChars="0"/>
              <w:rPr>
                <w:rFonts w:hint="eastAsia" w:ascii="宋体" w:hAnsi="宋体" w:eastAsia="宋体" w:cs="宋体"/>
                <w:bCs/>
                <w:iCs/>
                <w:color w:val="auto"/>
                <w:sz w:val="21"/>
                <w:szCs w:val="21"/>
                <w:highlight w:val="none"/>
                <w:lang w:eastAsia="zh-CN"/>
              </w:rPr>
            </w:pPr>
            <w:r>
              <w:rPr>
                <w:rFonts w:hint="eastAsia" w:ascii="宋体" w:hAnsi="宋体" w:eastAsia="宋体" w:cs="宋体"/>
                <w:bCs/>
                <w:iCs/>
                <w:color w:val="auto"/>
                <w:sz w:val="21"/>
                <w:szCs w:val="21"/>
                <w:highlight w:val="none"/>
                <w:lang w:eastAsia="zh-CN"/>
              </w:rPr>
              <w:t>样品的</w:t>
            </w:r>
            <w:r>
              <w:rPr>
                <w:rFonts w:hint="eastAsia" w:ascii="宋体" w:hAnsi="宋体" w:eastAsia="宋体" w:cs="宋体"/>
                <w:bCs/>
                <w:iCs/>
                <w:color w:val="auto"/>
                <w:sz w:val="21"/>
                <w:szCs w:val="21"/>
                <w:highlight w:val="none"/>
                <w:lang w:val="en-US" w:eastAsia="zh-CN"/>
              </w:rPr>
              <w:t>材质、款式、</w:t>
            </w:r>
            <w:r>
              <w:rPr>
                <w:rFonts w:hint="eastAsia" w:ascii="宋体" w:hAnsi="宋体" w:eastAsia="宋体" w:cs="宋体"/>
                <w:bCs/>
                <w:iCs/>
                <w:color w:val="auto"/>
                <w:sz w:val="21"/>
                <w:szCs w:val="21"/>
                <w:highlight w:val="none"/>
                <w:lang w:eastAsia="zh-CN"/>
              </w:rPr>
              <w:t>做工及质量</w:t>
            </w:r>
            <w:r>
              <w:rPr>
                <w:rFonts w:hint="eastAsia" w:ascii="宋体" w:hAnsi="宋体" w:eastAsia="宋体" w:cs="宋体"/>
                <w:bCs/>
                <w:iCs/>
                <w:color w:val="auto"/>
                <w:sz w:val="21"/>
                <w:szCs w:val="21"/>
                <w:highlight w:val="none"/>
                <w:lang w:val="en-US" w:eastAsia="zh-CN"/>
              </w:rPr>
              <w:t>一般的</w:t>
            </w:r>
            <w:r>
              <w:rPr>
                <w:rFonts w:hint="eastAsia" w:ascii="宋体" w:hAnsi="宋体" w:eastAsia="宋体" w:cs="宋体"/>
                <w:bCs/>
                <w:iCs/>
                <w:color w:val="auto"/>
                <w:sz w:val="21"/>
                <w:szCs w:val="21"/>
                <w:highlight w:val="none"/>
                <w:lang w:eastAsia="zh-CN"/>
              </w:rPr>
              <w:t>得</w:t>
            </w:r>
            <w:r>
              <w:rPr>
                <w:rFonts w:hint="eastAsia" w:ascii="宋体" w:hAnsi="宋体" w:eastAsia="宋体" w:cs="宋体"/>
                <w:bCs/>
                <w:iCs/>
                <w:color w:val="auto"/>
                <w:sz w:val="21"/>
                <w:szCs w:val="21"/>
                <w:highlight w:val="none"/>
                <w:lang w:val="en-US" w:eastAsia="zh-CN"/>
              </w:rPr>
              <w:t>1</w:t>
            </w:r>
            <w:r>
              <w:rPr>
                <w:rFonts w:hint="eastAsia" w:ascii="宋体" w:hAnsi="宋体" w:eastAsia="宋体" w:cs="宋体"/>
                <w:bCs/>
                <w:iCs/>
                <w:color w:val="auto"/>
                <w:sz w:val="21"/>
                <w:szCs w:val="21"/>
                <w:highlight w:val="none"/>
                <w:lang w:eastAsia="zh-CN"/>
              </w:rPr>
              <w:t>分；</w:t>
            </w:r>
          </w:p>
          <w:p w14:paraId="42979523">
            <w:pPr>
              <w:numPr>
                <w:ilvl w:val="0"/>
                <w:numId w:val="0"/>
              </w:numPr>
              <w:spacing w:line="360" w:lineRule="auto"/>
              <w:ind w:leftChars="0"/>
              <w:rPr>
                <w:rFonts w:hint="eastAsia" w:ascii="宋体" w:hAnsi="宋体" w:eastAsia="宋体" w:cs="宋体"/>
                <w:bCs/>
                <w:iCs/>
                <w:color w:val="auto"/>
                <w:sz w:val="21"/>
                <w:szCs w:val="21"/>
                <w:highlight w:val="none"/>
                <w:lang w:val="en-US" w:eastAsia="zh-CN"/>
              </w:rPr>
            </w:pPr>
            <w:r>
              <w:rPr>
                <w:rFonts w:hint="eastAsia" w:ascii="宋体" w:hAnsi="宋体" w:eastAsia="宋体" w:cs="宋体"/>
                <w:bCs/>
                <w:iCs/>
                <w:color w:val="auto"/>
                <w:sz w:val="21"/>
                <w:szCs w:val="21"/>
                <w:highlight w:val="none"/>
                <w:lang w:val="en-US" w:eastAsia="zh-CN"/>
              </w:rPr>
              <w:t>未提供不得分。</w:t>
            </w:r>
          </w:p>
          <w:p w14:paraId="5008965A">
            <w:pPr>
              <w:numPr>
                <w:ilvl w:val="0"/>
                <w:numId w:val="0"/>
              </w:numPr>
              <w:spacing w:line="360" w:lineRule="auto"/>
              <w:ind w:leftChars="0"/>
              <w:rPr>
                <w:rFonts w:hint="default" w:ascii="宋体" w:hAnsi="宋体" w:eastAsia="宋体" w:cs="宋体"/>
                <w:bCs/>
                <w:iCs/>
                <w:color w:val="auto"/>
                <w:sz w:val="21"/>
                <w:szCs w:val="21"/>
                <w:highlight w:val="none"/>
                <w:lang w:val="en-US" w:eastAsia="zh-CN"/>
              </w:rPr>
            </w:pPr>
            <w:r>
              <w:rPr>
                <w:rFonts w:hint="eastAsia" w:ascii="宋体" w:hAnsi="宋体" w:eastAsia="宋体" w:cs="宋体"/>
                <w:b/>
                <w:bCs w:val="0"/>
                <w:iCs/>
                <w:color w:val="auto"/>
                <w:sz w:val="21"/>
                <w:szCs w:val="21"/>
                <w:highlight w:val="none"/>
                <w:lang w:val="en-US" w:eastAsia="zh-CN"/>
              </w:rPr>
              <w:t>服装样品尺码：男士175cm，鞋子样品尺码：男士43码。</w:t>
            </w:r>
          </w:p>
        </w:tc>
      </w:tr>
    </w:tbl>
    <w:p w14:paraId="545F80E9">
      <w:pPr>
        <w:adjustRightInd w:val="0"/>
        <w:snapToGrid w:val="0"/>
        <w:spacing w:before="190" w:beforeLines="50" w:line="360" w:lineRule="auto"/>
        <w:ind w:firstLine="422" w:firstLineChars="200"/>
        <w:outlineLvl w:val="2"/>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6.10评审</w:t>
      </w:r>
    </w:p>
    <w:p w14:paraId="09EF73B5">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6.10.1磋商小组从质量和服务均能满足磋商文件实质性响应要求的供应商中，按照最后报价进行综合评分，并根据综合评分情况按照得分由高到低的顺序推荐3名以上成交供应商。如符合《政府采购竞争性磋商采购方式管理暂行办法》规定的相关情形的，推荐的供应商可以为2家</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评审得分相同的，按照最后报价由低到高的顺序推荐。评审得分且最后报价相同的，按照技术指标优劣顺序推荐。或根据采购人授权直接确定质量和服务均能满足磋商文件实质性要求且评审得分最高的供应商为成交供应商；</w:t>
      </w:r>
    </w:p>
    <w:p w14:paraId="357D6F61">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6.10.2评审结束后，磋商小组向采购人提交书面评审报告。评审报告由磋商小组全体成员签字认可，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9641460">
      <w:pPr>
        <w:adjustRightInd w:val="0"/>
        <w:snapToGrid w:val="0"/>
        <w:spacing w:line="360" w:lineRule="auto"/>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6.10.3出现下列情形之一的，采购人或者采购代理机构将终止竞争性磋商采购活动，发布项目终止公告并说明原因，重新开展采购活动：</w:t>
      </w:r>
    </w:p>
    <w:p w14:paraId="54C4E550">
      <w:pPr>
        <w:adjustRightInd w:val="0"/>
        <w:snapToGrid w:val="0"/>
        <w:spacing w:line="360" w:lineRule="auto"/>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（1）因情况变化，不再符合规定的竞争性磋商采购方式适用情形的；</w:t>
      </w:r>
    </w:p>
    <w:p w14:paraId="74A087AC">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（2）出现影响采购公正的违法、违规行为的；</w:t>
      </w:r>
    </w:p>
    <w:p w14:paraId="53AFEC65">
      <w:pPr>
        <w:adjustRightInd w:val="0"/>
        <w:snapToGrid w:val="0"/>
        <w:spacing w:line="360" w:lineRule="auto"/>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（3）除政府采购竞争性磋商采购方式管理暂行办法第二十一条第三款规定的情形外，在采购过程中符合要求的供应商或者报价未超过采购预算的供应商不足3家的。</w:t>
      </w:r>
    </w:p>
    <w:p w14:paraId="1F40B712">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6.10.4核心产品将在磋商文件第三章“项目需求及技术参数要求”中载明，供应商提供的核心产品品牌相同的，按照供应商须知前附表的相关规定处理。</w:t>
      </w:r>
    </w:p>
    <w:p w14:paraId="7E90EEF4">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6.10.5磋商小组成员应当客观、公正、审慎的履行职务，遵守职业道德，对所提出的评审意见承担个人责任。</w:t>
      </w:r>
    </w:p>
    <w:p w14:paraId="0B2CF2A5">
      <w:pPr>
        <w:adjustRightInd w:val="0"/>
        <w:snapToGrid w:val="0"/>
        <w:spacing w:line="360" w:lineRule="auto"/>
        <w:ind w:firstLine="422" w:firstLineChars="200"/>
        <w:outlineLvl w:val="2"/>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6.11 保密及其它注意事项</w:t>
      </w:r>
    </w:p>
    <w:p w14:paraId="652D3F8B">
      <w:pPr>
        <w:adjustRightInd w:val="0"/>
        <w:snapToGrid w:val="0"/>
        <w:spacing w:line="360" w:lineRule="auto"/>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6.11.1评审开始后，直到授予成交供应商合同为止，凡涉及响应文件的评审和比较、成交候选人的推荐情况以及与评审有关的其它情况均应严格保密；</w:t>
      </w:r>
    </w:p>
    <w:p w14:paraId="0ABF4540">
      <w:pPr>
        <w:adjustRightInd w:val="0"/>
        <w:snapToGrid w:val="0"/>
        <w:spacing w:line="360" w:lineRule="auto"/>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6.11.2在响应文件的评审和比较、成交候选供应商推荐以及授予合同的过程中，供应商对采购人和磋商小组施加影响的任何行为，都将导致取消其磋商资格。</w:t>
      </w:r>
    </w:p>
    <w:p w14:paraId="2C711682">
      <w:pPr>
        <w:adjustRightInd w:val="0"/>
        <w:snapToGrid w:val="0"/>
        <w:spacing w:line="360" w:lineRule="auto"/>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6.11.3在评审工作结束后，凡与评审情况有接触的任何人不得擅自将评审情况扩散出评审人员之外。</w:t>
      </w:r>
    </w:p>
    <w:p w14:paraId="73A272A4">
      <w:pPr>
        <w:adjustRightInd w:val="0"/>
        <w:snapToGrid w:val="0"/>
        <w:spacing w:line="360" w:lineRule="auto"/>
        <w:ind w:firstLine="422" w:firstLineChars="200"/>
        <w:outlineLvl w:val="1"/>
        <w:rPr>
          <w:rFonts w:ascii="宋体" w:hAnsi="宋体" w:eastAsia="宋体" w:cs="宋体"/>
          <w:b/>
          <w:bCs/>
          <w:color w:val="auto"/>
          <w:sz w:val="21"/>
          <w:szCs w:val="21"/>
          <w:highlight w:val="none"/>
        </w:rPr>
      </w:pPr>
      <w:bookmarkStart w:id="77" w:name="_Toc14157"/>
      <w:bookmarkEnd w:id="77"/>
      <w:bookmarkStart w:id="78" w:name="_Toc33260061"/>
      <w:bookmarkEnd w:id="78"/>
      <w:bookmarkStart w:id="79" w:name="_Toc32835891"/>
      <w:bookmarkEnd w:id="79"/>
      <w:bookmarkStart w:id="80" w:name="_Toc32626"/>
      <w:bookmarkEnd w:id="80"/>
      <w:bookmarkStart w:id="81" w:name="_Toc2722"/>
      <w:bookmarkEnd w:id="81"/>
      <w:bookmarkStart w:id="82" w:name="_Toc21058"/>
      <w:r>
        <w:rPr>
          <w:rFonts w:hint="eastAsia" w:ascii="宋体" w:hAnsi="宋体" w:eastAsia="宋体" w:cs="宋体"/>
          <w:b/>
          <w:bCs/>
          <w:color w:val="auto"/>
          <w:sz w:val="21"/>
          <w:szCs w:val="21"/>
          <w:highlight w:val="none"/>
        </w:rPr>
        <w:t>7. 授予合同</w:t>
      </w:r>
      <w:bookmarkEnd w:id="82"/>
    </w:p>
    <w:p w14:paraId="45ABAB9B">
      <w:pPr>
        <w:adjustRightInd w:val="0"/>
        <w:snapToGrid w:val="0"/>
        <w:spacing w:line="360" w:lineRule="auto"/>
        <w:ind w:firstLine="422" w:firstLineChars="200"/>
        <w:outlineLvl w:val="2"/>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7.1 成交结果及公告</w:t>
      </w:r>
    </w:p>
    <w:p w14:paraId="7F997D46">
      <w:pPr>
        <w:adjustRightInd w:val="0"/>
        <w:snapToGrid w:val="0"/>
        <w:spacing w:line="360" w:lineRule="auto"/>
        <w:ind w:firstLine="420"/>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7.1.1</w:t>
      </w:r>
      <w:r>
        <w:rPr>
          <w:rFonts w:hint="eastAsia" w:ascii="宋体" w:hAnsi="宋体" w:eastAsia="宋体" w:cs="宋体"/>
          <w:color w:val="auto"/>
          <w:sz w:val="21"/>
          <w:szCs w:val="21"/>
          <w:highlight w:val="none"/>
        </w:rPr>
        <w:t>采购代理机构将在评审结束后2个工作日内将评审报告送采购人。采购人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00088193">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7.1.2采购</w:t>
      </w:r>
      <w:r>
        <w:rPr>
          <w:rFonts w:hint="eastAsia" w:ascii="宋体" w:hAnsi="宋体" w:eastAsia="宋体" w:cs="宋体"/>
          <w:color w:val="auto"/>
          <w:sz w:val="21"/>
          <w:szCs w:val="21"/>
          <w:highlight w:val="none"/>
        </w:rPr>
        <w:t>代理机构将在发布竞争性磋商公告的网站上发布成交公告；</w:t>
      </w:r>
    </w:p>
    <w:p w14:paraId="2DD53ECC">
      <w:pPr>
        <w:adjustRightInd w:val="0"/>
        <w:snapToGrid w:val="0"/>
        <w:spacing w:line="360" w:lineRule="auto"/>
        <w:ind w:firstLine="422" w:firstLineChars="200"/>
        <w:outlineLvl w:val="2"/>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7.2 成交通知书</w:t>
      </w:r>
    </w:p>
    <w:p w14:paraId="176F010B">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7.2.1在公告成交结果的同时，采购人或者采购代理机构向成交供应商发出成交通知书；</w:t>
      </w:r>
    </w:p>
    <w:p w14:paraId="622DA17E">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7.2.2成交通知书发出后，采购人不得违法改变成交结果，成交供应商无正当理由不得放弃成交。</w:t>
      </w:r>
      <w:r>
        <w:rPr>
          <w:rFonts w:hint="eastAsia" w:ascii="宋体" w:hAnsi="宋体" w:eastAsia="宋体" w:cs="宋体"/>
          <w:color w:val="auto"/>
          <w:sz w:val="21"/>
          <w:szCs w:val="21"/>
          <w:highlight w:val="none"/>
        </w:rPr>
        <w:t xml:space="preserve"> </w:t>
      </w:r>
    </w:p>
    <w:p w14:paraId="023258E9">
      <w:pPr>
        <w:adjustRightInd w:val="0"/>
        <w:snapToGrid w:val="0"/>
        <w:spacing w:line="360" w:lineRule="auto"/>
        <w:ind w:firstLine="420" w:firstLineChars="200"/>
        <w:outlineLvl w:val="3"/>
        <w:rPr>
          <w:rFonts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7.2.3成交通知书将作为进行合同磋商和签订合同的依据。</w:t>
      </w:r>
    </w:p>
    <w:p w14:paraId="6D142AA8">
      <w:pPr>
        <w:adjustRightInd w:val="0"/>
        <w:snapToGrid w:val="0"/>
        <w:spacing w:line="360" w:lineRule="auto"/>
        <w:ind w:firstLine="422" w:firstLineChars="200"/>
        <w:outlineLvl w:val="2"/>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7.3 履约保证金（见供应商须知前附表）</w:t>
      </w:r>
    </w:p>
    <w:p w14:paraId="33D459A7">
      <w:pPr>
        <w:adjustRightInd w:val="0"/>
        <w:snapToGrid w:val="0"/>
        <w:spacing w:line="360" w:lineRule="auto"/>
        <w:ind w:firstLine="422" w:firstLineChars="200"/>
        <w:outlineLvl w:val="2"/>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7.4 签订合同</w:t>
      </w:r>
    </w:p>
    <w:p w14:paraId="63AA9503">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7.4.1采购人应当自成交通知书发出之日起15日内，按照磋商文件和成交供应商响应文件的规定，与成交供应商签订书面合同。所签订的合同不得对磋商文件确定的事项和成交供应商响应文件作实质性修改</w:t>
      </w:r>
      <w:r>
        <w:rPr>
          <w:rFonts w:hint="eastAsia" w:ascii="宋体" w:hAnsi="宋体" w:eastAsia="宋体" w:cs="宋体"/>
          <w:color w:val="auto"/>
          <w:sz w:val="21"/>
          <w:szCs w:val="21"/>
          <w:highlight w:val="none"/>
        </w:rPr>
        <w:t>。</w:t>
      </w:r>
    </w:p>
    <w:p w14:paraId="5D429CCA">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7.4.2采购人不得向成交供应商提出任何不合理的要求作为签订合同的条件。</w:t>
      </w:r>
    </w:p>
    <w:p w14:paraId="119ADCFB">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7.4.3政府采购合同应当包括采购人与成交供应商的名称和住所、标的、数量、质量、价款或者报酬、履行期限及地点和方式、验收要求、违约责任、解决争议的方法等内容。</w:t>
      </w:r>
    </w:p>
    <w:p w14:paraId="16227C0D">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7.4.4采购人与成交供应商应当根据合同的约定依法履行合同义务。</w:t>
      </w:r>
    </w:p>
    <w:p w14:paraId="6A0AA291">
      <w:pPr>
        <w:adjustRightInd w:val="0"/>
        <w:snapToGrid w:val="0"/>
        <w:spacing w:line="360" w:lineRule="auto"/>
        <w:ind w:firstLine="420" w:firstLineChars="2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7.4.5如果成交供应商未按上述规定执行，采购人可以按照磋商小组提出的成交候选人名单排序依次确定其他成交候选人为成交供应商，也可以重新组织采购。</w:t>
      </w:r>
    </w:p>
    <w:p w14:paraId="20086CA5">
      <w:pPr>
        <w:adjustRightInd w:val="0"/>
        <w:snapToGrid w:val="0"/>
        <w:spacing w:line="360" w:lineRule="auto"/>
        <w:ind w:firstLine="422" w:firstLineChars="200"/>
        <w:outlineLvl w:val="2"/>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7.5付款方式（见供应商须知前附表）</w:t>
      </w:r>
    </w:p>
    <w:p w14:paraId="67A3521B">
      <w:pPr>
        <w:adjustRightInd w:val="0"/>
        <w:snapToGrid w:val="0"/>
        <w:spacing w:line="360" w:lineRule="auto"/>
        <w:ind w:firstLine="422" w:firstLineChars="200"/>
        <w:outlineLvl w:val="1"/>
        <w:rPr>
          <w:rFonts w:ascii="宋体" w:hAnsi="宋体" w:eastAsia="宋体" w:cs="宋体"/>
          <w:b/>
          <w:bCs/>
          <w:color w:val="auto"/>
          <w:sz w:val="21"/>
          <w:szCs w:val="21"/>
          <w:highlight w:val="none"/>
        </w:rPr>
      </w:pPr>
      <w:bookmarkStart w:id="83" w:name="_Toc32835892"/>
      <w:bookmarkEnd w:id="83"/>
      <w:bookmarkStart w:id="84" w:name="_Toc22972"/>
      <w:bookmarkEnd w:id="84"/>
      <w:bookmarkStart w:id="85" w:name="_Toc26635"/>
      <w:bookmarkEnd w:id="85"/>
      <w:bookmarkStart w:id="86" w:name="_Toc33260062"/>
      <w:bookmarkEnd w:id="86"/>
      <w:bookmarkStart w:id="87" w:name="_Toc2719"/>
      <w:bookmarkEnd w:id="87"/>
      <w:bookmarkStart w:id="88" w:name="_Toc17432"/>
      <w:r>
        <w:rPr>
          <w:rFonts w:hint="eastAsia" w:ascii="宋体" w:hAnsi="宋体" w:eastAsia="宋体" w:cs="宋体"/>
          <w:b/>
          <w:bCs/>
          <w:color w:val="auto"/>
          <w:sz w:val="21"/>
          <w:szCs w:val="21"/>
          <w:highlight w:val="none"/>
        </w:rPr>
        <w:t>8. 其他</w:t>
      </w:r>
      <w:bookmarkEnd w:id="88"/>
    </w:p>
    <w:p w14:paraId="19CF9B9A">
      <w:pPr>
        <w:adjustRightInd w:val="0"/>
        <w:snapToGrid w:val="0"/>
        <w:spacing w:line="360" w:lineRule="auto"/>
        <w:ind w:firstLine="422" w:firstLineChars="200"/>
        <w:outlineLvl w:val="3"/>
        <w:rPr>
          <w:rFonts w:ascii="宋体" w:hAnsi="宋体" w:eastAsia="宋体" w:cs="宋体"/>
          <w:bCs/>
          <w:color w:val="auto"/>
          <w:sz w:val="21"/>
          <w:szCs w:val="21"/>
          <w:highlight w:val="none"/>
        </w:rPr>
      </w:pPr>
      <w:r>
        <w:rPr>
          <w:rFonts w:hint="eastAsia" w:ascii="宋体" w:hAnsi="宋体" w:eastAsia="宋体" w:cs="宋体"/>
          <w:b/>
          <w:bCs/>
          <w:color w:val="auto"/>
          <w:sz w:val="21"/>
          <w:szCs w:val="21"/>
          <w:highlight w:val="none"/>
        </w:rPr>
        <w:t>8.1代理服务费：</w:t>
      </w:r>
      <w:r>
        <w:rPr>
          <w:rFonts w:hint="eastAsia" w:ascii="宋体" w:hAnsi="宋体" w:eastAsia="宋体" w:cs="宋体"/>
          <w:bCs/>
          <w:color w:val="auto"/>
          <w:sz w:val="21"/>
          <w:szCs w:val="21"/>
          <w:highlight w:val="none"/>
        </w:rPr>
        <w:t>成交供应商在领取成交通知书时向采购代理机构一次性支付本项目的代理服务费，代理服务费收费标准及金额见供应商须知前附表。</w:t>
      </w:r>
    </w:p>
    <w:p w14:paraId="10050432">
      <w:pPr>
        <w:adjustRightInd w:val="0"/>
        <w:snapToGrid w:val="0"/>
        <w:spacing w:line="360" w:lineRule="auto"/>
        <w:ind w:firstLine="420" w:firstLineChars="200"/>
        <w:jc w:val="left"/>
        <w:outlineLvl w:val="2"/>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8.2质疑投诉：见供应商须知前附表。</w:t>
      </w:r>
    </w:p>
    <w:p w14:paraId="7011C2C3">
      <w:pPr>
        <w:widowControl/>
        <w:adjustRightInd w:val="0"/>
        <w:snapToGrid w:val="0"/>
        <w:spacing w:line="360" w:lineRule="auto"/>
        <w:ind w:firstLine="420" w:firstLineChars="2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8.3需要补充的其他内容：见供应商须知前附表。</w:t>
      </w:r>
    </w:p>
    <w:p w14:paraId="6C86613A">
      <w:pPr>
        <w:rPr>
          <w:rFonts w:ascii="宋体" w:hAnsi="宋体" w:eastAsia="宋体" w:cs="宋体"/>
          <w:b/>
          <w:color w:val="auto"/>
          <w:sz w:val="28"/>
          <w:szCs w:val="28"/>
          <w:highlight w:val="none"/>
        </w:rPr>
      </w:pPr>
      <w:bookmarkStart w:id="89" w:name="_Toc3887"/>
      <w:bookmarkStart w:id="90" w:name="_Toc18752"/>
      <w:bookmarkStart w:id="91" w:name="_Toc617"/>
      <w:r>
        <w:rPr>
          <w:rFonts w:hint="eastAsia" w:ascii="宋体" w:hAnsi="宋体" w:eastAsia="宋体" w:cs="宋体"/>
          <w:b/>
          <w:color w:val="auto"/>
          <w:sz w:val="28"/>
          <w:szCs w:val="28"/>
          <w:highlight w:val="none"/>
        </w:rPr>
        <w:br w:type="page"/>
      </w:r>
    </w:p>
    <w:bookmarkEnd w:id="89"/>
    <w:bookmarkEnd w:id="90"/>
    <w:bookmarkEnd w:id="91"/>
    <w:p w14:paraId="5EC6DF18">
      <w:pPr>
        <w:tabs>
          <w:tab w:val="right" w:pos="7560"/>
        </w:tabs>
        <w:adjustRightInd w:val="0"/>
        <w:snapToGrid w:val="0"/>
        <w:spacing w:before="190" w:beforeLines="50" w:after="190" w:afterLines="50" w:line="360" w:lineRule="auto"/>
        <w:jc w:val="center"/>
        <w:outlineLvl w:val="0"/>
        <w:rPr>
          <w:rFonts w:ascii="宋体" w:hAnsi="宋体" w:eastAsia="宋体" w:cs="宋体"/>
          <w:b/>
          <w:color w:val="auto"/>
          <w:sz w:val="28"/>
          <w:szCs w:val="28"/>
          <w:highlight w:val="none"/>
        </w:rPr>
      </w:pPr>
      <w:bookmarkStart w:id="92" w:name="_Toc10628"/>
      <w:r>
        <w:rPr>
          <w:rFonts w:hint="eastAsia" w:ascii="宋体" w:hAnsi="宋体" w:eastAsia="宋体" w:cs="宋体"/>
          <w:b/>
          <w:color w:val="auto"/>
          <w:sz w:val="28"/>
          <w:szCs w:val="28"/>
          <w:highlight w:val="none"/>
        </w:rPr>
        <w:t>第三章  项目需求及技术参数要求</w:t>
      </w:r>
      <w:bookmarkEnd w:id="92"/>
    </w:p>
    <w:p w14:paraId="22226AB9">
      <w:pPr>
        <w:spacing w:line="360" w:lineRule="auto"/>
        <w:ind w:firstLine="413" w:firstLineChars="196"/>
        <w:outlineLvl w:val="1"/>
        <w:rPr>
          <w:rFonts w:ascii="宋体" w:hAnsi="宋体" w:eastAsia="宋体" w:cs="宋体"/>
          <w:b/>
          <w:bCs/>
          <w:color w:val="auto"/>
          <w:sz w:val="21"/>
          <w:szCs w:val="21"/>
          <w:highlight w:val="none"/>
        </w:rPr>
      </w:pPr>
      <w:bookmarkStart w:id="93" w:name="_Toc5421"/>
      <w:r>
        <w:rPr>
          <w:rFonts w:hint="eastAsia" w:ascii="宋体" w:hAnsi="宋体" w:eastAsia="宋体" w:cs="宋体"/>
          <w:b/>
          <w:bCs/>
          <w:color w:val="auto"/>
          <w:sz w:val="21"/>
          <w:szCs w:val="21"/>
          <w:highlight w:val="none"/>
        </w:rPr>
        <w:t>一、项目基本情况</w:t>
      </w:r>
      <w:bookmarkEnd w:id="93"/>
    </w:p>
    <w:p w14:paraId="139DDC4F">
      <w:pPr>
        <w:adjustRightInd w:val="0"/>
        <w:snapToGrid w:val="0"/>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rPr>
        <w:t>1.采购内容及数量：</w:t>
      </w:r>
      <w:r>
        <w:rPr>
          <w:rFonts w:hint="eastAsia" w:ascii="宋体" w:hAnsi="宋体" w:eastAsia="宋体" w:cs="宋体"/>
          <w:color w:val="auto"/>
          <w:sz w:val="21"/>
          <w:szCs w:val="21"/>
          <w:highlight w:val="none"/>
          <w:lang w:eastAsia="zh-CN"/>
        </w:rPr>
        <w:t>河南省参加第十五届全运会群众赛事活动代表团服装项目，</w:t>
      </w:r>
      <w:r>
        <w:rPr>
          <w:rFonts w:hint="eastAsia" w:ascii="宋体" w:hAnsi="宋体" w:eastAsia="宋体" w:cs="宋体"/>
          <w:color w:val="auto"/>
          <w:sz w:val="21"/>
          <w:szCs w:val="21"/>
          <w:highlight w:val="none"/>
          <w:lang w:val="en-US" w:eastAsia="zh-CN"/>
        </w:rPr>
        <w:t>最高预算4000元/套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装备发放对象为进入决赛阶段的运动员、教练员以及代表团等相关人员每人一套。</w:t>
      </w:r>
      <w:r>
        <w:rPr>
          <w:rFonts w:hint="eastAsia" w:ascii="宋体" w:hAnsi="宋体" w:eastAsia="宋体" w:cs="宋体"/>
          <w:color w:val="auto"/>
          <w:sz w:val="21"/>
          <w:szCs w:val="21"/>
          <w:highlight w:val="none"/>
          <w:lang w:eastAsia="zh-CN"/>
        </w:rPr>
        <w:t>每套装备包括风衣1件、防晒衣1件、领奖服1套、翻领短袖T恤2件、圆领短袖T恤2件、运动短裤2条、运动鞋1双、运动袜2双、拖鞋1双、运动帽1顶、斜挎包1个、双肩背包1个、拉杆箱1个</w:t>
      </w:r>
      <w:r>
        <w:rPr>
          <w:rFonts w:hint="eastAsia" w:ascii="宋体" w:hAnsi="宋体" w:eastAsia="宋体" w:cs="宋体"/>
          <w:color w:val="auto"/>
          <w:sz w:val="21"/>
          <w:szCs w:val="21"/>
          <w:highlight w:val="none"/>
          <w:lang w:val="en-US" w:eastAsia="zh-CN"/>
        </w:rPr>
        <w:t>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具体套数以代表团最终名单为准，总预算不超1,800,000.00元，单套预算不超4000元/套。</w:t>
      </w:r>
    </w:p>
    <w:p w14:paraId="4BEB5E4C">
      <w:pPr>
        <w:adjustRightInd w:val="0"/>
        <w:snapToGrid w:val="0"/>
        <w:spacing w:line="360" w:lineRule="auto"/>
        <w:ind w:firstLine="420" w:firstLineChars="200"/>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eastAsia="zh-CN"/>
        </w:rPr>
        <w:t>质量标准</w:t>
      </w:r>
      <w:r>
        <w:rPr>
          <w:rFonts w:hint="eastAsia" w:ascii="宋体" w:hAnsi="宋体" w:eastAsia="宋体" w:cs="宋体"/>
          <w:bCs/>
          <w:color w:val="auto"/>
          <w:sz w:val="21"/>
          <w:szCs w:val="21"/>
          <w:highlight w:val="none"/>
        </w:rPr>
        <w:t>：合格，符合国家标准及采购人</w:t>
      </w:r>
      <w:r>
        <w:rPr>
          <w:rFonts w:hint="eastAsia" w:ascii="宋体" w:hAnsi="宋体" w:eastAsia="宋体" w:cs="宋体"/>
          <w:color w:val="auto"/>
          <w:sz w:val="21"/>
          <w:szCs w:val="21"/>
          <w:highlight w:val="none"/>
        </w:rPr>
        <w:t>要求</w:t>
      </w:r>
      <w:r>
        <w:rPr>
          <w:rFonts w:hint="eastAsia" w:ascii="宋体" w:hAnsi="宋体" w:eastAsia="宋体" w:cs="宋体"/>
          <w:bCs/>
          <w:color w:val="auto"/>
          <w:sz w:val="21"/>
          <w:szCs w:val="21"/>
          <w:highlight w:val="none"/>
        </w:rPr>
        <w:t>。</w:t>
      </w:r>
    </w:p>
    <w:p w14:paraId="6572FC6F">
      <w:pPr>
        <w:adjustRightInd w:val="0"/>
        <w:snapToGrid w:val="0"/>
        <w:spacing w:line="360" w:lineRule="auto"/>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3.</w:t>
      </w:r>
      <w:r>
        <w:rPr>
          <w:rFonts w:hint="eastAsia" w:ascii="宋体" w:hAnsi="宋体" w:eastAsia="宋体" w:cs="宋体"/>
          <w:bCs/>
          <w:color w:val="auto"/>
          <w:sz w:val="21"/>
          <w:szCs w:val="21"/>
          <w:highlight w:val="none"/>
          <w:lang w:eastAsia="zh-CN"/>
        </w:rPr>
        <w:t>交货期</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eastAsia="zh-CN"/>
        </w:rPr>
        <w:t>2025年4月2</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lang w:eastAsia="zh-CN"/>
        </w:rPr>
        <w:t>日起至2025年10月20日前根据采购人要求规定时间内分批次供货完成，每批次最长供货期不得超过10天。</w:t>
      </w:r>
    </w:p>
    <w:p w14:paraId="3D9FD900">
      <w:pPr>
        <w:adjustRightInd w:val="0"/>
        <w:snapToGrid w:val="0"/>
        <w:spacing w:line="360" w:lineRule="auto"/>
        <w:ind w:firstLine="420" w:firstLineChars="200"/>
        <w:outlineLvl w:val="2"/>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4.</w:t>
      </w:r>
      <w:r>
        <w:rPr>
          <w:rFonts w:hint="eastAsia" w:ascii="宋体" w:hAnsi="宋体" w:eastAsia="宋体" w:cs="宋体"/>
          <w:bCs/>
          <w:color w:val="auto"/>
          <w:sz w:val="21"/>
          <w:szCs w:val="21"/>
          <w:highlight w:val="none"/>
          <w:lang w:eastAsia="zh-CN"/>
        </w:rPr>
        <w:t>质量保证期</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lang w:eastAsia="zh-CN"/>
        </w:rPr>
        <w:t>自验收合格使用之日起质保 1 年</w:t>
      </w:r>
      <w:r>
        <w:rPr>
          <w:rFonts w:hint="eastAsia" w:ascii="宋体" w:hAnsi="宋体" w:eastAsia="宋体" w:cs="宋体"/>
          <w:color w:val="auto"/>
          <w:sz w:val="21"/>
          <w:szCs w:val="21"/>
          <w:highlight w:val="none"/>
        </w:rPr>
        <w:t>。</w:t>
      </w:r>
    </w:p>
    <w:p w14:paraId="1ECB6E14">
      <w:pPr>
        <w:adjustRightInd w:val="0"/>
        <w:snapToGrid w:val="0"/>
        <w:spacing w:line="360" w:lineRule="auto"/>
        <w:ind w:firstLine="420" w:firstLineChars="200"/>
        <w:outlineLvl w:val="2"/>
        <w:rPr>
          <w:rFonts w:ascii="宋体" w:hAnsi="宋体" w:cs="宋体"/>
          <w:bCs/>
          <w:color w:val="auto"/>
          <w:sz w:val="21"/>
          <w:szCs w:val="21"/>
          <w:highlight w:val="none"/>
        </w:rPr>
      </w:pPr>
      <w:r>
        <w:rPr>
          <w:rFonts w:hint="eastAsia" w:ascii="宋体" w:hAnsi="宋体" w:eastAsia="宋体" w:cs="宋体"/>
          <w:color w:val="auto"/>
          <w:sz w:val="21"/>
          <w:szCs w:val="21"/>
          <w:highlight w:val="none"/>
        </w:rPr>
        <w:t>5.交货</w:t>
      </w:r>
      <w:r>
        <w:rPr>
          <w:rFonts w:hint="eastAsia" w:ascii="宋体" w:hAnsi="宋体" w:eastAsia="宋体" w:cs="宋体"/>
          <w:color w:val="auto"/>
          <w:sz w:val="21"/>
          <w:szCs w:val="21"/>
          <w:highlight w:val="none"/>
          <w:lang w:val="en-US" w:eastAsia="zh-CN"/>
        </w:rPr>
        <w:t>及安装</w:t>
      </w:r>
      <w:r>
        <w:rPr>
          <w:rFonts w:hint="eastAsia" w:ascii="宋体" w:hAnsi="宋体" w:eastAsia="宋体" w:cs="宋体"/>
          <w:color w:val="auto"/>
          <w:sz w:val="21"/>
          <w:szCs w:val="21"/>
          <w:highlight w:val="none"/>
        </w:rPr>
        <w:t>地点：采购人指定地点。</w:t>
      </w:r>
    </w:p>
    <w:p w14:paraId="4C9168A1">
      <w:pPr>
        <w:adjustRightInd w:val="0"/>
        <w:snapToGrid w:val="0"/>
        <w:spacing w:line="360" w:lineRule="auto"/>
        <w:ind w:firstLine="422" w:firstLineChars="200"/>
        <w:outlineLvl w:val="1"/>
        <w:rPr>
          <w:rFonts w:ascii="宋体" w:hAnsi="宋体" w:eastAsia="宋体" w:cs="宋体"/>
          <w:b/>
          <w:bCs/>
          <w:color w:val="auto"/>
          <w:sz w:val="21"/>
          <w:szCs w:val="21"/>
          <w:highlight w:val="none"/>
        </w:rPr>
      </w:pPr>
      <w:bookmarkStart w:id="94" w:name="_Toc22617"/>
      <w:r>
        <w:rPr>
          <w:rFonts w:hint="eastAsia" w:ascii="宋体" w:hAnsi="宋体" w:eastAsia="宋体" w:cs="宋体"/>
          <w:b/>
          <w:bCs/>
          <w:color w:val="auto"/>
          <w:sz w:val="21"/>
          <w:szCs w:val="21"/>
          <w:highlight w:val="none"/>
        </w:rPr>
        <w:t>二、</w:t>
      </w:r>
      <w:r>
        <w:rPr>
          <w:rFonts w:hint="eastAsia" w:ascii="宋体" w:hAnsi="宋体" w:eastAsia="宋体" w:cs="宋体"/>
          <w:b/>
          <w:bCs/>
          <w:color w:val="auto"/>
          <w:kern w:val="0"/>
          <w:sz w:val="21"/>
          <w:szCs w:val="21"/>
          <w:highlight w:val="none"/>
        </w:rPr>
        <w:t>不允许负偏离的实质性要求和条件</w:t>
      </w:r>
      <w:bookmarkEnd w:id="94"/>
    </w:p>
    <w:p w14:paraId="6AA9F831">
      <w:pPr>
        <w:adjustRightInd w:val="0"/>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交货期</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2025年4月22日起至2025年10月20日前根据采购人要求规定时间内分批次供货完成，每批次最长供货期不得超过10天。</w:t>
      </w:r>
    </w:p>
    <w:p w14:paraId="4A0A091D">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质量保证期</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自验收合格使用之日起质保1年</w:t>
      </w:r>
      <w:r>
        <w:rPr>
          <w:rFonts w:hint="eastAsia" w:ascii="宋体" w:hAnsi="宋体" w:eastAsia="宋体" w:cs="宋体"/>
          <w:color w:val="auto"/>
          <w:sz w:val="21"/>
          <w:szCs w:val="21"/>
          <w:highlight w:val="none"/>
        </w:rPr>
        <w:t>；</w:t>
      </w:r>
    </w:p>
    <w:p w14:paraId="55EAF761">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质量标准</w:t>
      </w:r>
      <w:r>
        <w:rPr>
          <w:rFonts w:hint="eastAsia" w:ascii="宋体" w:hAnsi="宋体" w:eastAsia="宋体" w:cs="宋体"/>
          <w:color w:val="auto"/>
          <w:sz w:val="21"/>
          <w:szCs w:val="21"/>
          <w:highlight w:val="none"/>
        </w:rPr>
        <w:t>:合格，符合国家标准及采购人要求；</w:t>
      </w:r>
    </w:p>
    <w:p w14:paraId="50B3368F">
      <w:pPr>
        <w:adjustRightInd w:val="0"/>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4.付款方式：</w:t>
      </w:r>
      <w:r>
        <w:rPr>
          <w:rFonts w:hint="eastAsia" w:ascii="宋体" w:hAnsi="宋体" w:eastAsia="宋体" w:cs="宋体"/>
          <w:color w:val="auto"/>
          <w:sz w:val="21"/>
          <w:szCs w:val="21"/>
          <w:highlight w:val="none"/>
          <w:lang w:eastAsia="zh-CN"/>
        </w:rPr>
        <w:t>每批次货物交付并验收合格后，采购人支付对应金额。</w:t>
      </w:r>
    </w:p>
    <w:p w14:paraId="423129ED">
      <w:pPr>
        <w:adjustRightInd w:val="0"/>
        <w:snapToGrid w:val="0"/>
        <w:spacing w:line="360" w:lineRule="auto"/>
        <w:ind w:firstLine="413" w:firstLineChars="196"/>
        <w:outlineLvl w:val="1"/>
        <w:rPr>
          <w:rFonts w:hint="eastAsia" w:ascii="宋体" w:hAnsi="宋体" w:eastAsia="宋体" w:cs="宋体"/>
          <w:b/>
          <w:bCs/>
          <w:color w:val="auto"/>
          <w:sz w:val="21"/>
          <w:szCs w:val="21"/>
          <w:highlight w:val="none"/>
          <w:lang w:eastAsia="zh-CN"/>
        </w:rPr>
      </w:pPr>
      <w:bookmarkStart w:id="95" w:name="_Toc11920"/>
      <w:r>
        <w:rPr>
          <w:rFonts w:hint="eastAsia" w:ascii="宋体" w:hAnsi="宋体" w:eastAsia="宋体" w:cs="宋体"/>
          <w:b/>
          <w:bCs/>
          <w:color w:val="auto"/>
          <w:sz w:val="21"/>
          <w:szCs w:val="21"/>
          <w:highlight w:val="none"/>
        </w:rPr>
        <w:t>三、技术参数要求</w:t>
      </w:r>
      <w:bookmarkEnd w:id="95"/>
    </w:p>
    <w:tbl>
      <w:tblPr>
        <w:tblStyle w:val="27"/>
        <w:tblW w:w="87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190"/>
        <w:gridCol w:w="5492"/>
        <w:gridCol w:w="696"/>
        <w:gridCol w:w="717"/>
      </w:tblGrid>
      <w:tr w14:paraId="2CAE1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vAlign w:val="center"/>
          </w:tcPr>
          <w:p w14:paraId="1894ED06">
            <w:pPr>
              <w:widowControl/>
              <w:jc w:val="center"/>
              <w:textAlignment w:val="center"/>
              <w:rPr>
                <w:rFonts w:hint="eastAsia" w:asciiTheme="minorEastAsia" w:hAnsiTheme="minorEastAsia" w:eastAsiaTheme="minorEastAsia" w:cstheme="minorEastAsia"/>
                <w:b/>
                <w:bCs/>
                <w:color w:val="auto"/>
                <w:kern w:val="0"/>
                <w:sz w:val="21"/>
                <w:szCs w:val="21"/>
                <w:highlight w:val="none"/>
                <w:lang w:bidi="ar"/>
              </w:rPr>
            </w:pPr>
            <w:bookmarkStart w:id="96" w:name="_Toc1113"/>
            <w:r>
              <w:rPr>
                <w:rFonts w:hint="eastAsia" w:asciiTheme="minorEastAsia" w:hAnsiTheme="minorEastAsia" w:eastAsiaTheme="minorEastAsia" w:cstheme="minorEastAsia"/>
                <w:b/>
                <w:bCs/>
                <w:color w:val="auto"/>
                <w:kern w:val="0"/>
                <w:sz w:val="21"/>
                <w:szCs w:val="21"/>
                <w:highlight w:val="none"/>
                <w:lang w:bidi="ar"/>
              </w:rPr>
              <w:t>序号</w:t>
            </w:r>
          </w:p>
        </w:tc>
        <w:tc>
          <w:tcPr>
            <w:tcW w:w="1190" w:type="dxa"/>
            <w:shd w:val="clear" w:color="auto" w:fill="auto"/>
            <w:vAlign w:val="center"/>
          </w:tcPr>
          <w:p w14:paraId="357A0F4C">
            <w:pPr>
              <w:widowControl/>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bidi="ar"/>
              </w:rPr>
              <w:t>货物名称</w:t>
            </w:r>
          </w:p>
        </w:tc>
        <w:tc>
          <w:tcPr>
            <w:tcW w:w="5492" w:type="dxa"/>
            <w:shd w:val="clear" w:color="auto" w:fill="auto"/>
            <w:vAlign w:val="center"/>
          </w:tcPr>
          <w:p w14:paraId="3D7140A8">
            <w:pPr>
              <w:widowControl/>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bidi="ar"/>
              </w:rPr>
              <w:t>技术参数要求</w:t>
            </w:r>
          </w:p>
        </w:tc>
        <w:tc>
          <w:tcPr>
            <w:tcW w:w="696" w:type="dxa"/>
            <w:shd w:val="clear" w:color="auto" w:fill="auto"/>
            <w:vAlign w:val="center"/>
          </w:tcPr>
          <w:p w14:paraId="7E7CD0E7">
            <w:pPr>
              <w:widowControl/>
              <w:jc w:val="center"/>
              <w:textAlignment w:val="center"/>
              <w:rPr>
                <w:rFonts w:hint="eastAsia" w:asciiTheme="minorEastAsia" w:hAnsiTheme="minorEastAsia" w:eastAsiaTheme="minorEastAsia" w:cstheme="minorEastAsia"/>
                <w:b/>
                <w:bCs/>
                <w:color w:val="auto"/>
                <w:kern w:val="0"/>
                <w:sz w:val="21"/>
                <w:szCs w:val="21"/>
                <w:highlight w:val="none"/>
                <w:lang w:val="en-US" w:eastAsia="zh-CN" w:bidi="ar"/>
              </w:rPr>
            </w:pPr>
            <w:r>
              <w:rPr>
                <w:rFonts w:hint="eastAsia" w:asciiTheme="minorEastAsia" w:hAnsiTheme="minorEastAsia" w:eastAsiaTheme="minorEastAsia" w:cstheme="minorEastAsia"/>
                <w:b/>
                <w:bCs/>
                <w:color w:val="auto"/>
                <w:kern w:val="0"/>
                <w:sz w:val="21"/>
                <w:szCs w:val="21"/>
                <w:highlight w:val="none"/>
                <w:lang w:val="en-US" w:eastAsia="zh-CN" w:bidi="ar"/>
              </w:rPr>
              <w:t>数量</w:t>
            </w:r>
          </w:p>
        </w:tc>
        <w:tc>
          <w:tcPr>
            <w:tcW w:w="717" w:type="dxa"/>
            <w:shd w:val="clear" w:color="auto" w:fill="auto"/>
            <w:vAlign w:val="center"/>
          </w:tcPr>
          <w:p w14:paraId="73A208D5">
            <w:pPr>
              <w:widowControl/>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bidi="ar"/>
              </w:rPr>
              <w:t>单位</w:t>
            </w:r>
          </w:p>
        </w:tc>
      </w:tr>
      <w:tr w14:paraId="39A5C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vAlign w:val="center"/>
          </w:tcPr>
          <w:p w14:paraId="1A795B78">
            <w:pPr>
              <w:widowControl/>
              <w:jc w:val="center"/>
              <w:textAlignment w:val="top"/>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1190" w:type="dxa"/>
            <w:shd w:val="clear" w:color="auto" w:fill="auto"/>
            <w:vAlign w:val="center"/>
          </w:tcPr>
          <w:p w14:paraId="7FDA91D2">
            <w:pPr>
              <w:widowControl/>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风衣</w:t>
            </w:r>
          </w:p>
        </w:tc>
        <w:tc>
          <w:tcPr>
            <w:tcW w:w="5492" w:type="dxa"/>
            <w:shd w:val="clear" w:color="auto" w:fill="auto"/>
            <w:vAlign w:val="center"/>
          </w:tcPr>
          <w:p w14:paraId="43E5BB6B">
            <w:pPr>
              <w:widowControl/>
              <w:numPr>
                <w:ilvl w:val="0"/>
                <w:numId w:val="0"/>
              </w:numPr>
              <w:spacing w:line="276" w:lineRule="auto"/>
              <w:ind w:leftChars="0"/>
              <w:textAlignment w:val="top"/>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1、面料成分：锦纶85（±5)%，氨纶15（±5)%，内里复合50D黑色飘沙，中间高造膜。</w:t>
            </w:r>
          </w:p>
          <w:p w14:paraId="5D803D20">
            <w:pPr>
              <w:pStyle w:val="2"/>
              <w:ind w:left="0" w:leftChars="0" w:firstLine="0" w:firstLineChar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2、需符合执行标准：</w:t>
            </w:r>
            <w:r>
              <w:rPr>
                <w:rFonts w:hint="eastAsia" w:asciiTheme="minorEastAsia" w:hAnsiTheme="minorEastAsia" w:eastAsiaTheme="minorEastAsia" w:cstheme="minorEastAsia"/>
                <w:b w:val="0"/>
                <w:bCs w:val="0"/>
                <w:color w:val="auto"/>
                <w:kern w:val="2"/>
                <w:sz w:val="21"/>
                <w:szCs w:val="21"/>
                <w:highlight w:val="none"/>
                <w:lang w:val="en-US" w:eastAsia="zh-CN" w:bidi="ar-SA"/>
              </w:rPr>
              <w:t>GB/T 22853-2019一等品要</w:t>
            </w:r>
            <w:r>
              <w:rPr>
                <w:rFonts w:hint="eastAsia" w:asciiTheme="minorEastAsia" w:hAnsiTheme="minorEastAsia" w:eastAsiaTheme="minorEastAsia" w:cstheme="minorEastAsia"/>
                <w:color w:val="auto"/>
                <w:sz w:val="21"/>
                <w:szCs w:val="21"/>
                <w:highlight w:val="none"/>
                <w:lang w:val="en-US" w:eastAsia="zh-CN"/>
              </w:rPr>
              <w:t>求</w:t>
            </w:r>
          </w:p>
          <w:p w14:paraId="46733493">
            <w:pPr>
              <w:widowControl/>
              <w:numPr>
                <w:ilvl w:val="0"/>
                <w:numId w:val="0"/>
              </w:numPr>
              <w:spacing w:line="276" w:lineRule="auto"/>
              <w:ind w:leftChars="0"/>
              <w:textAlignment w:val="top"/>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3、技术要求：</w:t>
            </w:r>
          </w:p>
          <w:p w14:paraId="4FC5BD8F">
            <w:pPr>
              <w:widowControl/>
              <w:numPr>
                <w:ilvl w:val="0"/>
                <w:numId w:val="0"/>
              </w:numPr>
              <w:spacing w:line="276" w:lineRule="auto"/>
              <w:ind w:leftChars="0"/>
              <w:textAlignment w:val="top"/>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(1)甲醛含量/(mg/kg)≤75；</w:t>
            </w:r>
          </w:p>
          <w:p w14:paraId="0F924804">
            <w:pPr>
              <w:widowControl/>
              <w:numPr>
                <w:ilvl w:val="0"/>
                <w:numId w:val="0"/>
              </w:numPr>
              <w:spacing w:line="276" w:lineRule="auto"/>
              <w:ind w:leftChars="0"/>
              <w:textAlignment w:val="top"/>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(2)pH值：符合4.0～8.5；</w:t>
            </w:r>
          </w:p>
          <w:p w14:paraId="7277E621">
            <w:pPr>
              <w:widowControl/>
              <w:numPr>
                <w:ilvl w:val="0"/>
                <w:numId w:val="0"/>
              </w:numPr>
              <w:spacing w:line="276" w:lineRule="auto"/>
              <w:ind w:leftChars="0"/>
              <w:textAlignment w:val="top"/>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(3)耐水(变色、沾色)≥3,耐酸汗渍(变色、沾色)≥3,耐碱汗渍(变色、沾色)≥3,耐干摩擦≥3；</w:t>
            </w:r>
          </w:p>
          <w:p w14:paraId="7998A494">
            <w:pPr>
              <w:widowControl/>
              <w:numPr>
                <w:ilvl w:val="0"/>
                <w:numId w:val="0"/>
              </w:numPr>
              <w:spacing w:line="276" w:lineRule="auto"/>
              <w:ind w:leftChars="0"/>
              <w:textAlignment w:val="top"/>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(4)异味：无；</w:t>
            </w:r>
          </w:p>
          <w:p w14:paraId="67555C2F">
            <w:pPr>
              <w:widowControl/>
              <w:numPr>
                <w:ilvl w:val="0"/>
                <w:numId w:val="0"/>
              </w:numPr>
              <w:spacing w:line="276" w:lineRule="auto"/>
              <w:ind w:leftChars="0"/>
              <w:textAlignment w:val="top"/>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(5)可分解致癌芳香胺染料(mg/kg)：禁用；</w:t>
            </w:r>
          </w:p>
          <w:p w14:paraId="4D4E3D34">
            <w:pPr>
              <w:widowControl/>
              <w:numPr>
                <w:ilvl w:val="0"/>
                <w:numId w:val="0"/>
              </w:numPr>
              <w:spacing w:line="276" w:lineRule="auto"/>
              <w:ind w:leftChars="0"/>
              <w:textAlignment w:val="top"/>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(6)其他需符合GB 18401-2010标准B类指标基本安全技术要求。</w:t>
            </w:r>
          </w:p>
          <w:p w14:paraId="3000C61B">
            <w:pPr>
              <w:widowControl/>
              <w:numPr>
                <w:ilvl w:val="0"/>
                <w:numId w:val="0"/>
              </w:numPr>
              <w:spacing w:line="276" w:lineRule="auto"/>
              <w:ind w:leftChars="0"/>
              <w:textAlignment w:val="top"/>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4、须提供具有CMA标识的检测报告</w:t>
            </w:r>
          </w:p>
        </w:tc>
        <w:tc>
          <w:tcPr>
            <w:tcW w:w="696" w:type="dxa"/>
            <w:shd w:val="clear" w:color="auto" w:fill="auto"/>
            <w:vAlign w:val="center"/>
          </w:tcPr>
          <w:p w14:paraId="75AE3163">
            <w:pPr>
              <w:widowControl/>
              <w:jc w:val="center"/>
              <w:textAlignment w:val="top"/>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w:t>
            </w:r>
          </w:p>
        </w:tc>
        <w:tc>
          <w:tcPr>
            <w:tcW w:w="717" w:type="dxa"/>
            <w:shd w:val="clear" w:color="auto" w:fill="auto"/>
            <w:vAlign w:val="center"/>
          </w:tcPr>
          <w:p w14:paraId="16686347">
            <w:pPr>
              <w:widowControl/>
              <w:jc w:val="center"/>
              <w:textAlignment w:val="top"/>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件</w:t>
            </w:r>
          </w:p>
        </w:tc>
      </w:tr>
      <w:tr w14:paraId="119F6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vAlign w:val="center"/>
          </w:tcPr>
          <w:p w14:paraId="6415B321">
            <w:pPr>
              <w:widowControl/>
              <w:jc w:val="center"/>
              <w:textAlignment w:val="top"/>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p>
        </w:tc>
        <w:tc>
          <w:tcPr>
            <w:tcW w:w="1190" w:type="dxa"/>
            <w:shd w:val="clear" w:color="auto" w:fill="auto"/>
            <w:vAlign w:val="center"/>
          </w:tcPr>
          <w:p w14:paraId="60598356">
            <w:pPr>
              <w:widowControl/>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防晒衣</w:t>
            </w:r>
          </w:p>
        </w:tc>
        <w:tc>
          <w:tcPr>
            <w:tcW w:w="5492" w:type="dxa"/>
            <w:shd w:val="clear" w:color="auto" w:fill="auto"/>
            <w:vAlign w:val="center"/>
          </w:tcPr>
          <w:p w14:paraId="3276A637">
            <w:pPr>
              <w:widowControl/>
              <w:numPr>
                <w:ilvl w:val="0"/>
                <w:numId w:val="0"/>
              </w:numPr>
              <w:spacing w:line="276" w:lineRule="auto"/>
              <w:ind w:left="0" w:leftChars="0" w:firstLine="0" w:firstLineChars="0"/>
              <w:textAlignment w:val="top"/>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1、成分：锦纶86（±5)%，氨纶14（±5)%。</w:t>
            </w:r>
          </w:p>
          <w:p w14:paraId="6B91582C">
            <w:pPr>
              <w:widowControl/>
              <w:numPr>
                <w:ilvl w:val="0"/>
                <w:numId w:val="0"/>
              </w:numPr>
              <w:spacing w:line="276" w:lineRule="auto"/>
              <w:ind w:left="0" w:leftChars="0" w:firstLine="0" w:firstLineChars="0"/>
              <w:textAlignment w:val="top"/>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2、产品功能功能：吸湿速干。</w:t>
            </w:r>
          </w:p>
          <w:p w14:paraId="42E099F9">
            <w:pPr>
              <w:widowControl/>
              <w:numPr>
                <w:ilvl w:val="0"/>
                <w:numId w:val="0"/>
              </w:numPr>
              <w:spacing w:line="276" w:lineRule="auto"/>
              <w:ind w:left="0" w:leftChars="0" w:firstLine="0" w:firstLineChars="0"/>
              <w:textAlignment w:val="top"/>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3、技术要求：</w:t>
            </w:r>
          </w:p>
          <w:p w14:paraId="6D1CBEB4">
            <w:pPr>
              <w:widowControl/>
              <w:numPr>
                <w:ilvl w:val="0"/>
                <w:numId w:val="0"/>
              </w:numPr>
              <w:spacing w:line="276" w:lineRule="auto"/>
              <w:ind w:left="0" w:leftChars="0" w:firstLine="0" w:firstLineChars="0"/>
              <w:textAlignment w:val="top"/>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（1）吸湿速干性：浸湿时间≥3级，吸水速率≥3级，渗透面最大浸湿半径≥3级，渗透面液态水扩散速度≥3级；</w:t>
            </w:r>
          </w:p>
          <w:p w14:paraId="427FB7B1">
            <w:pPr>
              <w:widowControl/>
              <w:numPr>
                <w:ilvl w:val="0"/>
                <w:numId w:val="0"/>
              </w:numPr>
              <w:spacing w:line="276" w:lineRule="auto"/>
              <w:ind w:left="0" w:leftChars="0" w:firstLine="0" w:firstLineChars="0"/>
              <w:textAlignment w:val="top"/>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（2）吸湿速干性：耐干摩擦色牢度≥4，耐水色牢度变色≥4，沾色≥4、耐汗渍色牢度变色≥4，沾色≥4；</w:t>
            </w:r>
          </w:p>
          <w:p w14:paraId="1B3C6973">
            <w:pPr>
              <w:widowControl/>
              <w:numPr>
                <w:ilvl w:val="0"/>
                <w:numId w:val="0"/>
              </w:numPr>
              <w:spacing w:line="276" w:lineRule="auto"/>
              <w:ind w:left="0" w:leftChars="0" w:firstLine="0" w:firstLineChars="0"/>
              <w:textAlignment w:val="top"/>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（3）异味：无；</w:t>
            </w:r>
          </w:p>
          <w:p w14:paraId="26DF8B06">
            <w:pPr>
              <w:widowControl/>
              <w:numPr>
                <w:ilvl w:val="0"/>
                <w:numId w:val="0"/>
              </w:numPr>
              <w:spacing w:line="276" w:lineRule="auto"/>
              <w:ind w:left="0" w:leftChars="0" w:firstLine="0" w:firstLineChars="0"/>
              <w:textAlignment w:val="top"/>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（4）可分解致癌芳香胺染料：禁用；</w:t>
            </w:r>
          </w:p>
          <w:p w14:paraId="06B9BF3F">
            <w:pPr>
              <w:widowControl/>
              <w:numPr>
                <w:ilvl w:val="0"/>
                <w:numId w:val="0"/>
              </w:numPr>
              <w:spacing w:line="276" w:lineRule="auto"/>
              <w:ind w:left="0" w:leftChars="0" w:firstLine="0" w:firstLineChars="0"/>
              <w:textAlignment w:val="top"/>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（5）pH值：符合4.0～8.5；</w:t>
            </w:r>
          </w:p>
          <w:p w14:paraId="74F84DF3">
            <w:pPr>
              <w:widowControl/>
              <w:numPr>
                <w:ilvl w:val="0"/>
                <w:numId w:val="0"/>
              </w:numPr>
              <w:spacing w:line="276" w:lineRule="auto"/>
              <w:ind w:left="0" w:leftChars="0" w:firstLine="0" w:firstLineChars="0"/>
              <w:textAlignment w:val="top"/>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（6）UPF（紫外线防护系数）≥50+，且UVA透过率小于5%；</w:t>
            </w:r>
          </w:p>
          <w:p w14:paraId="29704501">
            <w:pPr>
              <w:widowControl/>
              <w:numPr>
                <w:ilvl w:val="0"/>
                <w:numId w:val="0"/>
              </w:numPr>
              <w:spacing w:line="276" w:lineRule="auto"/>
              <w:ind w:left="0" w:leftChars="0" w:firstLine="0" w:firstLineChars="0"/>
              <w:textAlignment w:val="top"/>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b w:val="0"/>
                <w:bCs w:val="0"/>
                <w:color w:val="auto"/>
                <w:sz w:val="21"/>
                <w:szCs w:val="21"/>
                <w:highlight w:val="none"/>
                <w:lang w:val="en-US" w:eastAsia="zh-CN"/>
              </w:rPr>
              <w:t>其他需符合GB 18401-2010标准B类指标及GB/T 18830-2009基本安全技术要求。</w:t>
            </w:r>
          </w:p>
        </w:tc>
        <w:tc>
          <w:tcPr>
            <w:tcW w:w="696" w:type="dxa"/>
            <w:shd w:val="clear" w:color="auto" w:fill="auto"/>
            <w:vAlign w:val="center"/>
          </w:tcPr>
          <w:p w14:paraId="026D0711">
            <w:pPr>
              <w:widowControl/>
              <w:jc w:val="center"/>
              <w:textAlignment w:val="top"/>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bidi="ar-SA"/>
              </w:rPr>
              <w:t>1</w:t>
            </w:r>
          </w:p>
        </w:tc>
        <w:tc>
          <w:tcPr>
            <w:tcW w:w="717" w:type="dxa"/>
            <w:shd w:val="clear" w:color="auto" w:fill="auto"/>
            <w:vAlign w:val="center"/>
          </w:tcPr>
          <w:p w14:paraId="72A239E8">
            <w:pPr>
              <w:widowControl/>
              <w:jc w:val="center"/>
              <w:textAlignment w:val="top"/>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bidi="ar-SA"/>
              </w:rPr>
              <w:t>件</w:t>
            </w:r>
          </w:p>
        </w:tc>
      </w:tr>
      <w:tr w14:paraId="038A4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vAlign w:val="center"/>
          </w:tcPr>
          <w:p w14:paraId="4D93E2A7">
            <w:pPr>
              <w:widowControl/>
              <w:jc w:val="center"/>
              <w:textAlignment w:val="top"/>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3</w:t>
            </w:r>
          </w:p>
        </w:tc>
        <w:tc>
          <w:tcPr>
            <w:tcW w:w="1190" w:type="dxa"/>
            <w:shd w:val="clear" w:color="auto" w:fill="auto"/>
            <w:vAlign w:val="center"/>
          </w:tcPr>
          <w:p w14:paraId="173151BC">
            <w:pPr>
              <w:widowControl/>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领奖服</w:t>
            </w:r>
          </w:p>
        </w:tc>
        <w:tc>
          <w:tcPr>
            <w:tcW w:w="5492" w:type="dxa"/>
            <w:shd w:val="clear" w:color="auto" w:fill="auto"/>
            <w:vAlign w:val="center"/>
          </w:tcPr>
          <w:p w14:paraId="0F728FA1">
            <w:pPr>
              <w:widowControl/>
              <w:numPr>
                <w:ilvl w:val="0"/>
                <w:numId w:val="3"/>
              </w:numPr>
              <w:spacing w:line="276" w:lineRule="auto"/>
              <w:textAlignment w:val="top"/>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面料成分：锦纶75（±5)%，氨纶25（±5)%</w:t>
            </w:r>
            <w:r>
              <w:rPr>
                <w:rFonts w:hint="eastAsia" w:asciiTheme="minorEastAsia" w:hAnsiTheme="minorEastAsia" w:eastAsiaTheme="minorEastAsia" w:cstheme="minorEastAsia"/>
                <w:b w:val="0"/>
                <w:bCs w:val="0"/>
                <w:color w:val="auto"/>
                <w:sz w:val="21"/>
                <w:szCs w:val="21"/>
                <w:highlight w:val="none"/>
                <w:lang w:eastAsia="zh-CN"/>
              </w:rPr>
              <w:t>。</w:t>
            </w:r>
          </w:p>
          <w:p w14:paraId="2A7D883A">
            <w:pPr>
              <w:widowControl/>
              <w:numPr>
                <w:ilvl w:val="0"/>
                <w:numId w:val="3"/>
              </w:numPr>
              <w:spacing w:line="276" w:lineRule="auto"/>
              <w:textAlignment w:val="top"/>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需符合执行标准：GB/T 22853-2019一等品要求。</w:t>
            </w:r>
          </w:p>
          <w:p w14:paraId="09E5DA0A">
            <w:pPr>
              <w:widowControl/>
              <w:spacing w:line="276" w:lineRule="auto"/>
              <w:textAlignment w:val="top"/>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3、技术要求：</w:t>
            </w:r>
          </w:p>
          <w:p w14:paraId="1BEE91BF">
            <w:pPr>
              <w:widowControl/>
              <w:spacing w:line="276" w:lineRule="auto"/>
              <w:textAlignment w:val="top"/>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（1）耐皂洗色牢度／级 变色≥4沾色≥3-4，耐摩擦色牢度／级干摩≥3-4湿摩（成人）≥3（深色2-3）湿摩（儿童）≥3，耐汗渍色牢度／级变色≥3-4 沾色≥3-４，耐水色牢度／级变色≥3-4 沾色≥3-4，耐光色牢度／级深色≥4 浅色≥3，耐光、汗复合色牢度（碱性）／级≥3-4，拼接互染色牢度／级沾色≥4。</w:t>
            </w:r>
          </w:p>
          <w:p w14:paraId="68ACAC00">
            <w:pPr>
              <w:widowControl/>
              <w:spacing w:line="276" w:lineRule="auto"/>
              <w:textAlignment w:val="top"/>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（2）异味：无；</w:t>
            </w:r>
          </w:p>
          <w:p w14:paraId="23000A41">
            <w:pPr>
              <w:widowControl/>
              <w:spacing w:line="276" w:lineRule="auto"/>
              <w:textAlignment w:val="top"/>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（3）可分解致癌芳香胺染料：禁用；</w:t>
            </w:r>
          </w:p>
          <w:p w14:paraId="208CB238">
            <w:pPr>
              <w:widowControl/>
              <w:spacing w:line="276" w:lineRule="auto"/>
              <w:textAlignment w:val="top"/>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（4）甲醛含量≤20mg/kg；</w:t>
            </w:r>
          </w:p>
          <w:p w14:paraId="4A18923F">
            <w:pPr>
              <w:widowControl/>
              <w:spacing w:line="276" w:lineRule="auto"/>
              <w:textAlignment w:val="top"/>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（5）pH值：符合4.0～8.5；</w:t>
            </w:r>
          </w:p>
          <w:p w14:paraId="5E711BAD">
            <w:pPr>
              <w:widowControl/>
              <w:spacing w:line="276" w:lineRule="auto"/>
              <w:textAlignment w:val="top"/>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（6）需符合GB 18401-2010标准B类指标基本安全技术要求；</w:t>
            </w:r>
          </w:p>
          <w:p w14:paraId="424A6C48">
            <w:pPr>
              <w:widowControl/>
              <w:spacing w:line="276" w:lineRule="auto"/>
              <w:textAlignment w:val="top"/>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4、须提供具有CMA标识的检测报告</w:t>
            </w:r>
          </w:p>
        </w:tc>
        <w:tc>
          <w:tcPr>
            <w:tcW w:w="696" w:type="dxa"/>
            <w:shd w:val="clear" w:color="auto" w:fill="auto"/>
            <w:vAlign w:val="center"/>
          </w:tcPr>
          <w:p w14:paraId="25169F89">
            <w:pPr>
              <w:widowControl/>
              <w:jc w:val="center"/>
              <w:textAlignment w:val="top"/>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w:t>
            </w:r>
          </w:p>
        </w:tc>
        <w:tc>
          <w:tcPr>
            <w:tcW w:w="717" w:type="dxa"/>
            <w:shd w:val="clear" w:color="auto" w:fill="auto"/>
            <w:vAlign w:val="center"/>
          </w:tcPr>
          <w:p w14:paraId="1B29D730">
            <w:pPr>
              <w:widowControl/>
              <w:jc w:val="center"/>
              <w:textAlignment w:val="top"/>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套</w:t>
            </w:r>
          </w:p>
        </w:tc>
      </w:tr>
      <w:tr w14:paraId="7C34F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vAlign w:val="center"/>
          </w:tcPr>
          <w:p w14:paraId="1C3DC575">
            <w:pPr>
              <w:widowControl/>
              <w:jc w:val="center"/>
              <w:textAlignment w:val="top"/>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4</w:t>
            </w:r>
          </w:p>
        </w:tc>
        <w:tc>
          <w:tcPr>
            <w:tcW w:w="1190" w:type="dxa"/>
            <w:shd w:val="clear" w:color="auto" w:fill="auto"/>
            <w:vAlign w:val="center"/>
          </w:tcPr>
          <w:p w14:paraId="2F1D9DE5">
            <w:pPr>
              <w:widowControl/>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翻领短袖T恤</w:t>
            </w:r>
          </w:p>
        </w:tc>
        <w:tc>
          <w:tcPr>
            <w:tcW w:w="5492" w:type="dxa"/>
            <w:shd w:val="clear" w:color="auto" w:fill="auto"/>
            <w:vAlign w:val="center"/>
          </w:tcPr>
          <w:p w14:paraId="5100198A">
            <w:pPr>
              <w:widowControl/>
              <w:numPr>
                <w:ilvl w:val="0"/>
                <w:numId w:val="0"/>
              </w:numPr>
              <w:spacing w:line="276" w:lineRule="auto"/>
              <w:ind w:left="0" w:leftChars="0" w:firstLine="0" w:firstLineChars="0"/>
              <w:textAlignment w:val="top"/>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1、面料成分：锦纶80（±5)%，氨纶20（±5)%</w:t>
            </w:r>
            <w:r>
              <w:rPr>
                <w:rFonts w:hint="eastAsia" w:asciiTheme="minorEastAsia" w:hAnsiTheme="minorEastAsia" w:eastAsiaTheme="minorEastAsia" w:cstheme="minorEastAsia"/>
                <w:color w:val="auto"/>
                <w:sz w:val="21"/>
                <w:szCs w:val="21"/>
                <w:highlight w:val="none"/>
                <w:lang w:eastAsia="zh-CN"/>
              </w:rPr>
              <w:t>。</w:t>
            </w:r>
          </w:p>
          <w:p w14:paraId="39987282">
            <w:pPr>
              <w:widowControl/>
              <w:numPr>
                <w:ilvl w:val="0"/>
                <w:numId w:val="0"/>
              </w:numPr>
              <w:spacing w:line="276" w:lineRule="auto"/>
              <w:textAlignment w:val="top"/>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2、需符合执行标准：GB/T 22853-2019一等品要求。</w:t>
            </w:r>
          </w:p>
          <w:p w14:paraId="46A86D10">
            <w:pPr>
              <w:widowControl/>
              <w:numPr>
                <w:ilvl w:val="0"/>
                <w:numId w:val="0"/>
              </w:numPr>
              <w:spacing w:line="276" w:lineRule="auto"/>
              <w:ind w:left="0" w:leftChars="0" w:firstLine="0" w:firstLineChars="0"/>
              <w:textAlignment w:val="top"/>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、技术要求：</w:t>
            </w:r>
          </w:p>
          <w:p w14:paraId="4FD3B867">
            <w:pPr>
              <w:widowControl/>
              <w:numPr>
                <w:ilvl w:val="0"/>
                <w:numId w:val="0"/>
              </w:numPr>
              <w:spacing w:line="276" w:lineRule="auto"/>
              <w:ind w:left="0" w:leftChars="0" w:firstLine="0" w:firstLineChars="0"/>
              <w:textAlignment w:val="top"/>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（1）耐水色牢度变色≥4，沾色≥3-4、耐汗渍色牢度变色≥4，沾色≥3-4、耐干摩擦色牢度≥3-4</w:t>
            </w:r>
            <w:r>
              <w:rPr>
                <w:rFonts w:hint="eastAsia" w:asciiTheme="minorEastAsia" w:hAnsiTheme="minorEastAsia" w:eastAsiaTheme="minorEastAsia" w:cstheme="minorEastAsia"/>
                <w:color w:val="auto"/>
                <w:sz w:val="21"/>
                <w:szCs w:val="21"/>
                <w:highlight w:val="none"/>
                <w:lang w:eastAsia="zh-CN"/>
              </w:rPr>
              <w:t>；</w:t>
            </w:r>
          </w:p>
          <w:p w14:paraId="23F3491C">
            <w:pPr>
              <w:widowControl/>
              <w:numPr>
                <w:ilvl w:val="0"/>
                <w:numId w:val="0"/>
              </w:numPr>
              <w:spacing w:line="276" w:lineRule="auto"/>
              <w:ind w:left="0" w:leftChars="0" w:firstLine="0" w:firstLineChars="0"/>
              <w:textAlignment w:val="top"/>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（2）异味：无</w:t>
            </w:r>
            <w:r>
              <w:rPr>
                <w:rFonts w:hint="eastAsia" w:asciiTheme="minorEastAsia" w:hAnsiTheme="minorEastAsia" w:eastAsiaTheme="minorEastAsia" w:cstheme="minorEastAsia"/>
                <w:color w:val="auto"/>
                <w:sz w:val="21"/>
                <w:szCs w:val="21"/>
                <w:highlight w:val="none"/>
                <w:lang w:eastAsia="zh-CN"/>
              </w:rPr>
              <w:t>；</w:t>
            </w:r>
          </w:p>
          <w:p w14:paraId="45834AC8">
            <w:pPr>
              <w:widowControl/>
              <w:numPr>
                <w:ilvl w:val="0"/>
                <w:numId w:val="0"/>
              </w:numPr>
              <w:spacing w:line="276" w:lineRule="auto"/>
              <w:ind w:left="0" w:leftChars="0" w:firstLine="0" w:firstLineChars="0"/>
              <w:textAlignment w:val="top"/>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（3）可分解致癌芳香胺染料：禁用</w:t>
            </w:r>
            <w:r>
              <w:rPr>
                <w:rFonts w:hint="eastAsia" w:asciiTheme="minorEastAsia" w:hAnsiTheme="minorEastAsia" w:eastAsiaTheme="minorEastAsia" w:cstheme="minorEastAsia"/>
                <w:color w:val="auto"/>
                <w:sz w:val="21"/>
                <w:szCs w:val="21"/>
                <w:highlight w:val="none"/>
                <w:lang w:eastAsia="zh-CN"/>
              </w:rPr>
              <w:t>；</w:t>
            </w:r>
          </w:p>
          <w:p w14:paraId="29AF1E98">
            <w:pPr>
              <w:widowControl/>
              <w:numPr>
                <w:ilvl w:val="0"/>
                <w:numId w:val="0"/>
              </w:numPr>
              <w:spacing w:line="276" w:lineRule="auto"/>
              <w:ind w:left="0" w:leftChars="0" w:firstLine="0" w:firstLineChars="0"/>
              <w:textAlignment w:val="top"/>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（4）甲醛含量≤20mg/kg</w:t>
            </w:r>
            <w:r>
              <w:rPr>
                <w:rFonts w:hint="eastAsia" w:asciiTheme="minorEastAsia" w:hAnsiTheme="minorEastAsia" w:eastAsiaTheme="minorEastAsia" w:cstheme="minorEastAsia"/>
                <w:color w:val="auto"/>
                <w:sz w:val="21"/>
                <w:szCs w:val="21"/>
                <w:highlight w:val="none"/>
                <w:lang w:eastAsia="zh-CN"/>
              </w:rPr>
              <w:t>；</w:t>
            </w:r>
          </w:p>
          <w:p w14:paraId="454D646F">
            <w:pPr>
              <w:widowControl/>
              <w:numPr>
                <w:ilvl w:val="0"/>
                <w:numId w:val="0"/>
              </w:numPr>
              <w:spacing w:line="276" w:lineRule="auto"/>
              <w:ind w:left="0" w:leftChars="0" w:firstLine="0" w:firstLineChars="0"/>
              <w:textAlignment w:val="top"/>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（5）pH值：符合4.0～8.5</w:t>
            </w:r>
            <w:r>
              <w:rPr>
                <w:rFonts w:hint="eastAsia" w:asciiTheme="minorEastAsia" w:hAnsiTheme="minorEastAsia" w:eastAsiaTheme="minorEastAsia" w:cstheme="minorEastAsia"/>
                <w:color w:val="auto"/>
                <w:sz w:val="21"/>
                <w:szCs w:val="21"/>
                <w:highlight w:val="none"/>
                <w:lang w:eastAsia="zh-CN"/>
              </w:rPr>
              <w:t>；</w:t>
            </w:r>
          </w:p>
          <w:p w14:paraId="51E1CCEF">
            <w:pPr>
              <w:widowControl/>
              <w:numPr>
                <w:ilvl w:val="0"/>
                <w:numId w:val="0"/>
              </w:numPr>
              <w:spacing w:line="276" w:lineRule="auto"/>
              <w:ind w:left="0" w:leftChars="0" w:firstLine="0" w:firstLineChars="0"/>
              <w:textAlignment w:val="top"/>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（6）需符合GB 18401-2010标准B类指标基本安全技术要求</w:t>
            </w:r>
            <w:r>
              <w:rPr>
                <w:rFonts w:hint="eastAsia" w:asciiTheme="minorEastAsia" w:hAnsiTheme="minorEastAsia" w:eastAsiaTheme="minorEastAsia" w:cstheme="minorEastAsia"/>
                <w:color w:val="auto"/>
                <w:sz w:val="21"/>
                <w:szCs w:val="21"/>
                <w:highlight w:val="none"/>
                <w:lang w:eastAsia="zh-CN"/>
              </w:rPr>
              <w:t>。</w:t>
            </w:r>
          </w:p>
          <w:p w14:paraId="33271C04">
            <w:pPr>
              <w:widowControl/>
              <w:numPr>
                <w:ilvl w:val="0"/>
                <w:numId w:val="0"/>
              </w:numPr>
              <w:spacing w:line="276" w:lineRule="auto"/>
              <w:ind w:left="0" w:leftChars="0" w:firstLine="0" w:firstLineChars="0"/>
              <w:textAlignment w:val="top"/>
              <w:rPr>
                <w:rFonts w:hint="eastAsia" w:asciiTheme="minorEastAsia" w:hAnsiTheme="minorEastAsia" w:eastAsiaTheme="minorEastAsia" w:cstheme="minorEastAsia"/>
                <w:color w:val="auto"/>
                <w:sz w:val="21"/>
                <w:szCs w:val="21"/>
                <w:highlight w:val="none"/>
                <w:lang w:eastAsia="zh-CN"/>
              </w:rPr>
            </w:pPr>
            <w:r>
              <w:rPr>
                <w:rFonts w:hint="eastAsia" w:ascii="宋体" w:hAnsi="宋体" w:eastAsia="宋体" w:cs="宋体"/>
                <w:b/>
                <w:bCs/>
                <w:color w:val="auto"/>
                <w:sz w:val="21"/>
                <w:szCs w:val="21"/>
                <w:highlight w:val="none"/>
                <w:lang w:val="en-US" w:eastAsia="zh-CN"/>
              </w:rPr>
              <w:t>4、须提供具有CMA标识的检测报告</w:t>
            </w:r>
          </w:p>
        </w:tc>
        <w:tc>
          <w:tcPr>
            <w:tcW w:w="696" w:type="dxa"/>
            <w:shd w:val="clear" w:color="auto" w:fill="auto"/>
            <w:vAlign w:val="center"/>
          </w:tcPr>
          <w:p w14:paraId="5FCFD30C">
            <w:pPr>
              <w:widowControl/>
              <w:jc w:val="center"/>
              <w:textAlignment w:val="top"/>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w:t>
            </w:r>
          </w:p>
        </w:tc>
        <w:tc>
          <w:tcPr>
            <w:tcW w:w="717" w:type="dxa"/>
            <w:shd w:val="clear" w:color="auto" w:fill="auto"/>
            <w:vAlign w:val="center"/>
          </w:tcPr>
          <w:p w14:paraId="15725E34">
            <w:pPr>
              <w:widowControl/>
              <w:jc w:val="center"/>
              <w:textAlignment w:val="top"/>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件</w:t>
            </w:r>
          </w:p>
        </w:tc>
      </w:tr>
      <w:tr w14:paraId="1365A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vAlign w:val="center"/>
          </w:tcPr>
          <w:p w14:paraId="6C45A26D">
            <w:pPr>
              <w:widowControl/>
              <w:jc w:val="center"/>
              <w:textAlignment w:val="top"/>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5</w:t>
            </w:r>
          </w:p>
        </w:tc>
        <w:tc>
          <w:tcPr>
            <w:tcW w:w="1190" w:type="dxa"/>
            <w:shd w:val="clear" w:color="auto" w:fill="auto"/>
            <w:vAlign w:val="center"/>
          </w:tcPr>
          <w:p w14:paraId="5094E4BC">
            <w:pPr>
              <w:widowControl/>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圆领短袖T恤</w:t>
            </w:r>
          </w:p>
        </w:tc>
        <w:tc>
          <w:tcPr>
            <w:tcW w:w="5492" w:type="dxa"/>
            <w:shd w:val="clear" w:color="auto" w:fill="auto"/>
            <w:vAlign w:val="center"/>
          </w:tcPr>
          <w:p w14:paraId="58C94447">
            <w:pPr>
              <w:widowControl/>
              <w:numPr>
                <w:ilvl w:val="0"/>
                <w:numId w:val="0"/>
              </w:numPr>
              <w:spacing w:line="276" w:lineRule="auto"/>
              <w:ind w:left="0" w:leftChars="0" w:firstLine="0" w:firstLineChars="0"/>
              <w:textAlignment w:val="top"/>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款式1：</w:t>
            </w:r>
          </w:p>
          <w:p w14:paraId="40A9AED8">
            <w:pPr>
              <w:widowControl/>
              <w:numPr>
                <w:ilvl w:val="0"/>
                <w:numId w:val="4"/>
              </w:numPr>
              <w:spacing w:line="276" w:lineRule="auto"/>
              <w:ind w:left="0" w:leftChars="0" w:firstLine="0" w:firstLineChars="0"/>
              <w:textAlignment w:val="top"/>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面料成分：棉95（±5)%，氨纶5（±5)%</w:t>
            </w:r>
            <w:r>
              <w:rPr>
                <w:rFonts w:hint="eastAsia" w:asciiTheme="minorEastAsia" w:hAnsiTheme="minorEastAsia" w:eastAsiaTheme="minorEastAsia" w:cstheme="minorEastAsia"/>
                <w:color w:val="auto"/>
                <w:sz w:val="21"/>
                <w:szCs w:val="21"/>
                <w:highlight w:val="none"/>
                <w:lang w:eastAsia="zh-CN"/>
              </w:rPr>
              <w:t>。</w:t>
            </w:r>
          </w:p>
          <w:p w14:paraId="45B628C1">
            <w:pPr>
              <w:widowControl/>
              <w:numPr>
                <w:ilvl w:val="0"/>
                <w:numId w:val="0"/>
              </w:numPr>
              <w:spacing w:line="276" w:lineRule="auto"/>
              <w:textAlignment w:val="top"/>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2、需符合执行标准：GB/T 22853-2019一等品要求。</w:t>
            </w:r>
          </w:p>
          <w:p w14:paraId="4FF3D929">
            <w:pPr>
              <w:widowControl/>
              <w:numPr>
                <w:ilvl w:val="0"/>
                <w:numId w:val="0"/>
              </w:numPr>
              <w:spacing w:line="276" w:lineRule="auto"/>
              <w:ind w:left="0" w:leftChars="0" w:firstLine="0" w:firstLineChars="0"/>
              <w:textAlignment w:val="top"/>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、技术要求：</w:t>
            </w:r>
          </w:p>
          <w:p w14:paraId="45790E22">
            <w:pPr>
              <w:widowControl/>
              <w:numPr>
                <w:ilvl w:val="0"/>
                <w:numId w:val="0"/>
              </w:numPr>
              <w:spacing w:line="276" w:lineRule="auto"/>
              <w:ind w:left="0" w:leftChars="0" w:firstLine="0" w:firstLineChars="0"/>
              <w:textAlignment w:val="top"/>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（1）耐水色牢度变色≥4，沾色≥3-4、耐汗渍色牢度变色≥4，沾色≥3-4、耐干摩擦色牢度≥3-4</w:t>
            </w:r>
            <w:r>
              <w:rPr>
                <w:rFonts w:hint="eastAsia" w:asciiTheme="minorEastAsia" w:hAnsiTheme="minorEastAsia" w:eastAsiaTheme="minorEastAsia" w:cstheme="minorEastAsia"/>
                <w:color w:val="auto"/>
                <w:sz w:val="21"/>
                <w:szCs w:val="21"/>
                <w:highlight w:val="none"/>
                <w:lang w:eastAsia="zh-CN"/>
              </w:rPr>
              <w:t>；</w:t>
            </w:r>
          </w:p>
          <w:p w14:paraId="5FAC54B5">
            <w:pPr>
              <w:widowControl/>
              <w:numPr>
                <w:ilvl w:val="0"/>
                <w:numId w:val="0"/>
              </w:numPr>
              <w:spacing w:line="276" w:lineRule="auto"/>
              <w:ind w:left="0" w:leftChars="0" w:firstLine="0" w:firstLineChars="0"/>
              <w:textAlignment w:val="top"/>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（2）异味：无</w:t>
            </w:r>
            <w:r>
              <w:rPr>
                <w:rFonts w:hint="eastAsia" w:asciiTheme="minorEastAsia" w:hAnsiTheme="minorEastAsia" w:eastAsiaTheme="minorEastAsia" w:cstheme="minorEastAsia"/>
                <w:color w:val="auto"/>
                <w:sz w:val="21"/>
                <w:szCs w:val="21"/>
                <w:highlight w:val="none"/>
                <w:lang w:eastAsia="zh-CN"/>
              </w:rPr>
              <w:t>；</w:t>
            </w:r>
          </w:p>
          <w:p w14:paraId="62F69EC3">
            <w:pPr>
              <w:widowControl/>
              <w:numPr>
                <w:ilvl w:val="0"/>
                <w:numId w:val="0"/>
              </w:numPr>
              <w:spacing w:line="276" w:lineRule="auto"/>
              <w:ind w:left="0" w:leftChars="0" w:firstLine="0" w:firstLineChars="0"/>
              <w:textAlignment w:val="top"/>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（3）可分解致癌芳香胺染料：禁用</w:t>
            </w:r>
            <w:r>
              <w:rPr>
                <w:rFonts w:hint="eastAsia" w:asciiTheme="minorEastAsia" w:hAnsiTheme="minorEastAsia" w:eastAsiaTheme="minorEastAsia" w:cstheme="minorEastAsia"/>
                <w:color w:val="auto"/>
                <w:sz w:val="21"/>
                <w:szCs w:val="21"/>
                <w:highlight w:val="none"/>
                <w:lang w:eastAsia="zh-CN"/>
              </w:rPr>
              <w:t>；</w:t>
            </w:r>
          </w:p>
          <w:p w14:paraId="0461619C">
            <w:pPr>
              <w:widowControl/>
              <w:numPr>
                <w:ilvl w:val="0"/>
                <w:numId w:val="0"/>
              </w:numPr>
              <w:spacing w:line="276" w:lineRule="auto"/>
              <w:ind w:left="0" w:leftChars="0" w:firstLine="0" w:firstLineChars="0"/>
              <w:textAlignment w:val="top"/>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（4）甲醛含量≤20mg/kg</w:t>
            </w:r>
            <w:r>
              <w:rPr>
                <w:rFonts w:hint="eastAsia" w:asciiTheme="minorEastAsia" w:hAnsiTheme="minorEastAsia" w:eastAsiaTheme="minorEastAsia" w:cstheme="minorEastAsia"/>
                <w:color w:val="auto"/>
                <w:sz w:val="21"/>
                <w:szCs w:val="21"/>
                <w:highlight w:val="none"/>
                <w:lang w:eastAsia="zh-CN"/>
              </w:rPr>
              <w:t>；</w:t>
            </w:r>
          </w:p>
          <w:p w14:paraId="70B689C0">
            <w:pPr>
              <w:widowControl/>
              <w:numPr>
                <w:ilvl w:val="0"/>
                <w:numId w:val="0"/>
              </w:numPr>
              <w:spacing w:line="276" w:lineRule="auto"/>
              <w:ind w:left="0" w:leftChars="0" w:firstLine="0" w:firstLineChars="0"/>
              <w:textAlignment w:val="top"/>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（5）pH值：符合4.0～8.5</w:t>
            </w:r>
            <w:r>
              <w:rPr>
                <w:rFonts w:hint="eastAsia" w:asciiTheme="minorEastAsia" w:hAnsiTheme="minorEastAsia" w:eastAsiaTheme="minorEastAsia" w:cstheme="minorEastAsia"/>
                <w:color w:val="auto"/>
                <w:sz w:val="21"/>
                <w:szCs w:val="21"/>
                <w:highlight w:val="none"/>
                <w:lang w:eastAsia="zh-CN"/>
              </w:rPr>
              <w:t>；</w:t>
            </w:r>
          </w:p>
          <w:p w14:paraId="78A9FC02">
            <w:pPr>
              <w:widowControl/>
              <w:numPr>
                <w:ilvl w:val="0"/>
                <w:numId w:val="0"/>
              </w:numPr>
              <w:spacing w:line="276" w:lineRule="auto"/>
              <w:ind w:left="0" w:leftChars="0" w:firstLine="0" w:firstLineChars="0"/>
              <w:textAlignment w:val="top"/>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（6）需符合GB 18401-2010标准B类指标基本安全技术要求</w:t>
            </w:r>
            <w:r>
              <w:rPr>
                <w:rFonts w:hint="eastAsia" w:asciiTheme="minorEastAsia" w:hAnsiTheme="minorEastAsia" w:eastAsiaTheme="minorEastAsia" w:cstheme="minorEastAsia"/>
                <w:color w:val="auto"/>
                <w:sz w:val="21"/>
                <w:szCs w:val="21"/>
                <w:highlight w:val="none"/>
                <w:lang w:eastAsia="zh-CN"/>
              </w:rPr>
              <w:t>。</w:t>
            </w:r>
          </w:p>
          <w:p w14:paraId="7B243A48">
            <w:pPr>
              <w:widowControl/>
              <w:numPr>
                <w:ilvl w:val="0"/>
                <w:numId w:val="0"/>
              </w:numPr>
              <w:spacing w:line="276" w:lineRule="auto"/>
              <w:ind w:left="0" w:leftChars="0" w:firstLine="0" w:firstLineChars="0"/>
              <w:textAlignment w:val="top"/>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款式2：</w:t>
            </w:r>
          </w:p>
          <w:p w14:paraId="7D51B6AE">
            <w:pPr>
              <w:widowControl/>
              <w:numPr>
                <w:ilvl w:val="0"/>
                <w:numId w:val="5"/>
              </w:numPr>
              <w:spacing w:line="276" w:lineRule="auto"/>
              <w:ind w:left="0" w:leftChars="0" w:firstLine="0" w:firstLineChars="0"/>
              <w:textAlignment w:val="top"/>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面料成分：聚酯纤维100%</w:t>
            </w:r>
            <w:r>
              <w:rPr>
                <w:rFonts w:hint="eastAsia" w:asciiTheme="minorEastAsia" w:hAnsiTheme="minorEastAsia" w:eastAsiaTheme="minorEastAsia" w:cstheme="minorEastAsia"/>
                <w:color w:val="auto"/>
                <w:sz w:val="21"/>
                <w:szCs w:val="21"/>
                <w:highlight w:val="none"/>
                <w:lang w:eastAsia="zh-CN"/>
              </w:rPr>
              <w:t>。</w:t>
            </w:r>
          </w:p>
          <w:p w14:paraId="66A28E43">
            <w:pPr>
              <w:widowControl/>
              <w:numPr>
                <w:ilvl w:val="0"/>
                <w:numId w:val="0"/>
              </w:numPr>
              <w:spacing w:line="276" w:lineRule="auto"/>
              <w:textAlignment w:val="top"/>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2、需符合执行标准：GB/T 22853-2019一等品要求。</w:t>
            </w:r>
          </w:p>
          <w:p w14:paraId="552D325A">
            <w:pPr>
              <w:widowControl/>
              <w:numPr>
                <w:ilvl w:val="0"/>
                <w:numId w:val="0"/>
              </w:numPr>
              <w:spacing w:line="276" w:lineRule="auto"/>
              <w:ind w:left="0" w:leftChars="0" w:firstLine="0" w:firstLineChars="0"/>
              <w:textAlignment w:val="top"/>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、技术要求：</w:t>
            </w:r>
          </w:p>
          <w:p w14:paraId="474403BB">
            <w:pPr>
              <w:widowControl/>
              <w:numPr>
                <w:ilvl w:val="0"/>
                <w:numId w:val="0"/>
              </w:numPr>
              <w:spacing w:line="276" w:lineRule="auto"/>
              <w:ind w:left="0" w:leftChars="0" w:firstLine="0" w:firstLineChars="0"/>
              <w:textAlignment w:val="top"/>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（1）耐水色牢度变色≥4，沾色≥3-4、耐汗渍色牢度变色≥4，沾色≥3-4、耐干摩擦色牢度≥3-4</w:t>
            </w:r>
            <w:r>
              <w:rPr>
                <w:rFonts w:hint="eastAsia" w:asciiTheme="minorEastAsia" w:hAnsiTheme="minorEastAsia" w:eastAsiaTheme="minorEastAsia" w:cstheme="minorEastAsia"/>
                <w:color w:val="auto"/>
                <w:sz w:val="21"/>
                <w:szCs w:val="21"/>
                <w:highlight w:val="none"/>
                <w:lang w:eastAsia="zh-CN"/>
              </w:rPr>
              <w:t>；</w:t>
            </w:r>
          </w:p>
          <w:p w14:paraId="5621A992">
            <w:pPr>
              <w:widowControl/>
              <w:numPr>
                <w:ilvl w:val="0"/>
                <w:numId w:val="0"/>
              </w:numPr>
              <w:spacing w:line="276" w:lineRule="auto"/>
              <w:ind w:left="0" w:leftChars="0" w:firstLine="0" w:firstLineChars="0"/>
              <w:textAlignment w:val="top"/>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（2）异味：无</w:t>
            </w:r>
            <w:r>
              <w:rPr>
                <w:rFonts w:hint="eastAsia" w:asciiTheme="minorEastAsia" w:hAnsiTheme="minorEastAsia" w:eastAsiaTheme="minorEastAsia" w:cstheme="minorEastAsia"/>
                <w:color w:val="auto"/>
                <w:sz w:val="21"/>
                <w:szCs w:val="21"/>
                <w:highlight w:val="none"/>
                <w:lang w:eastAsia="zh-CN"/>
              </w:rPr>
              <w:t>；</w:t>
            </w:r>
          </w:p>
          <w:p w14:paraId="7F128FD2">
            <w:pPr>
              <w:widowControl/>
              <w:numPr>
                <w:ilvl w:val="0"/>
                <w:numId w:val="0"/>
              </w:numPr>
              <w:spacing w:line="276" w:lineRule="auto"/>
              <w:ind w:left="0" w:leftChars="0" w:firstLine="0" w:firstLineChars="0"/>
              <w:textAlignment w:val="top"/>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（3）可分解致癌芳香胺染料：禁用</w:t>
            </w:r>
            <w:r>
              <w:rPr>
                <w:rFonts w:hint="eastAsia" w:asciiTheme="minorEastAsia" w:hAnsiTheme="minorEastAsia" w:eastAsiaTheme="minorEastAsia" w:cstheme="minorEastAsia"/>
                <w:color w:val="auto"/>
                <w:sz w:val="21"/>
                <w:szCs w:val="21"/>
                <w:highlight w:val="none"/>
                <w:lang w:eastAsia="zh-CN"/>
              </w:rPr>
              <w:t>；</w:t>
            </w:r>
          </w:p>
          <w:p w14:paraId="52B4690F">
            <w:pPr>
              <w:widowControl/>
              <w:numPr>
                <w:ilvl w:val="0"/>
                <w:numId w:val="0"/>
              </w:numPr>
              <w:spacing w:line="276" w:lineRule="auto"/>
              <w:ind w:left="0" w:leftChars="0" w:firstLine="0" w:firstLineChars="0"/>
              <w:textAlignment w:val="top"/>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（4）甲醛含量≤20mg/kg</w:t>
            </w:r>
            <w:r>
              <w:rPr>
                <w:rFonts w:hint="eastAsia" w:asciiTheme="minorEastAsia" w:hAnsiTheme="minorEastAsia" w:eastAsiaTheme="minorEastAsia" w:cstheme="minorEastAsia"/>
                <w:color w:val="auto"/>
                <w:sz w:val="21"/>
                <w:szCs w:val="21"/>
                <w:highlight w:val="none"/>
                <w:lang w:eastAsia="zh-CN"/>
              </w:rPr>
              <w:t>；</w:t>
            </w:r>
          </w:p>
          <w:p w14:paraId="64E41102">
            <w:pPr>
              <w:widowControl/>
              <w:numPr>
                <w:ilvl w:val="0"/>
                <w:numId w:val="0"/>
              </w:numPr>
              <w:spacing w:line="276" w:lineRule="auto"/>
              <w:ind w:left="0" w:leftChars="0" w:firstLine="0" w:firstLineChars="0"/>
              <w:textAlignment w:val="top"/>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（5）pH值：符合4.0～8.5</w:t>
            </w:r>
            <w:r>
              <w:rPr>
                <w:rFonts w:hint="eastAsia" w:asciiTheme="minorEastAsia" w:hAnsiTheme="minorEastAsia" w:eastAsiaTheme="minorEastAsia" w:cstheme="minorEastAsia"/>
                <w:color w:val="auto"/>
                <w:sz w:val="21"/>
                <w:szCs w:val="21"/>
                <w:highlight w:val="none"/>
                <w:lang w:eastAsia="zh-CN"/>
              </w:rPr>
              <w:t>；</w:t>
            </w:r>
          </w:p>
          <w:p w14:paraId="00183832">
            <w:pPr>
              <w:widowControl/>
              <w:numPr>
                <w:ilvl w:val="0"/>
                <w:numId w:val="0"/>
              </w:numPr>
              <w:spacing w:line="276" w:lineRule="auto"/>
              <w:ind w:left="0" w:leftChars="0" w:firstLine="0" w:firstLineChars="0"/>
              <w:textAlignment w:val="top"/>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（6）需符合GB 18401-2010标准B类指标基本安全技术要求</w:t>
            </w:r>
            <w:r>
              <w:rPr>
                <w:rFonts w:hint="eastAsia" w:asciiTheme="minorEastAsia" w:hAnsiTheme="minorEastAsia" w:eastAsiaTheme="minorEastAsia" w:cstheme="minorEastAsia"/>
                <w:color w:val="auto"/>
                <w:sz w:val="21"/>
                <w:szCs w:val="21"/>
                <w:highlight w:val="none"/>
                <w:lang w:eastAsia="zh-CN"/>
              </w:rPr>
              <w:t>。</w:t>
            </w:r>
          </w:p>
          <w:p w14:paraId="5BB88868">
            <w:pPr>
              <w:widowControl/>
              <w:numPr>
                <w:ilvl w:val="0"/>
                <w:numId w:val="0"/>
              </w:numPr>
              <w:spacing w:line="276" w:lineRule="auto"/>
              <w:ind w:left="0" w:leftChars="0" w:firstLine="0" w:firstLineChars="0"/>
              <w:textAlignment w:val="top"/>
              <w:rPr>
                <w:rFonts w:hint="eastAsia" w:asciiTheme="minorEastAsia" w:hAnsiTheme="minorEastAsia" w:eastAsiaTheme="minorEastAsia" w:cstheme="minorEastAsia"/>
                <w:color w:val="auto"/>
                <w:sz w:val="21"/>
                <w:szCs w:val="21"/>
                <w:highlight w:val="none"/>
                <w:lang w:eastAsia="zh-CN"/>
              </w:rPr>
            </w:pPr>
            <w:r>
              <w:rPr>
                <w:rFonts w:hint="eastAsia" w:ascii="宋体" w:hAnsi="宋体" w:eastAsia="宋体" w:cs="宋体"/>
                <w:b/>
                <w:bCs/>
                <w:color w:val="auto"/>
                <w:sz w:val="21"/>
                <w:szCs w:val="21"/>
                <w:highlight w:val="none"/>
                <w:lang w:val="en-US" w:eastAsia="zh-CN"/>
              </w:rPr>
              <w:t>4、须提供具有CMA标识的检测报告</w:t>
            </w:r>
          </w:p>
        </w:tc>
        <w:tc>
          <w:tcPr>
            <w:tcW w:w="696" w:type="dxa"/>
            <w:shd w:val="clear" w:color="auto" w:fill="auto"/>
            <w:vAlign w:val="center"/>
          </w:tcPr>
          <w:p w14:paraId="422B1711">
            <w:pPr>
              <w:widowControl/>
              <w:jc w:val="center"/>
              <w:textAlignment w:val="top"/>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w:t>
            </w:r>
          </w:p>
        </w:tc>
        <w:tc>
          <w:tcPr>
            <w:tcW w:w="717" w:type="dxa"/>
            <w:shd w:val="clear" w:color="auto" w:fill="auto"/>
            <w:vAlign w:val="center"/>
          </w:tcPr>
          <w:p w14:paraId="6E2082B0">
            <w:pPr>
              <w:widowControl/>
              <w:jc w:val="center"/>
              <w:textAlignment w:val="top"/>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件</w:t>
            </w:r>
          </w:p>
        </w:tc>
      </w:tr>
      <w:tr w14:paraId="3EDE6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vAlign w:val="center"/>
          </w:tcPr>
          <w:p w14:paraId="2BABE45F">
            <w:pPr>
              <w:widowControl/>
              <w:jc w:val="center"/>
              <w:textAlignment w:val="top"/>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6</w:t>
            </w:r>
          </w:p>
        </w:tc>
        <w:tc>
          <w:tcPr>
            <w:tcW w:w="1190" w:type="dxa"/>
            <w:shd w:val="clear" w:color="auto" w:fill="auto"/>
            <w:vAlign w:val="center"/>
          </w:tcPr>
          <w:p w14:paraId="7A4EA958">
            <w:pPr>
              <w:widowControl/>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运动短裤</w:t>
            </w:r>
          </w:p>
        </w:tc>
        <w:tc>
          <w:tcPr>
            <w:tcW w:w="5492" w:type="dxa"/>
            <w:shd w:val="clear" w:color="auto" w:fill="auto"/>
            <w:vAlign w:val="center"/>
          </w:tcPr>
          <w:p w14:paraId="5B8B5913">
            <w:pPr>
              <w:widowControl/>
              <w:numPr>
                <w:ilvl w:val="0"/>
                <w:numId w:val="0"/>
              </w:numPr>
              <w:spacing w:line="276" w:lineRule="auto"/>
              <w:ind w:left="0" w:leftChars="0" w:firstLine="0" w:firstLineChars="0"/>
              <w:textAlignment w:val="top"/>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1、面料成分：86</w:t>
            </w:r>
            <w:r>
              <w:rPr>
                <w:rFonts w:hint="eastAsia" w:asciiTheme="minorEastAsia" w:hAnsiTheme="minorEastAsia" w:eastAsiaTheme="minorEastAsia" w:cstheme="minorEastAsia"/>
                <w:color w:val="auto"/>
                <w:sz w:val="21"/>
                <w:szCs w:val="21"/>
                <w:highlight w:val="none"/>
              </w:rPr>
              <w:t>（±5)</w:t>
            </w:r>
            <w:r>
              <w:rPr>
                <w:rFonts w:hint="eastAsia" w:asciiTheme="minorEastAsia" w:hAnsiTheme="minorEastAsia" w:eastAsiaTheme="minorEastAsia" w:cstheme="minorEastAsia"/>
                <w:color w:val="auto"/>
                <w:sz w:val="21"/>
                <w:szCs w:val="21"/>
                <w:highlight w:val="none"/>
                <w:lang w:val="en-US" w:eastAsia="zh-CN"/>
              </w:rPr>
              <w:t>%聚酯纤维，14</w:t>
            </w:r>
            <w:r>
              <w:rPr>
                <w:rFonts w:hint="eastAsia" w:asciiTheme="minorEastAsia" w:hAnsiTheme="minorEastAsia" w:eastAsiaTheme="minorEastAsia" w:cstheme="minorEastAsia"/>
                <w:color w:val="auto"/>
                <w:sz w:val="21"/>
                <w:szCs w:val="21"/>
                <w:highlight w:val="none"/>
              </w:rPr>
              <w:t>（±5)</w:t>
            </w:r>
            <w:r>
              <w:rPr>
                <w:rFonts w:hint="eastAsia" w:asciiTheme="minorEastAsia" w:hAnsiTheme="minorEastAsia" w:eastAsiaTheme="minorEastAsia" w:cstheme="minorEastAsia"/>
                <w:color w:val="auto"/>
                <w:sz w:val="21"/>
                <w:szCs w:val="21"/>
                <w:highlight w:val="none"/>
                <w:lang w:val="en-US" w:eastAsia="zh-CN"/>
              </w:rPr>
              <w:t>%氨纶。</w:t>
            </w:r>
          </w:p>
          <w:p w14:paraId="4F67AFAF">
            <w:pPr>
              <w:widowControl/>
              <w:numPr>
                <w:ilvl w:val="0"/>
                <w:numId w:val="0"/>
              </w:numPr>
              <w:spacing w:line="276" w:lineRule="auto"/>
              <w:ind w:left="0" w:leftChars="0" w:firstLine="0" w:firstLineChars="0"/>
              <w:textAlignment w:val="top"/>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2、特点：速干排湿。</w:t>
            </w:r>
          </w:p>
          <w:p w14:paraId="3B2890FC">
            <w:pPr>
              <w:widowControl/>
              <w:numPr>
                <w:ilvl w:val="0"/>
                <w:numId w:val="0"/>
              </w:numPr>
              <w:spacing w:line="276" w:lineRule="auto"/>
              <w:ind w:left="0" w:leftChars="0" w:firstLine="0" w:firstLineChars="0"/>
              <w:textAlignment w:val="top"/>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3、需符合执行标准：GB/T 22853-2019一等品要求。</w:t>
            </w:r>
          </w:p>
          <w:p w14:paraId="50115350">
            <w:pPr>
              <w:widowControl/>
              <w:numPr>
                <w:ilvl w:val="0"/>
                <w:numId w:val="0"/>
              </w:numPr>
              <w:spacing w:line="276" w:lineRule="auto"/>
              <w:ind w:left="0" w:leftChars="0" w:firstLine="0" w:firstLineChars="0"/>
              <w:textAlignment w:val="top"/>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4、技术要求：</w:t>
            </w:r>
          </w:p>
          <w:p w14:paraId="2B69BFAF">
            <w:pPr>
              <w:widowControl/>
              <w:numPr>
                <w:ilvl w:val="0"/>
                <w:numId w:val="0"/>
              </w:numPr>
              <w:spacing w:line="276" w:lineRule="auto"/>
              <w:ind w:left="0" w:leftChars="0" w:firstLine="0" w:firstLineChars="0"/>
              <w:textAlignment w:val="top"/>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（1）耐水色牢度变色≥4，沾色≥3-4、耐汗渍色牢度变色≥4，沾色≥3-4、耐干摩擦色牢度≥3-4；</w:t>
            </w:r>
          </w:p>
          <w:p w14:paraId="2A758CE5">
            <w:pPr>
              <w:widowControl/>
              <w:numPr>
                <w:ilvl w:val="0"/>
                <w:numId w:val="0"/>
              </w:numPr>
              <w:spacing w:line="276" w:lineRule="auto"/>
              <w:ind w:left="0" w:leftChars="0" w:firstLine="0" w:firstLineChars="0"/>
              <w:textAlignment w:val="top"/>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（2）异味：无；</w:t>
            </w:r>
          </w:p>
          <w:p w14:paraId="7B8C20FE">
            <w:pPr>
              <w:widowControl/>
              <w:numPr>
                <w:ilvl w:val="0"/>
                <w:numId w:val="0"/>
              </w:numPr>
              <w:spacing w:line="276" w:lineRule="auto"/>
              <w:ind w:left="0" w:leftChars="0" w:firstLine="0" w:firstLineChars="0"/>
              <w:textAlignment w:val="top"/>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（3）可分解致癌芳香胺染料：禁用；</w:t>
            </w:r>
          </w:p>
          <w:p w14:paraId="3755593B">
            <w:pPr>
              <w:widowControl/>
              <w:numPr>
                <w:ilvl w:val="0"/>
                <w:numId w:val="0"/>
              </w:numPr>
              <w:spacing w:line="276" w:lineRule="auto"/>
              <w:ind w:left="0" w:leftChars="0" w:firstLine="0" w:firstLineChars="0"/>
              <w:textAlignment w:val="top"/>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（4）甲醛含量≤20mg/kg；</w:t>
            </w:r>
          </w:p>
          <w:p w14:paraId="19D4CA63">
            <w:pPr>
              <w:widowControl/>
              <w:numPr>
                <w:ilvl w:val="0"/>
                <w:numId w:val="0"/>
              </w:numPr>
              <w:spacing w:line="276" w:lineRule="auto"/>
              <w:ind w:left="0" w:leftChars="0" w:firstLine="0" w:firstLineChars="0"/>
              <w:textAlignment w:val="top"/>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（5）pH值：符合4.0～8.5；</w:t>
            </w:r>
          </w:p>
          <w:p w14:paraId="4DD08916">
            <w:pPr>
              <w:widowControl/>
              <w:numPr>
                <w:ilvl w:val="0"/>
                <w:numId w:val="0"/>
              </w:numPr>
              <w:spacing w:line="276" w:lineRule="auto"/>
              <w:ind w:left="0" w:leftChars="0" w:firstLine="0" w:firstLineChars="0"/>
              <w:textAlignment w:val="top"/>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（6）需符合GB 18401-2010标准B类指标基本安全技术要求。</w:t>
            </w:r>
          </w:p>
          <w:p w14:paraId="4494E396">
            <w:pPr>
              <w:widowControl/>
              <w:numPr>
                <w:ilvl w:val="0"/>
                <w:numId w:val="0"/>
              </w:numPr>
              <w:spacing w:line="276" w:lineRule="auto"/>
              <w:ind w:left="0" w:leftChars="0" w:firstLine="0" w:firstLineChars="0"/>
              <w:textAlignment w:val="top"/>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b/>
                <w:bCs/>
                <w:color w:val="auto"/>
                <w:sz w:val="21"/>
                <w:szCs w:val="21"/>
                <w:highlight w:val="none"/>
                <w:lang w:val="en-US" w:eastAsia="zh-CN"/>
              </w:rPr>
              <w:t>5、须提供具有CMA标识的检测报告</w:t>
            </w:r>
          </w:p>
        </w:tc>
        <w:tc>
          <w:tcPr>
            <w:tcW w:w="696" w:type="dxa"/>
            <w:shd w:val="clear" w:color="auto" w:fill="auto"/>
            <w:vAlign w:val="center"/>
          </w:tcPr>
          <w:p w14:paraId="3ADCAB82">
            <w:pPr>
              <w:widowControl/>
              <w:jc w:val="center"/>
              <w:textAlignment w:val="top"/>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w:t>
            </w:r>
          </w:p>
        </w:tc>
        <w:tc>
          <w:tcPr>
            <w:tcW w:w="717" w:type="dxa"/>
            <w:shd w:val="clear" w:color="auto" w:fill="auto"/>
            <w:vAlign w:val="center"/>
          </w:tcPr>
          <w:p w14:paraId="57D6E812">
            <w:pPr>
              <w:widowControl/>
              <w:jc w:val="center"/>
              <w:textAlignment w:val="top"/>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件</w:t>
            </w:r>
          </w:p>
        </w:tc>
      </w:tr>
      <w:tr w14:paraId="509E1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vAlign w:val="center"/>
          </w:tcPr>
          <w:p w14:paraId="1BE34F23">
            <w:pPr>
              <w:widowControl/>
              <w:jc w:val="center"/>
              <w:textAlignment w:val="top"/>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7</w:t>
            </w:r>
          </w:p>
        </w:tc>
        <w:tc>
          <w:tcPr>
            <w:tcW w:w="1190" w:type="dxa"/>
            <w:shd w:val="clear" w:color="auto" w:fill="auto"/>
            <w:vAlign w:val="center"/>
          </w:tcPr>
          <w:p w14:paraId="300EF7F5">
            <w:pPr>
              <w:widowControl/>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运动鞋</w:t>
            </w:r>
          </w:p>
        </w:tc>
        <w:tc>
          <w:tcPr>
            <w:tcW w:w="5492" w:type="dxa"/>
            <w:shd w:val="clear" w:color="auto" w:fill="auto"/>
            <w:vAlign w:val="center"/>
          </w:tcPr>
          <w:p w14:paraId="67C7B4D9">
            <w:pPr>
              <w:widowControl/>
              <w:spacing w:line="276" w:lineRule="auto"/>
              <w:textAlignment w:val="top"/>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1、材质：鞋底采用织物/橡塑材料。</w:t>
            </w:r>
          </w:p>
          <w:p w14:paraId="6D859AA7">
            <w:pPr>
              <w:widowControl/>
              <w:spacing w:line="276" w:lineRule="auto"/>
              <w:textAlignment w:val="top"/>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2、底料：eva材料。</w:t>
            </w:r>
          </w:p>
          <w:p w14:paraId="1DEBDFC7">
            <w:pPr>
              <w:widowControl/>
              <w:spacing w:line="276" w:lineRule="auto"/>
              <w:textAlignment w:val="top"/>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3、甲醛含量:≤75mg/kg。</w:t>
            </w:r>
          </w:p>
          <w:p w14:paraId="12CFDD90">
            <w:pPr>
              <w:widowControl/>
              <w:spacing w:line="276" w:lineRule="auto"/>
              <w:textAlignment w:val="top"/>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4、可分解致癌芳香胺染料:禁用</w:t>
            </w:r>
            <w:r>
              <w:rPr>
                <w:rFonts w:hint="eastAsia" w:asciiTheme="minorEastAsia" w:hAnsiTheme="minorEastAsia" w:eastAsiaTheme="minorEastAsia" w:cstheme="minorEastAsia"/>
                <w:color w:val="auto"/>
                <w:sz w:val="21"/>
                <w:szCs w:val="21"/>
                <w:highlight w:val="none"/>
                <w:lang w:eastAsia="zh-CN"/>
              </w:rPr>
              <w:t>。</w:t>
            </w:r>
          </w:p>
          <w:p w14:paraId="23625646">
            <w:pPr>
              <w:widowControl/>
              <w:spacing w:line="276" w:lineRule="auto"/>
              <w:textAlignment w:val="top"/>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5、款式：包裹性好，透气性好。</w:t>
            </w:r>
          </w:p>
          <w:p w14:paraId="245B86AC">
            <w:pPr>
              <w:widowControl/>
              <w:spacing w:line="276" w:lineRule="auto"/>
              <w:textAlignment w:val="top"/>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6、</w:t>
            </w:r>
            <w:r>
              <w:rPr>
                <w:rFonts w:hint="eastAsia" w:asciiTheme="minorEastAsia" w:hAnsiTheme="minorEastAsia" w:eastAsiaTheme="minorEastAsia" w:cstheme="minorEastAsia"/>
                <w:color w:val="auto"/>
                <w:sz w:val="21"/>
                <w:szCs w:val="21"/>
                <w:highlight w:val="none"/>
                <w:lang w:val="en-US" w:eastAsia="zh-CN"/>
              </w:rPr>
              <w:t>需符合</w:t>
            </w:r>
            <w:r>
              <w:rPr>
                <w:rFonts w:hint="eastAsia" w:asciiTheme="minorEastAsia" w:hAnsiTheme="minorEastAsia" w:eastAsiaTheme="minorEastAsia" w:cstheme="minorEastAsia"/>
                <w:color w:val="auto"/>
                <w:kern w:val="2"/>
                <w:sz w:val="21"/>
                <w:szCs w:val="21"/>
                <w:highlight w:val="none"/>
                <w:lang w:val="en-US" w:eastAsia="zh-CN" w:bidi="ar-SA"/>
              </w:rPr>
              <w:t>GB/T 36975-2018</w:t>
            </w:r>
            <w:r>
              <w:rPr>
                <w:rFonts w:hint="eastAsia" w:asciiTheme="minorEastAsia" w:hAnsiTheme="minorEastAsia" w:eastAsiaTheme="minorEastAsia" w:cstheme="minorEastAsia"/>
                <w:color w:val="auto"/>
                <w:sz w:val="21"/>
                <w:szCs w:val="21"/>
                <w:highlight w:val="none"/>
                <w:lang w:val="en-US" w:eastAsia="zh-CN"/>
              </w:rPr>
              <w:t>要求。</w:t>
            </w:r>
          </w:p>
        </w:tc>
        <w:tc>
          <w:tcPr>
            <w:tcW w:w="696" w:type="dxa"/>
            <w:shd w:val="clear" w:color="auto" w:fill="auto"/>
            <w:vAlign w:val="center"/>
          </w:tcPr>
          <w:p w14:paraId="77847A4F">
            <w:pPr>
              <w:widowControl/>
              <w:jc w:val="center"/>
              <w:textAlignment w:val="top"/>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1</w:t>
            </w:r>
          </w:p>
        </w:tc>
        <w:tc>
          <w:tcPr>
            <w:tcW w:w="717" w:type="dxa"/>
            <w:shd w:val="clear" w:color="auto" w:fill="auto"/>
            <w:vAlign w:val="center"/>
          </w:tcPr>
          <w:p w14:paraId="283044EC">
            <w:pPr>
              <w:widowControl/>
              <w:jc w:val="center"/>
              <w:textAlignment w:val="top"/>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双</w:t>
            </w:r>
          </w:p>
        </w:tc>
      </w:tr>
      <w:tr w14:paraId="1D4B6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vAlign w:val="center"/>
          </w:tcPr>
          <w:p w14:paraId="46DC607F">
            <w:pPr>
              <w:widowControl/>
              <w:jc w:val="center"/>
              <w:textAlignment w:val="top"/>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8</w:t>
            </w:r>
          </w:p>
        </w:tc>
        <w:tc>
          <w:tcPr>
            <w:tcW w:w="1190" w:type="dxa"/>
            <w:shd w:val="clear" w:color="auto" w:fill="auto"/>
            <w:vAlign w:val="center"/>
          </w:tcPr>
          <w:p w14:paraId="78214E6A">
            <w:pPr>
              <w:widowControl/>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拖鞋</w:t>
            </w:r>
          </w:p>
        </w:tc>
        <w:tc>
          <w:tcPr>
            <w:tcW w:w="5492" w:type="dxa"/>
            <w:shd w:val="clear" w:color="auto" w:fill="auto"/>
            <w:vAlign w:val="center"/>
          </w:tcPr>
          <w:p w14:paraId="25CE0C4E">
            <w:pPr>
              <w:widowControl/>
              <w:spacing w:line="276" w:lineRule="auto"/>
              <w:textAlignment w:val="top"/>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1、</w:t>
            </w:r>
            <w:r>
              <w:rPr>
                <w:rFonts w:hint="eastAsia" w:asciiTheme="minorEastAsia" w:hAnsiTheme="minorEastAsia" w:eastAsiaTheme="minorEastAsia" w:cstheme="minorEastAsia"/>
                <w:b w:val="0"/>
                <w:bCs w:val="0"/>
                <w:color w:val="auto"/>
                <w:sz w:val="21"/>
                <w:szCs w:val="21"/>
                <w:highlight w:val="none"/>
              </w:rPr>
              <w:t>鞋底采用</w:t>
            </w:r>
            <w:r>
              <w:rPr>
                <w:rFonts w:hint="eastAsia" w:asciiTheme="minorEastAsia" w:hAnsiTheme="minorEastAsia" w:eastAsiaTheme="minorEastAsia" w:cstheme="minorEastAsia"/>
                <w:b w:val="0"/>
                <w:bCs w:val="0"/>
                <w:color w:val="auto"/>
                <w:sz w:val="21"/>
                <w:szCs w:val="21"/>
                <w:highlight w:val="none"/>
                <w:lang w:val="en-US" w:eastAsia="zh-CN"/>
              </w:rPr>
              <w:t>EVA</w:t>
            </w:r>
            <w:r>
              <w:rPr>
                <w:rFonts w:hint="eastAsia" w:asciiTheme="minorEastAsia" w:hAnsiTheme="minorEastAsia" w:eastAsiaTheme="minorEastAsia" w:cstheme="minorEastAsia"/>
                <w:b w:val="0"/>
                <w:bCs w:val="0"/>
                <w:color w:val="auto"/>
                <w:sz w:val="21"/>
                <w:szCs w:val="21"/>
                <w:highlight w:val="none"/>
              </w:rPr>
              <w:t>材料</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lang w:val="en-US" w:eastAsia="zh-CN"/>
              </w:rPr>
              <w:t>一体成型。</w:t>
            </w:r>
            <w:r>
              <w:rPr>
                <w:rFonts w:hint="eastAsia" w:asciiTheme="minorEastAsia" w:hAnsiTheme="minorEastAsia" w:eastAsiaTheme="minorEastAsia" w:cstheme="minorEastAsia"/>
                <w:b w:val="0"/>
                <w:bCs w:val="0"/>
                <w:color w:val="auto"/>
                <w:sz w:val="21"/>
                <w:szCs w:val="21"/>
                <w:highlight w:val="none"/>
              </w:rPr>
              <w:t xml:space="preserve"> </w:t>
            </w:r>
          </w:p>
          <w:p w14:paraId="599E7A8E">
            <w:pPr>
              <w:widowControl/>
              <w:spacing w:line="276" w:lineRule="auto"/>
              <w:textAlignment w:val="top"/>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2、</w:t>
            </w:r>
            <w:r>
              <w:rPr>
                <w:rFonts w:hint="eastAsia" w:asciiTheme="minorEastAsia" w:hAnsiTheme="minorEastAsia" w:eastAsiaTheme="minorEastAsia" w:cstheme="minorEastAsia"/>
                <w:b w:val="0"/>
                <w:bCs w:val="0"/>
                <w:color w:val="auto"/>
                <w:sz w:val="21"/>
                <w:szCs w:val="21"/>
                <w:highlight w:val="none"/>
              </w:rPr>
              <w:t>功能：轻便、防滑、漏水速干</w:t>
            </w:r>
            <w:r>
              <w:rPr>
                <w:rFonts w:hint="eastAsia" w:asciiTheme="minorEastAsia" w:hAnsiTheme="minorEastAsia" w:eastAsiaTheme="minorEastAsia" w:cstheme="minorEastAsia"/>
                <w:b w:val="0"/>
                <w:bCs w:val="0"/>
                <w:color w:val="auto"/>
                <w:sz w:val="21"/>
                <w:szCs w:val="21"/>
                <w:highlight w:val="none"/>
                <w:lang w:eastAsia="zh-CN"/>
              </w:rPr>
              <w:t>。</w:t>
            </w:r>
          </w:p>
          <w:p w14:paraId="0FBA3309">
            <w:pPr>
              <w:widowControl/>
              <w:spacing w:line="276" w:lineRule="auto"/>
              <w:textAlignment w:val="top"/>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3、</w:t>
            </w:r>
            <w:r>
              <w:rPr>
                <w:rFonts w:hint="eastAsia" w:asciiTheme="minorEastAsia" w:hAnsiTheme="minorEastAsia" w:eastAsiaTheme="minorEastAsia" w:cstheme="minorEastAsia"/>
                <w:b w:val="0"/>
                <w:bCs w:val="0"/>
                <w:color w:val="auto"/>
                <w:sz w:val="21"/>
                <w:szCs w:val="21"/>
                <w:highlight w:val="none"/>
              </w:rPr>
              <w:t>设计：整体设计简洁</w:t>
            </w:r>
            <w:r>
              <w:rPr>
                <w:rFonts w:hint="eastAsia" w:asciiTheme="minorEastAsia" w:hAnsiTheme="minorEastAsia" w:eastAsiaTheme="minorEastAsia" w:cstheme="minorEastAsia"/>
                <w:b w:val="0"/>
                <w:bCs w:val="0"/>
                <w:color w:val="auto"/>
                <w:sz w:val="21"/>
                <w:szCs w:val="21"/>
                <w:highlight w:val="none"/>
                <w:lang w:eastAsia="zh-CN"/>
              </w:rPr>
              <w:t>。</w:t>
            </w:r>
          </w:p>
          <w:p w14:paraId="0EF5BEA1">
            <w:pPr>
              <w:widowControl/>
              <w:spacing w:line="276" w:lineRule="auto"/>
              <w:textAlignment w:val="top"/>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4、</w:t>
            </w:r>
            <w:r>
              <w:rPr>
                <w:rFonts w:hint="eastAsia" w:asciiTheme="minorEastAsia" w:hAnsiTheme="minorEastAsia" w:eastAsiaTheme="minorEastAsia" w:cstheme="minorEastAsia"/>
                <w:color w:val="auto"/>
                <w:sz w:val="21"/>
                <w:szCs w:val="21"/>
                <w:highlight w:val="none"/>
                <w:lang w:val="en-US" w:eastAsia="zh-CN"/>
              </w:rPr>
              <w:t>需符合</w:t>
            </w:r>
            <w:r>
              <w:rPr>
                <w:rFonts w:hint="eastAsia" w:asciiTheme="minorEastAsia" w:hAnsiTheme="minorEastAsia" w:eastAsiaTheme="minorEastAsia" w:cstheme="minorEastAsia"/>
                <w:color w:val="auto"/>
                <w:kern w:val="2"/>
                <w:sz w:val="21"/>
                <w:szCs w:val="21"/>
                <w:highlight w:val="none"/>
                <w:lang w:val="en-US" w:eastAsia="zh-CN" w:bidi="ar-SA"/>
              </w:rPr>
              <w:t>GB/T 36975-2018</w:t>
            </w:r>
            <w:r>
              <w:rPr>
                <w:rFonts w:hint="eastAsia" w:asciiTheme="minorEastAsia" w:hAnsiTheme="minorEastAsia" w:eastAsiaTheme="minorEastAsia" w:cstheme="minorEastAsia"/>
                <w:color w:val="auto"/>
                <w:sz w:val="21"/>
                <w:szCs w:val="21"/>
                <w:highlight w:val="none"/>
                <w:lang w:val="en-US" w:eastAsia="zh-CN"/>
              </w:rPr>
              <w:t>要求。</w:t>
            </w:r>
          </w:p>
        </w:tc>
        <w:tc>
          <w:tcPr>
            <w:tcW w:w="696" w:type="dxa"/>
            <w:shd w:val="clear" w:color="auto" w:fill="auto"/>
            <w:vAlign w:val="center"/>
          </w:tcPr>
          <w:p w14:paraId="05F0F4D7">
            <w:pPr>
              <w:widowControl/>
              <w:jc w:val="center"/>
              <w:textAlignment w:val="top"/>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1</w:t>
            </w:r>
          </w:p>
        </w:tc>
        <w:tc>
          <w:tcPr>
            <w:tcW w:w="717" w:type="dxa"/>
            <w:shd w:val="clear" w:color="auto" w:fill="auto"/>
            <w:vAlign w:val="center"/>
          </w:tcPr>
          <w:p w14:paraId="65725645">
            <w:pPr>
              <w:widowControl/>
              <w:jc w:val="center"/>
              <w:textAlignment w:val="top"/>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双</w:t>
            </w:r>
          </w:p>
        </w:tc>
      </w:tr>
      <w:tr w14:paraId="72CF3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vAlign w:val="center"/>
          </w:tcPr>
          <w:p w14:paraId="6FFAA5BB">
            <w:pPr>
              <w:widowControl/>
              <w:jc w:val="center"/>
              <w:textAlignment w:val="top"/>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9</w:t>
            </w:r>
          </w:p>
        </w:tc>
        <w:tc>
          <w:tcPr>
            <w:tcW w:w="1190" w:type="dxa"/>
            <w:shd w:val="clear" w:color="auto" w:fill="auto"/>
            <w:vAlign w:val="center"/>
          </w:tcPr>
          <w:p w14:paraId="4D09D36A">
            <w:pPr>
              <w:widowControl/>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运动袜</w:t>
            </w:r>
          </w:p>
        </w:tc>
        <w:tc>
          <w:tcPr>
            <w:tcW w:w="5492" w:type="dxa"/>
            <w:shd w:val="clear" w:color="auto" w:fill="auto"/>
            <w:vAlign w:val="center"/>
          </w:tcPr>
          <w:p w14:paraId="16BFB3E1">
            <w:pPr>
              <w:widowControl/>
              <w:spacing w:line="276" w:lineRule="auto"/>
              <w:textAlignment w:val="top"/>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1、面料成分：棉80（±5)%，橡筋15（±5)%，尼龙5（±3)%。</w:t>
            </w:r>
          </w:p>
          <w:p w14:paraId="184419FC">
            <w:pPr>
              <w:widowControl/>
              <w:spacing w:line="276" w:lineRule="auto"/>
              <w:textAlignment w:val="top"/>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2、技术要求：</w:t>
            </w:r>
          </w:p>
          <w:p w14:paraId="0AD491E9">
            <w:pPr>
              <w:widowControl/>
              <w:spacing w:line="276" w:lineRule="auto"/>
              <w:textAlignment w:val="top"/>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(1)甲醛含量/(mg/kg)≤75；</w:t>
            </w:r>
          </w:p>
          <w:p w14:paraId="37DCC0DA">
            <w:pPr>
              <w:widowControl/>
              <w:spacing w:line="276" w:lineRule="auto"/>
              <w:textAlignment w:val="top"/>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(2)pH值：符合4.0～8.5；</w:t>
            </w:r>
          </w:p>
          <w:p w14:paraId="625FCDEC">
            <w:pPr>
              <w:widowControl/>
              <w:spacing w:line="276" w:lineRule="auto"/>
              <w:textAlignment w:val="top"/>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(3)异味：无；</w:t>
            </w:r>
          </w:p>
          <w:p w14:paraId="0D153979">
            <w:pPr>
              <w:widowControl/>
              <w:spacing w:line="276" w:lineRule="auto"/>
              <w:textAlignment w:val="top"/>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(4)可分解致癌芳香胺染料(mg/kg)：禁用；</w:t>
            </w:r>
          </w:p>
          <w:p w14:paraId="73594F6B">
            <w:pPr>
              <w:widowControl/>
              <w:spacing w:line="276" w:lineRule="auto"/>
              <w:textAlignment w:val="top"/>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(5)耐水色牢度／级 变色≥3-4沾色≥3，耐汗色牢度／级变色≥3-4沾色≥3，耐摩擦色牢度／级 干摩≥3-4湿摩≥3（深色2-3），耐皂色牢度／级 变色≥3-4沾色≥3-4。</w:t>
            </w:r>
          </w:p>
          <w:p w14:paraId="016E7FB3">
            <w:pPr>
              <w:widowControl/>
              <w:spacing w:line="276" w:lineRule="auto"/>
              <w:textAlignment w:val="top"/>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(6)拉伸弹性回复率/%横向≥70。</w:t>
            </w:r>
          </w:p>
          <w:p w14:paraId="730E04DC">
            <w:pPr>
              <w:widowControl/>
              <w:spacing w:line="276" w:lineRule="auto"/>
              <w:textAlignment w:val="top"/>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3、尺码范围：均码。</w:t>
            </w:r>
          </w:p>
          <w:p w14:paraId="04228983">
            <w:pPr>
              <w:widowControl/>
              <w:spacing w:line="276" w:lineRule="auto"/>
              <w:textAlignment w:val="top"/>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4、颜色：黑/白。</w:t>
            </w:r>
          </w:p>
          <w:p w14:paraId="65A2F48B">
            <w:pPr>
              <w:widowControl/>
              <w:spacing w:line="276" w:lineRule="auto"/>
              <w:textAlignment w:val="top"/>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5、功能性：防滑，透气，舒适，防臭吸汗。</w:t>
            </w:r>
          </w:p>
          <w:p w14:paraId="0FC8B5FA">
            <w:pPr>
              <w:pStyle w:val="2"/>
              <w:ind w:left="0" w:leftChars="0" w:firstLine="0" w:firstLineChar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bidi="ar-SA"/>
              </w:rPr>
              <w:t>6、</w:t>
            </w:r>
            <w:r>
              <w:rPr>
                <w:rFonts w:hint="eastAsia" w:asciiTheme="minorEastAsia" w:hAnsiTheme="minorEastAsia" w:eastAsiaTheme="minorEastAsia" w:cstheme="minorEastAsia"/>
                <w:color w:val="auto"/>
                <w:sz w:val="21"/>
                <w:szCs w:val="21"/>
                <w:highlight w:val="none"/>
                <w:lang w:val="en-US" w:eastAsia="zh-CN"/>
              </w:rPr>
              <w:t>需符合</w:t>
            </w:r>
            <w:r>
              <w:rPr>
                <w:rFonts w:hint="eastAsia" w:asciiTheme="minorEastAsia" w:hAnsiTheme="minorEastAsia" w:eastAsiaTheme="minorEastAsia" w:cstheme="minorEastAsia"/>
                <w:color w:val="auto"/>
                <w:kern w:val="2"/>
                <w:sz w:val="21"/>
                <w:szCs w:val="21"/>
                <w:highlight w:val="none"/>
                <w:lang w:val="en-US" w:eastAsia="zh-CN" w:bidi="ar-SA"/>
              </w:rPr>
              <w:t>FZ/T 73011--2013一等品标准。</w:t>
            </w:r>
          </w:p>
        </w:tc>
        <w:tc>
          <w:tcPr>
            <w:tcW w:w="696" w:type="dxa"/>
            <w:shd w:val="clear" w:color="auto" w:fill="auto"/>
            <w:vAlign w:val="center"/>
          </w:tcPr>
          <w:p w14:paraId="47D05960">
            <w:pPr>
              <w:widowControl/>
              <w:jc w:val="center"/>
              <w:textAlignment w:val="top"/>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2</w:t>
            </w:r>
          </w:p>
        </w:tc>
        <w:tc>
          <w:tcPr>
            <w:tcW w:w="717" w:type="dxa"/>
            <w:shd w:val="clear" w:color="auto" w:fill="auto"/>
            <w:vAlign w:val="center"/>
          </w:tcPr>
          <w:p w14:paraId="73ECDA5A">
            <w:pPr>
              <w:widowControl/>
              <w:jc w:val="center"/>
              <w:textAlignment w:val="top"/>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双</w:t>
            </w:r>
          </w:p>
        </w:tc>
      </w:tr>
      <w:tr w14:paraId="40EB4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vAlign w:val="center"/>
          </w:tcPr>
          <w:p w14:paraId="174BBB7E">
            <w:pPr>
              <w:widowControl/>
              <w:jc w:val="center"/>
              <w:textAlignment w:val="top"/>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10</w:t>
            </w:r>
          </w:p>
        </w:tc>
        <w:tc>
          <w:tcPr>
            <w:tcW w:w="1190" w:type="dxa"/>
            <w:shd w:val="clear" w:color="auto" w:fill="auto"/>
            <w:vAlign w:val="center"/>
          </w:tcPr>
          <w:p w14:paraId="7FFDEC60">
            <w:pPr>
              <w:widowControl/>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运动帽</w:t>
            </w:r>
          </w:p>
        </w:tc>
        <w:tc>
          <w:tcPr>
            <w:tcW w:w="5492" w:type="dxa"/>
            <w:shd w:val="clear" w:color="auto" w:fill="auto"/>
            <w:vAlign w:val="center"/>
          </w:tcPr>
          <w:p w14:paraId="2E2C9A7F">
            <w:pPr>
              <w:widowControl/>
              <w:numPr>
                <w:ilvl w:val="0"/>
                <w:numId w:val="0"/>
              </w:numPr>
              <w:spacing w:line="276" w:lineRule="auto"/>
              <w:ind w:leftChars="0"/>
              <w:textAlignment w:val="top"/>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1、成分：聚酯纤维95%(±5)，氨纶5%(±5)。</w:t>
            </w:r>
          </w:p>
          <w:p w14:paraId="5C32F982">
            <w:pPr>
              <w:widowControl/>
              <w:numPr>
                <w:ilvl w:val="0"/>
                <w:numId w:val="0"/>
              </w:numPr>
              <w:spacing w:line="276" w:lineRule="auto"/>
              <w:ind w:leftChars="0"/>
              <w:textAlignment w:val="top"/>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2、产品执行标准符合：FZ/T82002-2016。</w:t>
            </w:r>
          </w:p>
          <w:p w14:paraId="2E269DB9">
            <w:pPr>
              <w:widowControl/>
              <w:spacing w:line="276" w:lineRule="auto"/>
              <w:textAlignment w:val="top"/>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3、规格：50-60CM。</w:t>
            </w:r>
          </w:p>
          <w:p w14:paraId="0DC22280">
            <w:pPr>
              <w:widowControl/>
              <w:spacing w:line="276" w:lineRule="auto"/>
              <w:textAlignment w:val="top"/>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4、技术要求：</w:t>
            </w:r>
          </w:p>
          <w:p w14:paraId="68ED3228">
            <w:pPr>
              <w:widowControl/>
              <w:numPr>
                <w:ilvl w:val="0"/>
                <w:numId w:val="0"/>
              </w:numPr>
              <w:spacing w:line="276" w:lineRule="auto"/>
              <w:ind w:leftChars="0"/>
              <w:textAlignment w:val="top"/>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(1)甲醛含量/(mg/kg)≤75；</w:t>
            </w:r>
          </w:p>
          <w:p w14:paraId="0D5A6E40">
            <w:pPr>
              <w:widowControl/>
              <w:numPr>
                <w:ilvl w:val="0"/>
                <w:numId w:val="0"/>
              </w:numPr>
              <w:spacing w:line="276" w:lineRule="auto"/>
              <w:ind w:leftChars="0"/>
              <w:textAlignment w:val="top"/>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(2)pH值：符合4.0～8.5；</w:t>
            </w:r>
          </w:p>
          <w:p w14:paraId="392D10AC">
            <w:pPr>
              <w:widowControl/>
              <w:numPr>
                <w:ilvl w:val="0"/>
                <w:numId w:val="0"/>
              </w:numPr>
              <w:spacing w:line="276" w:lineRule="auto"/>
              <w:ind w:leftChars="0"/>
              <w:textAlignment w:val="top"/>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(3)可分解致癌芳香胺染料(mg/kg)：禁用；</w:t>
            </w:r>
          </w:p>
          <w:p w14:paraId="7F27CBF8">
            <w:pPr>
              <w:widowControl/>
              <w:numPr>
                <w:ilvl w:val="0"/>
                <w:numId w:val="0"/>
              </w:numPr>
              <w:spacing w:line="276" w:lineRule="auto"/>
              <w:ind w:leftChars="0"/>
              <w:textAlignment w:val="top"/>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(4)色牢度/级：耐皂洗 变色≥3-4沾色≥3-4，耐干洗变色≥4沾色≥4，耐干摩擦沾色≥3-4，耐湿摩擦沾色（浅色）≥3-4,沾色（深色）≥3，耐光 变色≥4，耐汗渍变色≥3-4沾色≥3-4，耐水变色≥3-4沾色≥3-4，耐唾液变色≥4沾色≥4；</w:t>
            </w:r>
          </w:p>
          <w:p w14:paraId="5AC36F45">
            <w:pPr>
              <w:widowControl/>
              <w:numPr>
                <w:ilvl w:val="0"/>
                <w:numId w:val="0"/>
              </w:numPr>
              <w:spacing w:line="276" w:lineRule="auto"/>
              <w:ind w:leftChars="0"/>
              <w:textAlignment w:val="top"/>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（5）不可拆卸附件抗拉强力符合GB/T33271规定。</w:t>
            </w:r>
          </w:p>
        </w:tc>
        <w:tc>
          <w:tcPr>
            <w:tcW w:w="696" w:type="dxa"/>
            <w:shd w:val="clear" w:color="auto" w:fill="auto"/>
            <w:vAlign w:val="center"/>
          </w:tcPr>
          <w:p w14:paraId="4488B6D1">
            <w:pPr>
              <w:widowControl/>
              <w:jc w:val="center"/>
              <w:textAlignment w:val="top"/>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1</w:t>
            </w:r>
          </w:p>
        </w:tc>
        <w:tc>
          <w:tcPr>
            <w:tcW w:w="717" w:type="dxa"/>
            <w:shd w:val="clear" w:color="auto" w:fill="auto"/>
            <w:vAlign w:val="center"/>
          </w:tcPr>
          <w:p w14:paraId="363DEA4E">
            <w:pPr>
              <w:widowControl/>
              <w:jc w:val="center"/>
              <w:textAlignment w:val="top"/>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顶</w:t>
            </w:r>
          </w:p>
        </w:tc>
      </w:tr>
      <w:tr w14:paraId="7090D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vAlign w:val="center"/>
          </w:tcPr>
          <w:p w14:paraId="41634CE8">
            <w:pPr>
              <w:widowControl/>
              <w:jc w:val="center"/>
              <w:textAlignment w:val="top"/>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11</w:t>
            </w:r>
          </w:p>
        </w:tc>
        <w:tc>
          <w:tcPr>
            <w:tcW w:w="1190" w:type="dxa"/>
            <w:shd w:val="clear" w:color="auto" w:fill="auto"/>
            <w:vAlign w:val="center"/>
          </w:tcPr>
          <w:p w14:paraId="6229D151">
            <w:pPr>
              <w:widowControl/>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斜挎包</w:t>
            </w:r>
          </w:p>
        </w:tc>
        <w:tc>
          <w:tcPr>
            <w:tcW w:w="5492" w:type="dxa"/>
            <w:shd w:val="clear" w:color="auto" w:fill="auto"/>
            <w:vAlign w:val="center"/>
          </w:tcPr>
          <w:p w14:paraId="3D1AF948">
            <w:pPr>
              <w:widowControl/>
              <w:numPr>
                <w:ilvl w:val="0"/>
                <w:numId w:val="6"/>
              </w:numPr>
              <w:spacing w:line="276" w:lineRule="auto"/>
              <w:textAlignment w:val="top"/>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成分：100%涤纶</w:t>
            </w:r>
            <w:r>
              <w:rPr>
                <w:rFonts w:hint="eastAsia" w:asciiTheme="minorEastAsia" w:hAnsiTheme="minorEastAsia" w:eastAsiaTheme="minorEastAsia" w:cstheme="minorEastAsia"/>
                <w:color w:val="auto"/>
                <w:sz w:val="21"/>
                <w:szCs w:val="21"/>
                <w:highlight w:val="none"/>
                <w:lang w:eastAsia="zh-CN"/>
              </w:rPr>
              <w:t>。</w:t>
            </w:r>
          </w:p>
          <w:p w14:paraId="081F209C">
            <w:pPr>
              <w:widowControl/>
              <w:numPr>
                <w:ilvl w:val="0"/>
                <w:numId w:val="6"/>
              </w:numPr>
              <w:spacing w:line="276" w:lineRule="auto"/>
              <w:textAlignment w:val="top"/>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规格：</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11寸</w:t>
            </w:r>
            <w:r>
              <w:rPr>
                <w:rFonts w:hint="eastAsia" w:asciiTheme="minorEastAsia" w:hAnsiTheme="minorEastAsia" w:eastAsiaTheme="minorEastAsia" w:cstheme="minorEastAsia"/>
                <w:color w:val="auto"/>
                <w:sz w:val="21"/>
                <w:szCs w:val="21"/>
                <w:highlight w:val="none"/>
                <w:lang w:eastAsia="zh-CN"/>
              </w:rPr>
              <w:t>。</w:t>
            </w:r>
          </w:p>
          <w:p w14:paraId="009D6D2A">
            <w:pPr>
              <w:widowControl/>
              <w:numPr>
                <w:ilvl w:val="0"/>
                <w:numId w:val="6"/>
              </w:numPr>
              <w:spacing w:line="276" w:lineRule="auto"/>
              <w:textAlignment w:val="top"/>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产品执行标准符合：QB/T1333-2018</w:t>
            </w:r>
            <w:r>
              <w:rPr>
                <w:rFonts w:hint="eastAsia" w:asciiTheme="minorEastAsia" w:hAnsiTheme="minorEastAsia" w:eastAsiaTheme="minorEastAsia" w:cstheme="minorEastAsia"/>
                <w:color w:val="auto"/>
                <w:sz w:val="21"/>
                <w:szCs w:val="21"/>
                <w:highlight w:val="none"/>
                <w:lang w:eastAsia="zh-CN"/>
              </w:rPr>
              <w:t>。</w:t>
            </w:r>
          </w:p>
        </w:tc>
        <w:tc>
          <w:tcPr>
            <w:tcW w:w="696" w:type="dxa"/>
            <w:shd w:val="clear" w:color="auto" w:fill="auto"/>
            <w:vAlign w:val="center"/>
          </w:tcPr>
          <w:p w14:paraId="396C34F8">
            <w:pPr>
              <w:widowControl/>
              <w:jc w:val="center"/>
              <w:textAlignment w:val="top"/>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1</w:t>
            </w:r>
          </w:p>
        </w:tc>
        <w:tc>
          <w:tcPr>
            <w:tcW w:w="717" w:type="dxa"/>
            <w:shd w:val="clear" w:color="auto" w:fill="auto"/>
            <w:vAlign w:val="center"/>
          </w:tcPr>
          <w:p w14:paraId="239B43A3">
            <w:pPr>
              <w:widowControl/>
              <w:jc w:val="center"/>
              <w:textAlignment w:val="top"/>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个</w:t>
            </w:r>
          </w:p>
        </w:tc>
      </w:tr>
      <w:tr w14:paraId="1500A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tcBorders>
              <w:bottom w:val="single" w:color="auto" w:sz="4" w:space="0"/>
            </w:tcBorders>
            <w:shd w:val="clear" w:color="auto" w:fill="auto"/>
            <w:vAlign w:val="center"/>
          </w:tcPr>
          <w:p w14:paraId="65D83CCC">
            <w:pPr>
              <w:widowControl/>
              <w:jc w:val="center"/>
              <w:textAlignment w:val="top"/>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12</w:t>
            </w:r>
          </w:p>
        </w:tc>
        <w:tc>
          <w:tcPr>
            <w:tcW w:w="1190" w:type="dxa"/>
            <w:tcBorders>
              <w:bottom w:val="single" w:color="auto" w:sz="4" w:space="0"/>
            </w:tcBorders>
            <w:shd w:val="clear" w:color="auto" w:fill="auto"/>
            <w:vAlign w:val="center"/>
          </w:tcPr>
          <w:p w14:paraId="478CA9D1">
            <w:pPr>
              <w:widowControl/>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双肩背包</w:t>
            </w:r>
          </w:p>
        </w:tc>
        <w:tc>
          <w:tcPr>
            <w:tcW w:w="5492" w:type="dxa"/>
            <w:tcBorders>
              <w:bottom w:val="single" w:color="auto" w:sz="4" w:space="0"/>
            </w:tcBorders>
            <w:shd w:val="clear" w:color="auto" w:fill="auto"/>
            <w:vAlign w:val="center"/>
          </w:tcPr>
          <w:p w14:paraId="1F242F23">
            <w:pPr>
              <w:widowControl/>
              <w:spacing w:line="276" w:lineRule="auto"/>
              <w:textAlignment w:val="top"/>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1、面料成分：100%涤纶。</w:t>
            </w:r>
          </w:p>
          <w:p w14:paraId="06E6EB9D">
            <w:pPr>
              <w:widowControl/>
              <w:spacing w:line="276" w:lineRule="auto"/>
              <w:textAlignment w:val="top"/>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2、产品执行标准符合：QB/T1333-2018。</w:t>
            </w:r>
          </w:p>
          <w:p w14:paraId="7DB92DF1">
            <w:pPr>
              <w:widowControl/>
              <w:spacing w:line="276" w:lineRule="auto"/>
              <w:textAlignment w:val="top"/>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w:t>
            </w:r>
            <w:r>
              <w:rPr>
                <w:rFonts w:hint="eastAsia" w:asciiTheme="minorEastAsia" w:hAnsiTheme="minorEastAsia" w:eastAsiaTheme="minorEastAsia" w:cstheme="minorEastAsia"/>
                <w:color w:val="auto"/>
                <w:sz w:val="21"/>
                <w:szCs w:val="21"/>
                <w:highlight w:val="none"/>
              </w:rPr>
              <w:t>规格：</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18寸</w:t>
            </w:r>
            <w:r>
              <w:rPr>
                <w:rFonts w:hint="eastAsia" w:asciiTheme="minorEastAsia" w:hAnsiTheme="minorEastAsia" w:eastAsiaTheme="minorEastAsia" w:cstheme="minorEastAsia"/>
                <w:color w:val="auto"/>
                <w:sz w:val="21"/>
                <w:szCs w:val="21"/>
                <w:highlight w:val="none"/>
                <w:lang w:eastAsia="zh-CN"/>
              </w:rPr>
              <w:t>。</w:t>
            </w:r>
          </w:p>
          <w:p w14:paraId="021D322F">
            <w:pPr>
              <w:widowControl/>
              <w:spacing w:line="276" w:lineRule="auto"/>
              <w:textAlignment w:val="top"/>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4、双肩包主袋拉链为双向拉链，轻便，舒适，适合运动及平常穿着搭配，实用性强，背带可调节。</w:t>
            </w:r>
          </w:p>
          <w:p w14:paraId="6042F438">
            <w:pPr>
              <w:widowControl/>
              <w:spacing w:line="276" w:lineRule="auto"/>
              <w:textAlignment w:val="top"/>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5、拉链：无掉牙、无错牙、无损坏。</w:t>
            </w:r>
          </w:p>
          <w:p w14:paraId="5DFD5AB0">
            <w:pPr>
              <w:widowControl/>
              <w:spacing w:line="276" w:lineRule="auto"/>
              <w:textAlignment w:val="top"/>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6、包体无开裂；各部件无变形，无断裂、损坏，无开线；固定件、连接件无松动。</w:t>
            </w:r>
          </w:p>
        </w:tc>
        <w:tc>
          <w:tcPr>
            <w:tcW w:w="696" w:type="dxa"/>
            <w:tcBorders>
              <w:bottom w:val="single" w:color="auto" w:sz="4" w:space="0"/>
            </w:tcBorders>
            <w:shd w:val="clear" w:color="auto" w:fill="auto"/>
            <w:vAlign w:val="center"/>
          </w:tcPr>
          <w:p w14:paraId="45A712DE">
            <w:pPr>
              <w:widowControl/>
              <w:jc w:val="center"/>
              <w:textAlignment w:val="top"/>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1</w:t>
            </w:r>
          </w:p>
        </w:tc>
        <w:tc>
          <w:tcPr>
            <w:tcW w:w="717" w:type="dxa"/>
            <w:tcBorders>
              <w:bottom w:val="single" w:color="auto" w:sz="4" w:space="0"/>
            </w:tcBorders>
            <w:shd w:val="clear" w:color="auto" w:fill="auto"/>
            <w:vAlign w:val="center"/>
          </w:tcPr>
          <w:p w14:paraId="4B7CBF2B">
            <w:pPr>
              <w:widowControl/>
              <w:jc w:val="center"/>
              <w:textAlignment w:val="top"/>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个</w:t>
            </w:r>
          </w:p>
        </w:tc>
      </w:tr>
      <w:tr w14:paraId="44853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54A2B52E">
            <w:pPr>
              <w:widowControl/>
              <w:jc w:val="center"/>
              <w:textAlignment w:val="top"/>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13</w:t>
            </w:r>
          </w:p>
        </w:tc>
        <w:tc>
          <w:tcPr>
            <w:tcW w:w="1190" w:type="dxa"/>
            <w:tcBorders>
              <w:top w:val="single" w:color="auto" w:sz="4" w:space="0"/>
              <w:left w:val="single" w:color="auto" w:sz="4" w:space="0"/>
              <w:bottom w:val="single" w:color="auto" w:sz="4" w:space="0"/>
              <w:right w:val="single" w:color="auto" w:sz="4" w:space="0"/>
            </w:tcBorders>
            <w:shd w:val="clear" w:color="auto" w:fill="auto"/>
            <w:vAlign w:val="center"/>
          </w:tcPr>
          <w:p w14:paraId="5B628D4A">
            <w:pPr>
              <w:widowControl/>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拉杆箱</w:t>
            </w:r>
          </w:p>
        </w:tc>
        <w:tc>
          <w:tcPr>
            <w:tcW w:w="5492" w:type="dxa"/>
            <w:tcBorders>
              <w:top w:val="single" w:color="auto" w:sz="4" w:space="0"/>
              <w:left w:val="single" w:color="auto" w:sz="4" w:space="0"/>
              <w:bottom w:val="single" w:color="auto" w:sz="4" w:space="0"/>
              <w:right w:val="single" w:color="auto" w:sz="4" w:space="0"/>
            </w:tcBorders>
            <w:shd w:val="clear" w:color="auto" w:fill="auto"/>
            <w:vAlign w:val="center"/>
          </w:tcPr>
          <w:p w14:paraId="538032FF">
            <w:pPr>
              <w:widowControl/>
              <w:numPr>
                <w:ilvl w:val="0"/>
                <w:numId w:val="7"/>
              </w:numPr>
              <w:spacing w:line="276" w:lineRule="auto"/>
              <w:textAlignment w:val="top"/>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成分：外壳材质：100%聚丙烯PP材料。</w:t>
            </w:r>
          </w:p>
          <w:p w14:paraId="34FBE529">
            <w:pPr>
              <w:widowControl/>
              <w:numPr>
                <w:ilvl w:val="0"/>
                <w:numId w:val="7"/>
              </w:numPr>
              <w:spacing w:line="276" w:lineRule="auto"/>
              <w:textAlignment w:val="top"/>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规格：</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kern w:val="2"/>
                <w:sz w:val="21"/>
                <w:szCs w:val="21"/>
                <w:highlight w:val="none"/>
                <w:lang w:val="en-US" w:eastAsia="zh-CN" w:bidi="ar-SA"/>
              </w:rPr>
              <w:t>24寸。</w:t>
            </w:r>
          </w:p>
          <w:p w14:paraId="36BE4554">
            <w:pPr>
              <w:widowControl/>
              <w:numPr>
                <w:ilvl w:val="0"/>
                <w:numId w:val="7"/>
              </w:numPr>
              <w:spacing w:line="276" w:lineRule="auto"/>
              <w:textAlignment w:val="top"/>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功能性：防摔、抗压轴，耐用。</w:t>
            </w:r>
          </w:p>
          <w:p w14:paraId="3226B62E">
            <w:pPr>
              <w:widowControl/>
              <w:numPr>
                <w:ilvl w:val="0"/>
                <w:numId w:val="7"/>
              </w:numPr>
              <w:spacing w:line="276" w:lineRule="auto"/>
              <w:textAlignment w:val="top"/>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拉杆：全铝合金二节式拉杆；轮子：净音式万向轮。</w:t>
            </w:r>
          </w:p>
          <w:p w14:paraId="6B02A653">
            <w:pPr>
              <w:widowControl/>
              <w:numPr>
                <w:ilvl w:val="0"/>
                <w:numId w:val="7"/>
              </w:numPr>
              <w:spacing w:line="276" w:lineRule="auto"/>
              <w:textAlignment w:val="top"/>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拉链：尼龙拉链；。</w:t>
            </w:r>
          </w:p>
          <w:p w14:paraId="1829073B">
            <w:pPr>
              <w:widowControl/>
              <w:numPr>
                <w:ilvl w:val="0"/>
                <w:numId w:val="7"/>
              </w:numPr>
              <w:spacing w:line="276" w:lineRule="auto"/>
              <w:textAlignment w:val="top"/>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密码锁：TSA007海关密码锁。</w:t>
            </w:r>
          </w:p>
          <w:p w14:paraId="7F44631A">
            <w:pPr>
              <w:widowControl/>
              <w:numPr>
                <w:ilvl w:val="0"/>
                <w:numId w:val="7"/>
              </w:numPr>
              <w:spacing w:line="276" w:lineRule="auto"/>
              <w:textAlignment w:val="top"/>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内里布：150D特多龙内里。</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79811D24">
            <w:pPr>
              <w:widowControl/>
              <w:jc w:val="center"/>
              <w:textAlignment w:val="top"/>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1</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49C04736">
            <w:pPr>
              <w:widowControl/>
              <w:jc w:val="center"/>
              <w:textAlignment w:val="top"/>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个</w:t>
            </w:r>
          </w:p>
        </w:tc>
      </w:tr>
    </w:tbl>
    <w:p w14:paraId="42990CB7">
      <w:pPr>
        <w:numPr>
          <w:ilvl w:val="0"/>
          <w:numId w:val="0"/>
        </w:numPr>
        <w:snapToGrid w:val="0"/>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1.投标时须提供承诺书，保证在合同签订前提供所投品牌厂家授权书，以保证所投产品为厂家正品。</w:t>
      </w:r>
    </w:p>
    <w:p w14:paraId="11012908">
      <w:pPr>
        <w:numPr>
          <w:ilvl w:val="0"/>
          <w:numId w:val="0"/>
        </w:numPr>
        <w:snapToGrid w:val="0"/>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2.供应商如果中标必须无偿派专人至采购人指定地点进行量体工作，同时提供试衣号服，且承诺</w:t>
      </w:r>
    </w:p>
    <w:p w14:paraId="0954D6ED">
      <w:pPr>
        <w:numPr>
          <w:ilvl w:val="0"/>
          <w:numId w:val="0"/>
        </w:numPr>
        <w:snapToGrid w:val="0"/>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特体单量（须提供特体单量承诺书）。</w:t>
      </w:r>
    </w:p>
    <w:p w14:paraId="70AA148D">
      <w:pPr>
        <w:numPr>
          <w:ilvl w:val="0"/>
          <w:numId w:val="0"/>
        </w:numPr>
        <w:snapToGrid w:val="0"/>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3.尺码范围：根据采购人需求定制。</w:t>
      </w:r>
    </w:p>
    <w:p w14:paraId="5E677A90">
      <w:pPr>
        <w:numPr>
          <w:ilvl w:val="0"/>
          <w:numId w:val="0"/>
        </w:numPr>
        <w:snapToGrid w:val="0"/>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4.整体装备以白色红色为主，金色点缀，其他辅助颜色搭配合理。设计突出河南和体育元素特色，比如“He Nan”、“河南</w:t>
      </w:r>
      <w:r>
        <w:rPr>
          <w:rFonts w:hint="default"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。自身品牌标识不得出现在衣服正面背面等显著位置，数量≤1个，尺寸≤1cm×1cm。</w:t>
      </w:r>
    </w:p>
    <w:p w14:paraId="3149ED34">
      <w:pPr>
        <w:numPr>
          <w:ilvl w:val="0"/>
          <w:numId w:val="0"/>
        </w:numPr>
        <w:snapToGrid w:val="0"/>
        <w:spacing w:line="360" w:lineRule="auto"/>
        <w:rPr>
          <w:rFonts w:hint="default"/>
          <w:color w:val="auto"/>
          <w:highlight w:val="none"/>
          <w:lang w:val="en-US" w:eastAsia="zh-CN"/>
        </w:rPr>
      </w:pPr>
      <w:r>
        <w:rPr>
          <w:rFonts w:hint="eastAsia" w:ascii="宋体" w:hAnsi="宋体" w:eastAsia="宋体" w:cs="宋体"/>
          <w:b/>
          <w:bCs/>
          <w:color w:val="auto"/>
          <w:sz w:val="21"/>
          <w:szCs w:val="21"/>
          <w:highlight w:val="none"/>
          <w:lang w:val="en-US" w:eastAsia="zh-CN"/>
        </w:rPr>
        <w:t>5.供应商应充分考虑到比赛城市的天气原因，服装薄厚程度及材质符合当地4-11月气候。</w:t>
      </w:r>
    </w:p>
    <w:p w14:paraId="35B4304B">
      <w:pPr>
        <w:numPr>
          <w:ilvl w:val="0"/>
          <w:numId w:val="0"/>
        </w:numPr>
        <w:snapToGrid w:val="0"/>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5.产品颜色和款式成交后同等质量下可供调换。</w:t>
      </w:r>
    </w:p>
    <w:p w14:paraId="181C8565">
      <w:pPr>
        <w:numPr>
          <w:ilvl w:val="0"/>
          <w:numId w:val="0"/>
        </w:numPr>
        <w:snapToGrid w:val="0"/>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6.供应商须保证所投产品的技术参数及样品一致，如若不一致将视为无效响应。</w:t>
      </w:r>
    </w:p>
    <w:p w14:paraId="5248B904">
      <w:pPr>
        <w:pStyle w:val="2"/>
        <w:ind w:left="0" w:leftChars="0" w:firstLine="0" w:firstLineChars="0"/>
        <w:rPr>
          <w:rFonts w:hint="default"/>
          <w:highlight w:val="none"/>
          <w:lang w:val="en-US"/>
        </w:rPr>
      </w:pPr>
      <w:r>
        <w:rPr>
          <w:rFonts w:hint="eastAsia" w:ascii="宋体" w:hAnsi="宋体" w:eastAsia="宋体" w:cs="宋体"/>
          <w:b/>
          <w:bCs/>
          <w:color w:val="auto"/>
          <w:sz w:val="21"/>
          <w:szCs w:val="21"/>
          <w:highlight w:val="none"/>
          <w:lang w:val="en-US" w:eastAsia="zh-CN"/>
        </w:rPr>
        <w:t>7、为保证统一性，除拉杆箱外，其他产品须为同一品牌产品。</w:t>
      </w:r>
    </w:p>
    <w:p w14:paraId="44DD4497">
      <w:pPr>
        <w:numPr>
          <w:ilvl w:val="0"/>
          <w:numId w:val="0"/>
        </w:numPr>
        <w:snapToGrid w:val="0"/>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四、其他要求</w:t>
      </w:r>
    </w:p>
    <w:p w14:paraId="517BAD72">
      <w:pPr>
        <w:numPr>
          <w:ilvl w:val="0"/>
          <w:numId w:val="0"/>
        </w:numPr>
        <w:snapToGrid w:val="0"/>
        <w:spacing w:line="36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1.包装和发运</w:t>
      </w:r>
    </w:p>
    <w:p w14:paraId="405F18AF">
      <w:pPr>
        <w:numPr>
          <w:ilvl w:val="0"/>
          <w:numId w:val="0"/>
        </w:numPr>
        <w:snapToGrid w:val="0"/>
        <w:spacing w:line="36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（1）货物的包装和发运须符合货物特性要求；</w:t>
      </w:r>
    </w:p>
    <w:p w14:paraId="7AFB01B2">
      <w:pPr>
        <w:numPr>
          <w:ilvl w:val="0"/>
          <w:numId w:val="0"/>
        </w:numPr>
        <w:snapToGrid w:val="0"/>
        <w:spacing w:line="36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（2）为了保证货物在长途运输和装卸过程中的安全，货物包装应符合国家或行业标准规定。由于包装不善导致货物锈蚀、缺失或损坏，由中标人承担一切责任。</w:t>
      </w:r>
    </w:p>
    <w:p w14:paraId="40268DE2">
      <w:pPr>
        <w:numPr>
          <w:ilvl w:val="0"/>
          <w:numId w:val="0"/>
        </w:numPr>
        <w:snapToGrid w:val="0"/>
        <w:spacing w:line="36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2.成交人供货时需提交该批次服装的检测报告，检测结果为合格。若未提供，采购人有权取消其中标资格，追回首付款及撤销合同，同时重新开展采购活动。</w:t>
      </w:r>
    </w:p>
    <w:p w14:paraId="33F9D7F5">
      <w:pPr>
        <w:numPr>
          <w:ilvl w:val="0"/>
          <w:numId w:val="0"/>
        </w:numPr>
        <w:snapToGrid w:val="0"/>
        <w:spacing w:line="36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3.履约验收：</w:t>
      </w:r>
    </w:p>
    <w:p w14:paraId="47AA56FB">
      <w:pPr>
        <w:numPr>
          <w:ilvl w:val="0"/>
          <w:numId w:val="0"/>
        </w:numPr>
        <w:snapToGrid w:val="0"/>
        <w:spacing w:line="36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（1）采购人依据国家有关规定、磋商文件、成交人响应文件以及合同约定的内容和验收标准进行验收，验收结果作为支付货款的依据。</w:t>
      </w:r>
    </w:p>
    <w:p w14:paraId="0E0F7FAA">
      <w:pPr>
        <w:numPr>
          <w:ilvl w:val="0"/>
          <w:numId w:val="0"/>
        </w:numPr>
        <w:snapToGrid w:val="0"/>
        <w:spacing w:line="360" w:lineRule="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（2）验收时采购人有权随机抽取样衣，再次送到相关质量监督检验中心进行检测，检测费用由成交人承担，如发现检测数据不一致，视为成交人有欺骗嫌疑，将撤销合同并追究由此而给采购方造成的一切损失。</w:t>
      </w:r>
    </w:p>
    <w:p w14:paraId="4F3CDE33">
      <w:pP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612A366E">
      <w:pPr>
        <w:jc w:val="center"/>
        <w:outlineLvl w:val="0"/>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第四章  合同协议书（格式）</w:t>
      </w:r>
      <w:bookmarkEnd w:id="96"/>
    </w:p>
    <w:p w14:paraId="78FD139C">
      <w:pP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合同编号：</w:t>
      </w:r>
      <w:r>
        <w:rPr>
          <w:rFonts w:hint="eastAsia" w:ascii="宋体" w:hAnsi="宋体" w:eastAsia="宋体" w:cs="宋体"/>
          <w:color w:val="auto"/>
          <w:sz w:val="21"/>
          <w:szCs w:val="21"/>
          <w:highlight w:val="none"/>
          <w:u w:val="single"/>
        </w:rPr>
        <w:t xml:space="preserve">           </w:t>
      </w:r>
    </w:p>
    <w:p w14:paraId="0516B830">
      <w:pPr>
        <w:spacing w:line="480" w:lineRule="auto"/>
        <w:jc w:val="center"/>
        <w:rPr>
          <w:rFonts w:hint="eastAsia" w:ascii="宋体" w:hAnsi="宋体" w:eastAsia="宋体" w:cs="宋体"/>
          <w:b/>
          <w:color w:val="auto"/>
          <w:sz w:val="21"/>
          <w:szCs w:val="21"/>
          <w:highlight w:val="none"/>
        </w:rPr>
      </w:pPr>
    </w:p>
    <w:p w14:paraId="16E8A466">
      <w:pPr>
        <w:spacing w:line="480" w:lineRule="auto"/>
        <w:jc w:val="center"/>
        <w:rPr>
          <w:rFonts w:hint="eastAsia" w:ascii="宋体" w:hAnsi="宋体" w:eastAsia="宋体" w:cs="宋体"/>
          <w:b/>
          <w:color w:val="auto"/>
          <w:sz w:val="21"/>
          <w:szCs w:val="21"/>
          <w:highlight w:val="none"/>
        </w:rPr>
      </w:pPr>
    </w:p>
    <w:p w14:paraId="7261D662">
      <w:pPr>
        <w:spacing w:line="480" w:lineRule="auto"/>
        <w:jc w:val="center"/>
        <w:rPr>
          <w:rFonts w:hint="eastAsia" w:ascii="宋体" w:hAnsi="宋体" w:eastAsia="宋体" w:cs="宋体"/>
          <w:b/>
          <w:color w:val="auto"/>
          <w:sz w:val="21"/>
          <w:szCs w:val="21"/>
          <w:highlight w:val="none"/>
        </w:rPr>
      </w:pPr>
    </w:p>
    <w:p w14:paraId="365361C1">
      <w:pPr>
        <w:spacing w:line="48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政府采购合同参考范本</w:t>
      </w:r>
    </w:p>
    <w:p w14:paraId="6A003CF0">
      <w:pPr>
        <w:spacing w:line="48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（货物类）</w:t>
      </w:r>
    </w:p>
    <w:p w14:paraId="106A52C7">
      <w:pPr>
        <w:pStyle w:val="50"/>
        <w:ind w:firstLine="0"/>
        <w:rPr>
          <w:rFonts w:hint="eastAsia" w:ascii="宋体" w:hAnsi="宋体" w:eastAsia="宋体" w:cs="宋体"/>
          <w:color w:val="auto"/>
          <w:sz w:val="21"/>
          <w:szCs w:val="21"/>
          <w:highlight w:val="none"/>
        </w:rPr>
      </w:pPr>
    </w:p>
    <w:p w14:paraId="2B22DF44">
      <w:pPr>
        <w:pStyle w:val="50"/>
        <w:ind w:firstLine="0"/>
        <w:rPr>
          <w:rFonts w:hint="eastAsia" w:ascii="宋体" w:hAnsi="宋体" w:eastAsia="宋体" w:cs="宋体"/>
          <w:color w:val="auto"/>
          <w:sz w:val="21"/>
          <w:szCs w:val="21"/>
          <w:highlight w:val="none"/>
        </w:rPr>
      </w:pPr>
    </w:p>
    <w:p w14:paraId="389E8683">
      <w:pPr>
        <w:pStyle w:val="50"/>
        <w:ind w:firstLine="0"/>
        <w:rPr>
          <w:rFonts w:hint="eastAsia" w:ascii="宋体" w:hAnsi="宋体" w:eastAsia="宋体" w:cs="宋体"/>
          <w:color w:val="auto"/>
          <w:sz w:val="21"/>
          <w:szCs w:val="21"/>
          <w:highlight w:val="none"/>
        </w:rPr>
      </w:pPr>
    </w:p>
    <w:p w14:paraId="74B24AF4">
      <w:pPr>
        <w:pStyle w:val="50"/>
        <w:ind w:firstLine="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第一部分 合同书</w:t>
      </w:r>
    </w:p>
    <w:p w14:paraId="51FC1E67">
      <w:pPr>
        <w:pStyle w:val="50"/>
        <w:ind w:firstLine="0"/>
        <w:rPr>
          <w:rFonts w:hint="eastAsia" w:ascii="宋体" w:hAnsi="宋体" w:eastAsia="宋体" w:cs="宋体"/>
          <w:color w:val="auto"/>
          <w:sz w:val="21"/>
          <w:szCs w:val="21"/>
          <w:highlight w:val="none"/>
        </w:rPr>
      </w:pPr>
    </w:p>
    <w:p w14:paraId="2E54ABCD">
      <w:pPr>
        <w:pStyle w:val="50"/>
        <w:ind w:firstLine="0"/>
        <w:rPr>
          <w:rFonts w:hint="eastAsia" w:ascii="宋体" w:hAnsi="宋体" w:eastAsia="宋体" w:cs="宋体"/>
          <w:color w:val="auto"/>
          <w:sz w:val="21"/>
          <w:szCs w:val="21"/>
          <w:highlight w:val="none"/>
        </w:rPr>
      </w:pPr>
    </w:p>
    <w:p w14:paraId="19F08904">
      <w:pPr>
        <w:spacing w:before="120" w:line="22" w:lineRule="atLeast"/>
        <w:rPr>
          <w:rFonts w:hint="eastAsia" w:ascii="宋体" w:hAnsi="宋体" w:eastAsia="宋体" w:cs="宋体"/>
          <w:color w:val="auto"/>
          <w:sz w:val="21"/>
          <w:szCs w:val="21"/>
          <w:highlight w:val="none"/>
        </w:rPr>
      </w:pPr>
    </w:p>
    <w:p w14:paraId="61CDD47C">
      <w:pPr>
        <w:spacing w:before="120" w:line="22" w:lineRule="atLeast"/>
        <w:ind w:left="9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p>
    <w:p w14:paraId="075FD6C6">
      <w:pPr>
        <w:pStyle w:val="51"/>
        <w:spacing w:before="120" w:line="22" w:lineRule="atLeast"/>
        <w:rPr>
          <w:rFonts w:hint="eastAsia" w:ascii="宋体" w:hAnsi="宋体" w:eastAsia="宋体" w:cs="宋体"/>
          <w:color w:val="auto"/>
          <w:sz w:val="21"/>
          <w:szCs w:val="21"/>
          <w:highlight w:val="none"/>
        </w:rPr>
      </w:pPr>
    </w:p>
    <w:p w14:paraId="55A45FA5">
      <w:pPr>
        <w:pStyle w:val="51"/>
        <w:spacing w:before="120" w:line="22" w:lineRule="atLeast"/>
        <w:rPr>
          <w:rFonts w:hint="eastAsia" w:ascii="宋体" w:hAnsi="宋体" w:eastAsia="宋体" w:cs="宋体"/>
          <w:color w:val="auto"/>
          <w:sz w:val="21"/>
          <w:szCs w:val="21"/>
          <w:highlight w:val="none"/>
        </w:rPr>
      </w:pPr>
    </w:p>
    <w:p w14:paraId="79D01D7F">
      <w:pPr>
        <w:rPr>
          <w:rFonts w:hint="eastAsia" w:ascii="宋体" w:hAnsi="宋体" w:eastAsia="宋体" w:cs="宋体"/>
          <w:color w:val="auto"/>
          <w:sz w:val="21"/>
          <w:szCs w:val="21"/>
          <w:highlight w:val="none"/>
        </w:rPr>
      </w:pPr>
    </w:p>
    <w:p w14:paraId="690FA7AC">
      <w:pPr>
        <w:spacing w:before="120" w:line="22" w:lineRule="atLeast"/>
        <w:ind w:left="96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河南省体育局             </w:t>
      </w:r>
    </w:p>
    <w:p w14:paraId="4387F41B">
      <w:pPr>
        <w:spacing w:before="120" w:line="22" w:lineRule="atLeast"/>
        <w:rPr>
          <w:rFonts w:hint="eastAsia" w:ascii="宋体" w:hAnsi="宋体" w:eastAsia="宋体" w:cs="宋体"/>
          <w:color w:val="auto"/>
          <w:sz w:val="21"/>
          <w:szCs w:val="21"/>
          <w:highlight w:val="none"/>
        </w:rPr>
      </w:pPr>
    </w:p>
    <w:p w14:paraId="10FE04FF">
      <w:pPr>
        <w:spacing w:before="120" w:line="22" w:lineRule="atLeast"/>
        <w:ind w:left="96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u w:val="single"/>
        </w:rPr>
        <w:t xml:space="preserve">                                       </w:t>
      </w:r>
    </w:p>
    <w:p w14:paraId="61875C5D">
      <w:pPr>
        <w:spacing w:before="120" w:line="22" w:lineRule="atLeast"/>
        <w:rPr>
          <w:rFonts w:hint="eastAsia" w:ascii="宋体" w:hAnsi="宋体" w:eastAsia="宋体" w:cs="宋体"/>
          <w:color w:val="auto"/>
          <w:sz w:val="21"/>
          <w:szCs w:val="21"/>
          <w:highlight w:val="none"/>
        </w:rPr>
      </w:pPr>
    </w:p>
    <w:p w14:paraId="10360498">
      <w:pPr>
        <w:spacing w:before="120" w:line="22" w:lineRule="atLeast"/>
        <w:ind w:firstLine="840" w:firstLineChars="4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签订地：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河南省体育局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12D1AB9C">
      <w:pPr>
        <w:spacing w:before="120" w:line="22" w:lineRule="atLeast"/>
        <w:rPr>
          <w:rFonts w:hint="eastAsia" w:ascii="宋体" w:hAnsi="宋体" w:eastAsia="宋体" w:cs="宋体"/>
          <w:color w:val="auto"/>
          <w:sz w:val="21"/>
          <w:szCs w:val="21"/>
          <w:highlight w:val="none"/>
        </w:rPr>
      </w:pPr>
    </w:p>
    <w:p w14:paraId="5FAEC772">
      <w:pPr>
        <w:spacing w:before="120" w:line="22" w:lineRule="atLeast"/>
        <w:ind w:firstLine="840" w:firstLineChars="4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签订日期：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2271C805">
      <w:pPr>
        <w:autoSpaceDE w:val="0"/>
        <w:autoSpaceDN w:val="0"/>
        <w:adjustRightInd w:val="0"/>
        <w:spacing w:line="600" w:lineRule="exact"/>
        <w:ind w:firstLine="640"/>
        <w:jc w:val="center"/>
        <w:rPr>
          <w:rFonts w:hint="eastAsia" w:ascii="宋体" w:hAnsi="宋体" w:eastAsia="宋体" w:cs="宋体"/>
          <w:color w:val="auto"/>
          <w:sz w:val="21"/>
          <w:szCs w:val="21"/>
          <w:highlight w:val="none"/>
        </w:rPr>
        <w:sectPr>
          <w:footerReference r:id="rId7" w:type="default"/>
          <w:pgSz w:w="11907" w:h="16840"/>
          <w:pgMar w:top="1474" w:right="1417" w:bottom="1474" w:left="1417" w:header="851" w:footer="851" w:gutter="0"/>
          <w:pgNumType w:fmt="decimal" w:start="1"/>
          <w:cols w:space="720" w:num="1"/>
          <w:docGrid w:linePitch="462" w:charSpace="0"/>
        </w:sectPr>
      </w:pPr>
    </w:p>
    <w:p w14:paraId="19BF9188">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lang w:val="en-US" w:eastAsia="zh-CN"/>
        </w:rPr>
        <w:t>2025</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年</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月</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日</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河南省体育局 </w:t>
      </w:r>
      <w:r>
        <w:rPr>
          <w:rFonts w:hint="eastAsia" w:ascii="宋体" w:hAnsi="宋体" w:eastAsia="宋体" w:cs="宋体"/>
          <w:color w:val="auto"/>
          <w:sz w:val="21"/>
          <w:szCs w:val="21"/>
          <w:highlight w:val="none"/>
        </w:rPr>
        <w:t>以</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竞争性磋商采购方式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u w:val="single"/>
        </w:rPr>
        <w:t xml:space="preserve">  （同前页项目名称）   </w:t>
      </w:r>
      <w:r>
        <w:rPr>
          <w:rFonts w:hint="eastAsia" w:ascii="宋体" w:hAnsi="宋体" w:eastAsia="宋体" w:cs="宋体"/>
          <w:color w:val="auto"/>
          <w:sz w:val="21"/>
          <w:szCs w:val="21"/>
          <w:highlight w:val="none"/>
        </w:rPr>
        <w:t>项目进行了采购。经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磋商小组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评定，</w:t>
      </w:r>
      <w:r>
        <w:rPr>
          <w:rFonts w:hint="eastAsia" w:ascii="宋体" w:hAnsi="宋体" w:eastAsia="宋体" w:cs="宋体"/>
          <w:color w:val="auto"/>
          <w:sz w:val="21"/>
          <w:szCs w:val="21"/>
          <w:highlight w:val="none"/>
          <w:u w:val="single"/>
        </w:rPr>
        <w:t xml:space="preserve">   （中标供应商名称）</w:t>
      </w:r>
      <w:r>
        <w:rPr>
          <w:rFonts w:hint="eastAsia" w:ascii="宋体" w:hAnsi="宋体" w:eastAsia="宋体" w:cs="宋体"/>
          <w:color w:val="auto"/>
          <w:sz w:val="21"/>
          <w:szCs w:val="21"/>
          <w:highlight w:val="none"/>
        </w:rPr>
        <w:t>为该项目中标供应商。现于中标通知书发出之日起</w:t>
      </w:r>
      <w:r>
        <w:rPr>
          <w:rFonts w:hint="eastAsia" w:ascii="宋体" w:hAnsi="宋体" w:eastAsia="宋体" w:cs="宋体"/>
          <w:color w:val="auto"/>
          <w:sz w:val="21"/>
          <w:szCs w:val="21"/>
          <w:highlight w:val="none"/>
          <w:lang w:val="en-US" w:eastAsia="zh-CN"/>
        </w:rPr>
        <w:t>2个工作</w:t>
      </w:r>
      <w:r>
        <w:rPr>
          <w:rFonts w:hint="eastAsia" w:ascii="宋体" w:hAnsi="宋体" w:eastAsia="宋体" w:cs="宋体"/>
          <w:color w:val="auto"/>
          <w:sz w:val="21"/>
          <w:szCs w:val="21"/>
          <w:highlight w:val="none"/>
        </w:rPr>
        <w:t>日内，按照采购文件确定的事项签订本合同。</w:t>
      </w:r>
    </w:p>
    <w:p w14:paraId="6F01A14F">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根据《中华人民共和国合同法》、《中华人民共和国政府采购法》等相关法律法规之规定，按照平等、自愿、公平和诚实信用的原则，经</w:t>
      </w:r>
      <w:r>
        <w:rPr>
          <w:rFonts w:hint="eastAsia" w:ascii="宋体" w:hAnsi="宋体" w:eastAsia="宋体" w:cs="宋体"/>
          <w:color w:val="auto"/>
          <w:sz w:val="21"/>
          <w:szCs w:val="21"/>
          <w:highlight w:val="none"/>
          <w:u w:val="single"/>
        </w:rPr>
        <w:t xml:space="preserve"> 河南省体育局 </w:t>
      </w:r>
      <w:r>
        <w:rPr>
          <w:rFonts w:hint="eastAsia" w:ascii="宋体" w:hAnsi="宋体" w:eastAsia="宋体" w:cs="宋体"/>
          <w:color w:val="auto"/>
          <w:sz w:val="21"/>
          <w:szCs w:val="21"/>
          <w:highlight w:val="none"/>
          <w:lang w:val="zh-CN"/>
        </w:rPr>
        <w:t>(以下简称：甲方)和</w:t>
      </w:r>
      <w:r>
        <w:rPr>
          <w:rFonts w:hint="eastAsia" w:ascii="宋体" w:hAnsi="宋体" w:eastAsia="宋体" w:cs="宋体"/>
          <w:color w:val="auto"/>
          <w:sz w:val="21"/>
          <w:szCs w:val="21"/>
          <w:highlight w:val="none"/>
          <w:u w:val="single"/>
        </w:rPr>
        <w:t xml:space="preserve">   （中标供应商名称）   </w:t>
      </w:r>
      <w:r>
        <w:rPr>
          <w:rFonts w:hint="eastAsia" w:ascii="宋体" w:hAnsi="宋体" w:eastAsia="宋体" w:cs="宋体"/>
          <w:color w:val="auto"/>
          <w:sz w:val="21"/>
          <w:szCs w:val="21"/>
          <w:highlight w:val="none"/>
          <w:lang w:val="zh-CN"/>
        </w:rPr>
        <w:t>(以下简称：乙方)协商一致，约定以下合同</w:t>
      </w:r>
      <w:r>
        <w:rPr>
          <w:rFonts w:hint="eastAsia" w:ascii="宋体" w:hAnsi="宋体" w:eastAsia="宋体" w:cs="宋体"/>
          <w:color w:val="auto"/>
          <w:sz w:val="21"/>
          <w:szCs w:val="21"/>
          <w:highlight w:val="none"/>
        </w:rPr>
        <w:t>条款，以兹共同遵守、全面履行。</w:t>
      </w:r>
    </w:p>
    <w:p w14:paraId="3D6183BD">
      <w:pPr>
        <w:spacing w:line="560" w:lineRule="exact"/>
        <w:ind w:firstLine="422" w:firstLineChars="200"/>
        <w:outlineLvl w:val="9"/>
        <w:rPr>
          <w:rFonts w:hint="eastAsia" w:ascii="宋体" w:hAnsi="宋体" w:eastAsia="宋体" w:cs="宋体"/>
          <w:b/>
          <w:color w:val="auto"/>
          <w:sz w:val="21"/>
          <w:szCs w:val="21"/>
          <w:highlight w:val="none"/>
        </w:rPr>
      </w:pPr>
      <w:bookmarkStart w:id="97" w:name="_Toc3029"/>
      <w:bookmarkStart w:id="98" w:name="_Toc24059"/>
      <w:bookmarkStart w:id="99" w:name="_Toc2232"/>
      <w:r>
        <w:rPr>
          <w:rFonts w:hint="eastAsia" w:ascii="宋体" w:hAnsi="宋体" w:eastAsia="宋体" w:cs="宋体"/>
          <w:b/>
          <w:color w:val="auto"/>
          <w:sz w:val="21"/>
          <w:szCs w:val="21"/>
          <w:highlight w:val="none"/>
        </w:rPr>
        <w:t>1.1 合同组成部分</w:t>
      </w:r>
      <w:bookmarkEnd w:id="97"/>
      <w:bookmarkEnd w:id="98"/>
      <w:bookmarkEnd w:id="99"/>
    </w:p>
    <w:p w14:paraId="35B63140">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1191FB2D">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本合同及其补充合同、变更协议；</w:t>
      </w:r>
    </w:p>
    <w:p w14:paraId="7CF8BE8A">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 中标通知书；</w:t>
      </w:r>
    </w:p>
    <w:p w14:paraId="22CEF62B">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投标文件（含澄清或者说明文件）；</w:t>
      </w:r>
    </w:p>
    <w:p w14:paraId="0013229C">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 招标文件（含澄清或者修改文件）；</w:t>
      </w:r>
    </w:p>
    <w:p w14:paraId="4943418E">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 其他相关采购文件。</w:t>
      </w:r>
    </w:p>
    <w:p w14:paraId="7280215E">
      <w:pPr>
        <w:spacing w:line="560" w:lineRule="exact"/>
        <w:ind w:firstLine="422" w:firstLineChars="200"/>
        <w:outlineLvl w:val="9"/>
        <w:rPr>
          <w:rFonts w:hint="eastAsia" w:ascii="宋体" w:hAnsi="宋体" w:eastAsia="宋体" w:cs="宋体"/>
          <w:b/>
          <w:color w:val="auto"/>
          <w:sz w:val="21"/>
          <w:szCs w:val="21"/>
          <w:highlight w:val="none"/>
        </w:rPr>
      </w:pPr>
      <w:bookmarkStart w:id="100" w:name="_Toc27126"/>
      <w:bookmarkStart w:id="101" w:name="_Toc24300"/>
      <w:bookmarkStart w:id="102" w:name="_Toc21295"/>
      <w:r>
        <w:rPr>
          <w:rFonts w:hint="eastAsia" w:ascii="宋体" w:hAnsi="宋体" w:eastAsia="宋体" w:cs="宋体"/>
          <w:b/>
          <w:color w:val="auto"/>
          <w:sz w:val="21"/>
          <w:szCs w:val="21"/>
          <w:highlight w:val="none"/>
        </w:rPr>
        <w:t>1.2 货物</w:t>
      </w:r>
      <w:bookmarkEnd w:id="100"/>
      <w:bookmarkEnd w:id="101"/>
      <w:bookmarkEnd w:id="102"/>
    </w:p>
    <w:p w14:paraId="3DB7B375">
      <w:pPr>
        <w:spacing w:line="5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1.2.1 货物名称</w:t>
      </w:r>
      <w:r>
        <w:rPr>
          <w:rFonts w:hint="eastAsia" w:ascii="宋体" w:hAnsi="宋体" w:eastAsia="宋体" w:cs="宋体"/>
          <w:color w:val="auto"/>
          <w:sz w:val="21"/>
          <w:szCs w:val="21"/>
          <w:highlight w:val="none"/>
          <w:lang w:val="en-US" w:eastAsia="zh-CN"/>
        </w:rPr>
        <w:t>及数量</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风衣1</w:t>
      </w:r>
      <w:r>
        <w:rPr>
          <w:rFonts w:hint="eastAsia" w:ascii="宋体" w:hAnsi="宋体" w:eastAsia="宋体" w:cs="宋体"/>
          <w:color w:val="auto"/>
          <w:sz w:val="21"/>
          <w:szCs w:val="21"/>
          <w:highlight w:val="none"/>
          <w:u w:val="single"/>
          <w:lang w:val="en-US" w:eastAsia="zh-CN"/>
        </w:rPr>
        <w:t>件</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、防晒衣1件、</w:t>
      </w:r>
      <w:r>
        <w:rPr>
          <w:rFonts w:hint="eastAsia" w:ascii="宋体" w:hAnsi="宋体" w:eastAsia="宋体" w:cs="宋体"/>
          <w:color w:val="auto"/>
          <w:sz w:val="21"/>
          <w:szCs w:val="21"/>
          <w:highlight w:val="none"/>
          <w:u w:val="single"/>
          <w:lang w:eastAsia="zh-CN"/>
        </w:rPr>
        <w:t>领奖服1</w:t>
      </w:r>
      <w:r>
        <w:rPr>
          <w:rFonts w:hint="eastAsia" w:ascii="宋体" w:hAnsi="宋体" w:eastAsia="宋体" w:cs="宋体"/>
          <w:color w:val="auto"/>
          <w:sz w:val="21"/>
          <w:szCs w:val="21"/>
          <w:highlight w:val="none"/>
          <w:u w:val="single"/>
          <w:lang w:val="en-US" w:eastAsia="zh-CN"/>
        </w:rPr>
        <w:t>套</w:t>
      </w:r>
      <w:r>
        <w:rPr>
          <w:rFonts w:hint="eastAsia" w:ascii="宋体" w:hAnsi="宋体" w:eastAsia="宋体" w:cs="宋体"/>
          <w:color w:val="auto"/>
          <w:sz w:val="21"/>
          <w:szCs w:val="21"/>
          <w:highlight w:val="none"/>
          <w:u w:val="single"/>
          <w:lang w:eastAsia="zh-CN"/>
        </w:rPr>
        <w:t>、翻领短袖T恤</w:t>
      </w:r>
      <w:r>
        <w:rPr>
          <w:rFonts w:hint="eastAsia" w:ascii="宋体" w:hAnsi="宋体" w:eastAsia="宋体" w:cs="宋体"/>
          <w:color w:val="auto"/>
          <w:sz w:val="21"/>
          <w:szCs w:val="21"/>
          <w:highlight w:val="none"/>
          <w:u w:val="single"/>
          <w:lang w:val="en-US" w:eastAsia="zh-CN"/>
        </w:rPr>
        <w:t>1件</w:t>
      </w:r>
      <w:r>
        <w:rPr>
          <w:rFonts w:hint="eastAsia" w:ascii="宋体" w:hAnsi="宋体" w:eastAsia="宋体" w:cs="宋体"/>
          <w:color w:val="auto"/>
          <w:sz w:val="21"/>
          <w:szCs w:val="21"/>
          <w:highlight w:val="none"/>
          <w:u w:val="single"/>
          <w:lang w:eastAsia="zh-CN"/>
        </w:rPr>
        <w:t>、圆领短袖T恤</w:t>
      </w:r>
      <w:r>
        <w:rPr>
          <w:rFonts w:hint="eastAsia" w:ascii="宋体" w:hAnsi="宋体" w:eastAsia="宋体" w:cs="宋体"/>
          <w:color w:val="auto"/>
          <w:sz w:val="21"/>
          <w:szCs w:val="21"/>
          <w:highlight w:val="none"/>
          <w:u w:val="single"/>
          <w:lang w:val="en-US" w:eastAsia="zh-CN"/>
        </w:rPr>
        <w:t>1条</w:t>
      </w:r>
      <w:r>
        <w:rPr>
          <w:rFonts w:hint="eastAsia" w:ascii="宋体" w:hAnsi="宋体" w:eastAsia="宋体" w:cs="宋体"/>
          <w:color w:val="auto"/>
          <w:sz w:val="21"/>
          <w:szCs w:val="21"/>
          <w:highlight w:val="none"/>
          <w:u w:val="single"/>
          <w:lang w:eastAsia="zh-CN"/>
        </w:rPr>
        <w:t>、运动短裤</w:t>
      </w:r>
      <w:r>
        <w:rPr>
          <w:rFonts w:hint="eastAsia" w:ascii="宋体" w:hAnsi="宋体" w:eastAsia="宋体" w:cs="宋体"/>
          <w:color w:val="auto"/>
          <w:sz w:val="21"/>
          <w:szCs w:val="21"/>
          <w:highlight w:val="none"/>
          <w:u w:val="single"/>
          <w:lang w:val="en-US" w:eastAsia="zh-CN"/>
        </w:rPr>
        <w:t>2条</w:t>
      </w:r>
      <w:r>
        <w:rPr>
          <w:rFonts w:hint="eastAsia" w:ascii="宋体" w:hAnsi="宋体" w:eastAsia="宋体" w:cs="宋体"/>
          <w:color w:val="auto"/>
          <w:sz w:val="21"/>
          <w:szCs w:val="21"/>
          <w:highlight w:val="none"/>
          <w:u w:val="single"/>
          <w:lang w:eastAsia="zh-CN"/>
        </w:rPr>
        <w:t>、运动鞋1</w:t>
      </w:r>
      <w:r>
        <w:rPr>
          <w:rFonts w:hint="eastAsia" w:ascii="宋体" w:hAnsi="宋体" w:eastAsia="宋体" w:cs="宋体"/>
          <w:color w:val="auto"/>
          <w:sz w:val="21"/>
          <w:szCs w:val="21"/>
          <w:highlight w:val="none"/>
          <w:u w:val="single"/>
          <w:lang w:val="en-US" w:eastAsia="zh-CN"/>
        </w:rPr>
        <w:t>双</w:t>
      </w:r>
      <w:r>
        <w:rPr>
          <w:rFonts w:hint="eastAsia" w:ascii="宋体" w:hAnsi="宋体" w:eastAsia="宋体" w:cs="宋体"/>
          <w:color w:val="auto"/>
          <w:sz w:val="21"/>
          <w:szCs w:val="21"/>
          <w:highlight w:val="none"/>
          <w:u w:val="single"/>
          <w:lang w:eastAsia="zh-CN"/>
        </w:rPr>
        <w:t>、运动袜2</w:t>
      </w:r>
      <w:r>
        <w:rPr>
          <w:rFonts w:hint="eastAsia" w:ascii="宋体" w:hAnsi="宋体" w:eastAsia="宋体" w:cs="宋体"/>
          <w:color w:val="auto"/>
          <w:sz w:val="21"/>
          <w:szCs w:val="21"/>
          <w:highlight w:val="none"/>
          <w:u w:val="single"/>
          <w:lang w:val="en-US" w:eastAsia="zh-CN"/>
        </w:rPr>
        <w:t>双</w:t>
      </w:r>
      <w:r>
        <w:rPr>
          <w:rFonts w:hint="eastAsia" w:ascii="宋体" w:hAnsi="宋体" w:eastAsia="宋体" w:cs="宋体"/>
          <w:color w:val="auto"/>
          <w:sz w:val="21"/>
          <w:szCs w:val="21"/>
          <w:highlight w:val="none"/>
          <w:u w:val="single"/>
          <w:lang w:eastAsia="zh-CN"/>
        </w:rPr>
        <w:t>、拖鞋1</w:t>
      </w:r>
      <w:r>
        <w:rPr>
          <w:rFonts w:hint="eastAsia" w:ascii="宋体" w:hAnsi="宋体" w:eastAsia="宋体" w:cs="宋体"/>
          <w:color w:val="auto"/>
          <w:sz w:val="21"/>
          <w:szCs w:val="21"/>
          <w:highlight w:val="none"/>
          <w:u w:val="single"/>
          <w:lang w:val="en-US" w:eastAsia="zh-CN"/>
        </w:rPr>
        <w:t>双</w:t>
      </w:r>
      <w:r>
        <w:rPr>
          <w:rFonts w:hint="eastAsia" w:ascii="宋体" w:hAnsi="宋体" w:eastAsia="宋体" w:cs="宋体"/>
          <w:color w:val="auto"/>
          <w:sz w:val="21"/>
          <w:szCs w:val="21"/>
          <w:highlight w:val="none"/>
          <w:u w:val="single"/>
          <w:lang w:eastAsia="zh-CN"/>
        </w:rPr>
        <w:t>、运动帽1</w:t>
      </w:r>
      <w:r>
        <w:rPr>
          <w:rFonts w:hint="eastAsia" w:ascii="宋体" w:hAnsi="宋体" w:eastAsia="宋体" w:cs="宋体"/>
          <w:color w:val="auto"/>
          <w:sz w:val="21"/>
          <w:szCs w:val="21"/>
          <w:highlight w:val="none"/>
          <w:u w:val="single"/>
          <w:lang w:val="en-US" w:eastAsia="zh-CN"/>
        </w:rPr>
        <w:t>顶</w:t>
      </w:r>
      <w:r>
        <w:rPr>
          <w:rFonts w:hint="eastAsia" w:ascii="宋体" w:hAnsi="宋体" w:eastAsia="宋体" w:cs="宋体"/>
          <w:color w:val="auto"/>
          <w:sz w:val="21"/>
          <w:szCs w:val="21"/>
          <w:highlight w:val="none"/>
          <w:u w:val="single"/>
          <w:lang w:eastAsia="zh-CN"/>
        </w:rPr>
        <w:t>、斜挎包1</w:t>
      </w:r>
      <w:r>
        <w:rPr>
          <w:rFonts w:hint="eastAsia" w:ascii="宋体" w:hAnsi="宋体" w:eastAsia="宋体" w:cs="宋体"/>
          <w:color w:val="auto"/>
          <w:sz w:val="21"/>
          <w:szCs w:val="21"/>
          <w:highlight w:val="none"/>
          <w:u w:val="single"/>
          <w:lang w:val="en-US" w:eastAsia="zh-CN"/>
        </w:rPr>
        <w:t>个</w:t>
      </w:r>
      <w:r>
        <w:rPr>
          <w:rFonts w:hint="eastAsia" w:ascii="宋体" w:hAnsi="宋体" w:eastAsia="宋体" w:cs="宋体"/>
          <w:color w:val="auto"/>
          <w:sz w:val="21"/>
          <w:szCs w:val="21"/>
          <w:highlight w:val="none"/>
          <w:u w:val="single"/>
          <w:lang w:eastAsia="zh-CN"/>
        </w:rPr>
        <w:t>、双肩背包1</w:t>
      </w:r>
      <w:r>
        <w:rPr>
          <w:rFonts w:hint="eastAsia" w:ascii="宋体" w:hAnsi="宋体" w:eastAsia="宋体" w:cs="宋体"/>
          <w:color w:val="auto"/>
          <w:sz w:val="21"/>
          <w:szCs w:val="21"/>
          <w:highlight w:val="none"/>
          <w:u w:val="single"/>
          <w:lang w:val="en-US" w:eastAsia="zh-CN"/>
        </w:rPr>
        <w:t>个</w:t>
      </w:r>
      <w:r>
        <w:rPr>
          <w:rFonts w:hint="eastAsia" w:ascii="宋体" w:hAnsi="宋体" w:eastAsia="宋体" w:cs="宋体"/>
          <w:color w:val="auto"/>
          <w:sz w:val="21"/>
          <w:szCs w:val="21"/>
          <w:highlight w:val="none"/>
          <w:u w:val="single"/>
          <w:lang w:eastAsia="zh-CN"/>
        </w:rPr>
        <w:t>、拉杆箱1</w:t>
      </w:r>
      <w:r>
        <w:rPr>
          <w:rFonts w:hint="eastAsia" w:ascii="宋体" w:hAnsi="宋体" w:eastAsia="宋体" w:cs="宋体"/>
          <w:color w:val="auto"/>
          <w:sz w:val="21"/>
          <w:szCs w:val="21"/>
          <w:highlight w:val="none"/>
          <w:u w:val="single"/>
          <w:lang w:val="en-US" w:eastAsia="zh-CN"/>
        </w:rPr>
        <w:t>个</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FFAB20A">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 货物质量：</w:t>
      </w:r>
      <w:r>
        <w:rPr>
          <w:rFonts w:hint="eastAsia" w:ascii="宋体" w:hAnsi="宋体" w:eastAsia="宋体" w:cs="宋体"/>
          <w:color w:val="auto"/>
          <w:sz w:val="21"/>
          <w:szCs w:val="21"/>
          <w:highlight w:val="none"/>
          <w:u w:val="single"/>
        </w:rPr>
        <w:t xml:space="preserve">合格，符合国家标准及采购人要求。    </w:t>
      </w:r>
    </w:p>
    <w:p w14:paraId="4E43B4BD">
      <w:pPr>
        <w:spacing w:line="560" w:lineRule="exact"/>
        <w:ind w:firstLine="422" w:firstLineChars="200"/>
        <w:outlineLvl w:val="9"/>
        <w:rPr>
          <w:rFonts w:hint="eastAsia" w:ascii="宋体" w:hAnsi="宋体" w:eastAsia="宋体" w:cs="宋体"/>
          <w:b/>
          <w:color w:val="auto"/>
          <w:sz w:val="21"/>
          <w:szCs w:val="21"/>
          <w:highlight w:val="none"/>
        </w:rPr>
      </w:pPr>
      <w:bookmarkStart w:id="103" w:name="_Toc21631"/>
      <w:bookmarkStart w:id="104" w:name="_Toc23292"/>
      <w:bookmarkStart w:id="105" w:name="_Toc21551"/>
      <w:r>
        <w:rPr>
          <w:rFonts w:hint="eastAsia" w:ascii="宋体" w:hAnsi="宋体" w:eastAsia="宋体" w:cs="宋体"/>
          <w:b/>
          <w:color w:val="auto"/>
          <w:sz w:val="21"/>
          <w:szCs w:val="21"/>
          <w:highlight w:val="none"/>
        </w:rPr>
        <w:t>1.3 价款</w:t>
      </w:r>
      <w:bookmarkEnd w:id="103"/>
      <w:bookmarkEnd w:id="104"/>
      <w:bookmarkEnd w:id="105"/>
    </w:p>
    <w:p w14:paraId="3F76A2C5">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w:t>
      </w:r>
      <w:r>
        <w:rPr>
          <w:rFonts w:hint="eastAsia" w:ascii="宋体" w:hAnsi="宋体" w:eastAsia="宋体" w:cs="宋体"/>
          <w:color w:val="auto"/>
          <w:sz w:val="21"/>
          <w:szCs w:val="21"/>
          <w:highlight w:val="none"/>
          <w:lang w:val="en-US" w:eastAsia="zh-CN"/>
        </w:rPr>
        <w:t>单价报</w:t>
      </w:r>
      <w:r>
        <w:rPr>
          <w:rFonts w:hint="eastAsia" w:ascii="宋体" w:hAnsi="宋体" w:eastAsia="宋体" w:cs="宋体"/>
          <w:color w:val="auto"/>
          <w:sz w:val="21"/>
          <w:szCs w:val="21"/>
          <w:highlight w:val="none"/>
        </w:rPr>
        <w:t>价为：￥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val="en-US" w:eastAsia="zh-CN"/>
        </w:rPr>
        <w:t>/套</w:t>
      </w:r>
      <w:r>
        <w:rPr>
          <w:rFonts w:hint="eastAsia" w:ascii="宋体" w:hAnsi="宋体" w:eastAsia="宋体" w:cs="宋体"/>
          <w:color w:val="auto"/>
          <w:sz w:val="21"/>
          <w:szCs w:val="21"/>
          <w:highlight w:val="none"/>
        </w:rPr>
        <w:t>（大写：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val="en-US" w:eastAsia="zh-CN"/>
        </w:rPr>
        <w:t>/套</w:t>
      </w:r>
      <w:r>
        <w:rPr>
          <w:rFonts w:hint="eastAsia" w:ascii="宋体" w:hAnsi="宋体" w:eastAsia="宋体" w:cs="宋体"/>
          <w:color w:val="auto"/>
          <w:sz w:val="21"/>
          <w:szCs w:val="21"/>
          <w:highlight w:val="none"/>
        </w:rPr>
        <w:t>）。</w:t>
      </w:r>
    </w:p>
    <w:p w14:paraId="348D4240">
      <w:pPr>
        <w:spacing w:line="5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分项价格：</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32465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2D4D7FD3">
            <w:pPr>
              <w:pStyle w:val="52"/>
              <w:spacing w:line="560" w:lineRule="exact"/>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序号</w:t>
            </w:r>
          </w:p>
        </w:tc>
        <w:tc>
          <w:tcPr>
            <w:tcW w:w="3402" w:type="dxa"/>
            <w:noWrap w:val="0"/>
            <w:vAlign w:val="center"/>
          </w:tcPr>
          <w:p w14:paraId="65972E4B">
            <w:pPr>
              <w:pStyle w:val="52"/>
              <w:spacing w:line="560" w:lineRule="exact"/>
              <w:ind w:firstLine="20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分项名称</w:t>
            </w:r>
          </w:p>
        </w:tc>
        <w:tc>
          <w:tcPr>
            <w:tcW w:w="2552" w:type="dxa"/>
            <w:noWrap w:val="0"/>
            <w:vAlign w:val="center"/>
          </w:tcPr>
          <w:p w14:paraId="2B61D856">
            <w:pPr>
              <w:pStyle w:val="52"/>
              <w:spacing w:line="560" w:lineRule="exact"/>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分项价格</w:t>
            </w:r>
          </w:p>
        </w:tc>
      </w:tr>
      <w:tr w14:paraId="2EAD8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3E82A58E">
            <w:pPr>
              <w:pStyle w:val="52"/>
              <w:spacing w:line="560" w:lineRule="exact"/>
              <w:ind w:firstLine="200"/>
              <w:jc w:val="center"/>
              <w:rPr>
                <w:rFonts w:hint="default" w:ascii="宋体" w:hAnsi="宋体" w:eastAsia="宋体" w:cs="宋体"/>
                <w:color w:val="auto"/>
                <w:kern w:val="2"/>
                <w:sz w:val="21"/>
                <w:szCs w:val="21"/>
                <w:highlight w:val="none"/>
                <w:lang w:val="en-US" w:eastAsia="zh-CN"/>
              </w:rPr>
            </w:pPr>
            <w:r>
              <w:rPr>
                <w:rFonts w:hint="eastAsia" w:hAnsi="宋体" w:eastAsia="宋体" w:cs="宋体"/>
                <w:color w:val="auto"/>
                <w:kern w:val="2"/>
                <w:sz w:val="21"/>
                <w:szCs w:val="21"/>
                <w:highlight w:val="none"/>
                <w:lang w:val="en-US" w:eastAsia="zh-CN"/>
              </w:rPr>
              <w:t>1</w:t>
            </w:r>
          </w:p>
        </w:tc>
        <w:tc>
          <w:tcPr>
            <w:tcW w:w="3402" w:type="dxa"/>
            <w:noWrap w:val="0"/>
            <w:vAlign w:val="center"/>
          </w:tcPr>
          <w:p w14:paraId="7C0FFCF4">
            <w:pPr>
              <w:pStyle w:val="52"/>
              <w:spacing w:line="560" w:lineRule="exact"/>
              <w:ind w:firstLine="20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风衣</w:t>
            </w:r>
          </w:p>
        </w:tc>
        <w:tc>
          <w:tcPr>
            <w:tcW w:w="2552" w:type="dxa"/>
            <w:noWrap w:val="0"/>
            <w:vAlign w:val="center"/>
          </w:tcPr>
          <w:p w14:paraId="4D5D862C">
            <w:pPr>
              <w:pStyle w:val="52"/>
              <w:spacing w:line="560" w:lineRule="exact"/>
              <w:ind w:firstLine="200"/>
              <w:jc w:val="center"/>
              <w:rPr>
                <w:rFonts w:hint="eastAsia" w:ascii="宋体" w:hAnsi="宋体" w:eastAsia="宋体" w:cs="宋体"/>
                <w:color w:val="auto"/>
                <w:kern w:val="2"/>
                <w:sz w:val="21"/>
                <w:szCs w:val="21"/>
                <w:highlight w:val="none"/>
                <w:lang w:val="en-US" w:eastAsia="zh-CN"/>
              </w:rPr>
            </w:pPr>
          </w:p>
        </w:tc>
      </w:tr>
      <w:tr w14:paraId="1A1E4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shd w:val="clear" w:color="auto" w:fill="auto"/>
            <w:noWrap w:val="0"/>
            <w:vAlign w:val="center"/>
          </w:tcPr>
          <w:p w14:paraId="01A5E84F">
            <w:pPr>
              <w:pStyle w:val="52"/>
              <w:spacing w:line="560" w:lineRule="exact"/>
              <w:ind w:firstLine="200" w:firstLineChars="0"/>
              <w:jc w:val="center"/>
              <w:rPr>
                <w:rFonts w:hint="eastAsia" w:ascii="宋体" w:hAnsi="宋体" w:eastAsia="宋体" w:cs="宋体"/>
                <w:color w:val="auto"/>
                <w:kern w:val="2"/>
                <w:sz w:val="21"/>
                <w:szCs w:val="21"/>
                <w:highlight w:val="none"/>
                <w:lang w:val="en-US" w:eastAsia="zh-CN" w:bidi="ar-SA"/>
              </w:rPr>
            </w:pPr>
            <w:r>
              <w:rPr>
                <w:rFonts w:hint="eastAsia" w:hAnsi="宋体" w:eastAsia="宋体" w:cs="宋体"/>
                <w:color w:val="auto"/>
                <w:kern w:val="2"/>
                <w:sz w:val="21"/>
                <w:szCs w:val="21"/>
                <w:highlight w:val="none"/>
                <w:lang w:val="en-US" w:eastAsia="zh-CN"/>
              </w:rPr>
              <w:t>2</w:t>
            </w:r>
          </w:p>
        </w:tc>
        <w:tc>
          <w:tcPr>
            <w:tcW w:w="3402" w:type="dxa"/>
            <w:noWrap w:val="0"/>
            <w:vAlign w:val="center"/>
          </w:tcPr>
          <w:p w14:paraId="45DB9B01">
            <w:pPr>
              <w:pStyle w:val="52"/>
              <w:spacing w:line="560" w:lineRule="exact"/>
              <w:ind w:firstLine="200"/>
              <w:jc w:val="center"/>
              <w:rPr>
                <w:rFonts w:hint="eastAsia" w:ascii="宋体" w:hAnsi="宋体" w:eastAsia="宋体" w:cs="宋体"/>
                <w:color w:val="auto"/>
                <w:kern w:val="2"/>
                <w:sz w:val="21"/>
                <w:szCs w:val="21"/>
                <w:highlight w:val="none"/>
                <w:lang w:val="en-US" w:eastAsia="zh-CN"/>
              </w:rPr>
            </w:pPr>
            <w:r>
              <w:rPr>
                <w:rFonts w:hint="eastAsia" w:hAnsi="宋体" w:eastAsia="宋体" w:cs="宋体"/>
                <w:color w:val="auto"/>
                <w:kern w:val="2"/>
                <w:sz w:val="21"/>
                <w:szCs w:val="21"/>
                <w:highlight w:val="none"/>
                <w:lang w:val="en-US" w:eastAsia="zh-CN"/>
              </w:rPr>
              <w:t>防晒衣</w:t>
            </w:r>
          </w:p>
        </w:tc>
        <w:tc>
          <w:tcPr>
            <w:tcW w:w="2552" w:type="dxa"/>
            <w:noWrap w:val="0"/>
            <w:vAlign w:val="center"/>
          </w:tcPr>
          <w:p w14:paraId="240B59DF">
            <w:pPr>
              <w:pStyle w:val="52"/>
              <w:spacing w:line="560" w:lineRule="exact"/>
              <w:ind w:firstLine="200"/>
              <w:jc w:val="center"/>
              <w:rPr>
                <w:rFonts w:hint="eastAsia" w:ascii="宋体" w:hAnsi="宋体" w:eastAsia="宋体" w:cs="宋体"/>
                <w:color w:val="auto"/>
                <w:kern w:val="2"/>
                <w:sz w:val="21"/>
                <w:szCs w:val="21"/>
                <w:highlight w:val="none"/>
                <w:lang w:val="en-US" w:eastAsia="zh-CN"/>
              </w:rPr>
            </w:pPr>
          </w:p>
        </w:tc>
      </w:tr>
      <w:tr w14:paraId="1AF3B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1" w:type="dxa"/>
            <w:shd w:val="clear" w:color="auto" w:fill="auto"/>
            <w:noWrap w:val="0"/>
            <w:vAlign w:val="center"/>
          </w:tcPr>
          <w:p w14:paraId="04CA3451">
            <w:pPr>
              <w:pStyle w:val="52"/>
              <w:spacing w:line="560" w:lineRule="exact"/>
              <w:ind w:firstLine="200" w:firstLineChars="0"/>
              <w:jc w:val="center"/>
              <w:rPr>
                <w:rFonts w:hint="default" w:ascii="宋体" w:hAnsi="宋体" w:eastAsia="宋体" w:cs="宋体"/>
                <w:color w:val="auto"/>
                <w:kern w:val="2"/>
                <w:sz w:val="21"/>
                <w:szCs w:val="21"/>
                <w:highlight w:val="none"/>
                <w:lang w:val="en-US" w:eastAsia="zh-CN" w:bidi="ar-SA"/>
              </w:rPr>
            </w:pPr>
            <w:r>
              <w:rPr>
                <w:rFonts w:hint="eastAsia" w:hAnsi="宋体" w:eastAsia="宋体" w:cs="宋体"/>
                <w:color w:val="auto"/>
                <w:kern w:val="2"/>
                <w:sz w:val="21"/>
                <w:szCs w:val="21"/>
                <w:highlight w:val="none"/>
                <w:lang w:val="en-US" w:eastAsia="zh-CN"/>
              </w:rPr>
              <w:t>3</w:t>
            </w:r>
          </w:p>
        </w:tc>
        <w:tc>
          <w:tcPr>
            <w:tcW w:w="3402" w:type="dxa"/>
            <w:noWrap w:val="0"/>
            <w:vAlign w:val="center"/>
          </w:tcPr>
          <w:p w14:paraId="3475D145">
            <w:pPr>
              <w:pStyle w:val="52"/>
              <w:spacing w:line="560" w:lineRule="exact"/>
              <w:ind w:firstLine="20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领奖服</w:t>
            </w:r>
          </w:p>
        </w:tc>
        <w:tc>
          <w:tcPr>
            <w:tcW w:w="2552" w:type="dxa"/>
            <w:noWrap w:val="0"/>
            <w:vAlign w:val="center"/>
          </w:tcPr>
          <w:p w14:paraId="37B19FC6">
            <w:pPr>
              <w:pStyle w:val="52"/>
              <w:spacing w:line="560" w:lineRule="exact"/>
              <w:ind w:firstLine="200"/>
              <w:jc w:val="center"/>
              <w:rPr>
                <w:rFonts w:hint="eastAsia" w:ascii="宋体" w:hAnsi="宋体" w:eastAsia="宋体" w:cs="宋体"/>
                <w:color w:val="auto"/>
                <w:kern w:val="2"/>
                <w:sz w:val="21"/>
                <w:szCs w:val="21"/>
                <w:highlight w:val="none"/>
                <w:lang w:val="en-US" w:eastAsia="zh-CN"/>
              </w:rPr>
            </w:pPr>
          </w:p>
        </w:tc>
      </w:tr>
      <w:tr w14:paraId="18F65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shd w:val="clear" w:color="auto" w:fill="auto"/>
            <w:noWrap w:val="0"/>
            <w:vAlign w:val="center"/>
          </w:tcPr>
          <w:p w14:paraId="3698231C">
            <w:pPr>
              <w:pStyle w:val="52"/>
              <w:spacing w:line="560" w:lineRule="exact"/>
              <w:ind w:firstLine="200" w:firstLineChars="0"/>
              <w:jc w:val="center"/>
              <w:rPr>
                <w:rFonts w:hint="default" w:ascii="宋体" w:hAnsi="宋体" w:eastAsia="宋体" w:cs="宋体"/>
                <w:color w:val="auto"/>
                <w:kern w:val="2"/>
                <w:sz w:val="21"/>
                <w:szCs w:val="21"/>
                <w:highlight w:val="none"/>
                <w:lang w:val="en-US" w:eastAsia="zh-CN" w:bidi="ar-SA"/>
              </w:rPr>
            </w:pPr>
            <w:r>
              <w:rPr>
                <w:rFonts w:hint="eastAsia" w:hAnsi="宋体" w:eastAsia="宋体" w:cs="宋体"/>
                <w:color w:val="auto"/>
                <w:kern w:val="2"/>
                <w:sz w:val="21"/>
                <w:szCs w:val="21"/>
                <w:highlight w:val="none"/>
                <w:lang w:val="en-US" w:eastAsia="zh-CN"/>
              </w:rPr>
              <w:t>4</w:t>
            </w:r>
          </w:p>
        </w:tc>
        <w:tc>
          <w:tcPr>
            <w:tcW w:w="3402" w:type="dxa"/>
            <w:noWrap w:val="0"/>
            <w:vAlign w:val="center"/>
          </w:tcPr>
          <w:p w14:paraId="1F5AD348">
            <w:pPr>
              <w:pStyle w:val="52"/>
              <w:spacing w:line="560" w:lineRule="exact"/>
              <w:ind w:firstLine="20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翻领短袖T恤</w:t>
            </w:r>
          </w:p>
        </w:tc>
        <w:tc>
          <w:tcPr>
            <w:tcW w:w="2552" w:type="dxa"/>
            <w:noWrap w:val="0"/>
            <w:vAlign w:val="center"/>
          </w:tcPr>
          <w:p w14:paraId="36F04349">
            <w:pPr>
              <w:pStyle w:val="52"/>
              <w:spacing w:line="560" w:lineRule="exact"/>
              <w:ind w:firstLine="200"/>
              <w:jc w:val="center"/>
              <w:rPr>
                <w:rFonts w:hint="eastAsia" w:ascii="宋体" w:hAnsi="宋体" w:eastAsia="宋体" w:cs="宋体"/>
                <w:color w:val="auto"/>
                <w:kern w:val="2"/>
                <w:sz w:val="21"/>
                <w:szCs w:val="21"/>
                <w:highlight w:val="none"/>
                <w:lang w:val="en-US" w:eastAsia="zh-CN"/>
              </w:rPr>
            </w:pPr>
          </w:p>
        </w:tc>
      </w:tr>
      <w:tr w14:paraId="72EB6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shd w:val="clear" w:color="auto" w:fill="auto"/>
            <w:noWrap w:val="0"/>
            <w:vAlign w:val="center"/>
          </w:tcPr>
          <w:p w14:paraId="7C953580">
            <w:pPr>
              <w:pStyle w:val="52"/>
              <w:spacing w:line="560" w:lineRule="exact"/>
              <w:ind w:firstLine="200" w:firstLineChars="0"/>
              <w:jc w:val="center"/>
              <w:rPr>
                <w:rFonts w:hint="default" w:ascii="宋体" w:hAnsi="宋体" w:eastAsia="宋体" w:cs="宋体"/>
                <w:color w:val="auto"/>
                <w:kern w:val="2"/>
                <w:sz w:val="21"/>
                <w:szCs w:val="21"/>
                <w:highlight w:val="none"/>
                <w:lang w:val="en-US" w:eastAsia="zh-CN" w:bidi="ar-SA"/>
              </w:rPr>
            </w:pPr>
            <w:r>
              <w:rPr>
                <w:rFonts w:hint="eastAsia" w:hAnsi="宋体" w:eastAsia="宋体" w:cs="宋体"/>
                <w:color w:val="auto"/>
                <w:kern w:val="2"/>
                <w:sz w:val="21"/>
                <w:szCs w:val="21"/>
                <w:highlight w:val="none"/>
                <w:lang w:val="en-US" w:eastAsia="zh-CN"/>
              </w:rPr>
              <w:t>5</w:t>
            </w:r>
          </w:p>
        </w:tc>
        <w:tc>
          <w:tcPr>
            <w:tcW w:w="3402" w:type="dxa"/>
            <w:noWrap w:val="0"/>
            <w:vAlign w:val="center"/>
          </w:tcPr>
          <w:p w14:paraId="4F71FF93">
            <w:pPr>
              <w:pStyle w:val="52"/>
              <w:spacing w:line="560" w:lineRule="exact"/>
              <w:ind w:firstLine="20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圆领短袖T恤</w:t>
            </w:r>
          </w:p>
        </w:tc>
        <w:tc>
          <w:tcPr>
            <w:tcW w:w="2552" w:type="dxa"/>
            <w:noWrap w:val="0"/>
            <w:vAlign w:val="center"/>
          </w:tcPr>
          <w:p w14:paraId="222D8408">
            <w:pPr>
              <w:pStyle w:val="52"/>
              <w:spacing w:line="560" w:lineRule="exact"/>
              <w:ind w:firstLine="200"/>
              <w:jc w:val="center"/>
              <w:rPr>
                <w:rFonts w:hint="eastAsia" w:ascii="宋体" w:hAnsi="宋体" w:eastAsia="宋体" w:cs="宋体"/>
                <w:color w:val="auto"/>
                <w:kern w:val="2"/>
                <w:sz w:val="21"/>
                <w:szCs w:val="21"/>
                <w:highlight w:val="none"/>
                <w:lang w:val="en-US" w:eastAsia="zh-CN"/>
              </w:rPr>
            </w:pPr>
          </w:p>
        </w:tc>
      </w:tr>
      <w:tr w14:paraId="1EC84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shd w:val="clear" w:color="auto" w:fill="auto"/>
            <w:noWrap w:val="0"/>
            <w:vAlign w:val="center"/>
          </w:tcPr>
          <w:p w14:paraId="2EFB6715">
            <w:pPr>
              <w:pStyle w:val="52"/>
              <w:spacing w:line="560" w:lineRule="exact"/>
              <w:ind w:firstLine="200" w:firstLineChars="0"/>
              <w:jc w:val="center"/>
              <w:rPr>
                <w:rFonts w:hint="default" w:ascii="宋体" w:hAnsi="宋体" w:eastAsia="宋体" w:cs="宋体"/>
                <w:color w:val="auto"/>
                <w:kern w:val="2"/>
                <w:sz w:val="21"/>
                <w:szCs w:val="21"/>
                <w:highlight w:val="none"/>
                <w:lang w:val="en-US" w:eastAsia="zh-CN" w:bidi="ar-SA"/>
              </w:rPr>
            </w:pPr>
            <w:r>
              <w:rPr>
                <w:rFonts w:hint="eastAsia" w:hAnsi="宋体" w:eastAsia="宋体" w:cs="宋体"/>
                <w:color w:val="auto"/>
                <w:kern w:val="2"/>
                <w:sz w:val="21"/>
                <w:szCs w:val="21"/>
                <w:highlight w:val="none"/>
                <w:lang w:val="en-US" w:eastAsia="zh-CN"/>
              </w:rPr>
              <w:t>6</w:t>
            </w:r>
          </w:p>
        </w:tc>
        <w:tc>
          <w:tcPr>
            <w:tcW w:w="3402" w:type="dxa"/>
            <w:noWrap w:val="0"/>
            <w:vAlign w:val="center"/>
          </w:tcPr>
          <w:p w14:paraId="37E2A10B">
            <w:pPr>
              <w:pStyle w:val="52"/>
              <w:spacing w:line="560" w:lineRule="exact"/>
              <w:ind w:firstLine="20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运动短裤</w:t>
            </w:r>
          </w:p>
        </w:tc>
        <w:tc>
          <w:tcPr>
            <w:tcW w:w="2552" w:type="dxa"/>
            <w:noWrap w:val="0"/>
            <w:vAlign w:val="center"/>
          </w:tcPr>
          <w:p w14:paraId="7C0C21BC">
            <w:pPr>
              <w:pStyle w:val="52"/>
              <w:spacing w:line="560" w:lineRule="exact"/>
              <w:ind w:firstLine="200"/>
              <w:jc w:val="center"/>
              <w:rPr>
                <w:rFonts w:hint="eastAsia" w:ascii="宋体" w:hAnsi="宋体" w:eastAsia="宋体" w:cs="宋体"/>
                <w:color w:val="auto"/>
                <w:kern w:val="2"/>
                <w:sz w:val="21"/>
                <w:szCs w:val="21"/>
                <w:highlight w:val="none"/>
                <w:lang w:val="en-US" w:eastAsia="zh-CN"/>
              </w:rPr>
            </w:pPr>
          </w:p>
        </w:tc>
      </w:tr>
      <w:tr w14:paraId="56BB6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shd w:val="clear" w:color="auto" w:fill="auto"/>
            <w:noWrap w:val="0"/>
            <w:vAlign w:val="center"/>
          </w:tcPr>
          <w:p w14:paraId="477F73F2">
            <w:pPr>
              <w:pStyle w:val="52"/>
              <w:spacing w:line="560" w:lineRule="exact"/>
              <w:ind w:firstLine="200" w:firstLineChars="0"/>
              <w:jc w:val="center"/>
              <w:rPr>
                <w:rFonts w:hint="default" w:ascii="宋体" w:hAnsi="宋体" w:eastAsia="宋体" w:cs="宋体"/>
                <w:color w:val="auto"/>
                <w:kern w:val="2"/>
                <w:sz w:val="21"/>
                <w:szCs w:val="21"/>
                <w:highlight w:val="none"/>
                <w:lang w:val="en-US" w:eastAsia="zh-CN" w:bidi="ar-SA"/>
              </w:rPr>
            </w:pPr>
            <w:r>
              <w:rPr>
                <w:rFonts w:hint="eastAsia" w:hAnsi="宋体" w:eastAsia="宋体" w:cs="宋体"/>
                <w:color w:val="auto"/>
                <w:kern w:val="2"/>
                <w:sz w:val="21"/>
                <w:szCs w:val="21"/>
                <w:highlight w:val="none"/>
                <w:lang w:val="en-US" w:eastAsia="zh-CN"/>
              </w:rPr>
              <w:t>7</w:t>
            </w:r>
          </w:p>
        </w:tc>
        <w:tc>
          <w:tcPr>
            <w:tcW w:w="3402" w:type="dxa"/>
            <w:noWrap w:val="0"/>
            <w:vAlign w:val="center"/>
          </w:tcPr>
          <w:p w14:paraId="7CC7825A">
            <w:pPr>
              <w:pStyle w:val="52"/>
              <w:spacing w:line="560" w:lineRule="exact"/>
              <w:ind w:firstLine="20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运动鞋</w:t>
            </w:r>
          </w:p>
        </w:tc>
        <w:tc>
          <w:tcPr>
            <w:tcW w:w="2552" w:type="dxa"/>
            <w:noWrap w:val="0"/>
            <w:vAlign w:val="center"/>
          </w:tcPr>
          <w:p w14:paraId="3B419EFC">
            <w:pPr>
              <w:pStyle w:val="52"/>
              <w:spacing w:line="560" w:lineRule="exact"/>
              <w:ind w:firstLine="200"/>
              <w:jc w:val="center"/>
              <w:rPr>
                <w:rFonts w:hint="eastAsia" w:ascii="宋体" w:hAnsi="宋体" w:eastAsia="宋体" w:cs="宋体"/>
                <w:color w:val="auto"/>
                <w:kern w:val="2"/>
                <w:sz w:val="21"/>
                <w:szCs w:val="21"/>
                <w:highlight w:val="none"/>
                <w:lang w:val="en-US" w:eastAsia="zh-CN"/>
              </w:rPr>
            </w:pPr>
          </w:p>
        </w:tc>
      </w:tr>
      <w:tr w14:paraId="77E6A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shd w:val="clear" w:color="auto" w:fill="auto"/>
            <w:noWrap w:val="0"/>
            <w:vAlign w:val="center"/>
          </w:tcPr>
          <w:p w14:paraId="0F4EC893">
            <w:pPr>
              <w:pStyle w:val="52"/>
              <w:spacing w:line="560" w:lineRule="exact"/>
              <w:ind w:firstLine="200" w:firstLineChars="0"/>
              <w:jc w:val="center"/>
              <w:rPr>
                <w:rFonts w:hint="eastAsia" w:ascii="宋体" w:hAnsi="宋体" w:eastAsia="宋体" w:cs="宋体"/>
                <w:color w:val="auto"/>
                <w:kern w:val="2"/>
                <w:sz w:val="21"/>
                <w:szCs w:val="21"/>
                <w:highlight w:val="none"/>
                <w:lang w:val="en-US" w:eastAsia="zh-CN" w:bidi="ar-SA"/>
              </w:rPr>
            </w:pPr>
            <w:r>
              <w:rPr>
                <w:rFonts w:hint="eastAsia" w:hAnsi="宋体" w:eastAsia="宋体" w:cs="宋体"/>
                <w:color w:val="auto"/>
                <w:kern w:val="2"/>
                <w:sz w:val="21"/>
                <w:szCs w:val="21"/>
                <w:highlight w:val="none"/>
                <w:lang w:val="en-US" w:eastAsia="zh-CN"/>
              </w:rPr>
              <w:t>8</w:t>
            </w:r>
          </w:p>
        </w:tc>
        <w:tc>
          <w:tcPr>
            <w:tcW w:w="3402" w:type="dxa"/>
            <w:noWrap w:val="0"/>
            <w:vAlign w:val="center"/>
          </w:tcPr>
          <w:p w14:paraId="003508FE">
            <w:pPr>
              <w:pStyle w:val="52"/>
              <w:spacing w:line="560" w:lineRule="exact"/>
              <w:ind w:firstLine="20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运动袜</w:t>
            </w:r>
          </w:p>
        </w:tc>
        <w:tc>
          <w:tcPr>
            <w:tcW w:w="2552" w:type="dxa"/>
            <w:noWrap w:val="0"/>
            <w:vAlign w:val="center"/>
          </w:tcPr>
          <w:p w14:paraId="1DAD0B6D">
            <w:pPr>
              <w:pStyle w:val="52"/>
              <w:spacing w:line="560" w:lineRule="exact"/>
              <w:ind w:firstLine="200"/>
              <w:jc w:val="center"/>
              <w:rPr>
                <w:rFonts w:hint="eastAsia" w:ascii="宋体" w:hAnsi="宋体" w:eastAsia="宋体" w:cs="宋体"/>
                <w:color w:val="auto"/>
                <w:kern w:val="2"/>
                <w:sz w:val="21"/>
                <w:szCs w:val="21"/>
                <w:highlight w:val="none"/>
                <w:lang w:val="en-US" w:eastAsia="zh-CN"/>
              </w:rPr>
            </w:pPr>
          </w:p>
        </w:tc>
      </w:tr>
      <w:tr w14:paraId="3EFC2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shd w:val="clear" w:color="auto" w:fill="auto"/>
            <w:noWrap w:val="0"/>
            <w:vAlign w:val="center"/>
          </w:tcPr>
          <w:p w14:paraId="0A0D6085">
            <w:pPr>
              <w:pStyle w:val="52"/>
              <w:spacing w:line="560" w:lineRule="exact"/>
              <w:ind w:firstLine="200" w:firstLineChars="0"/>
              <w:jc w:val="center"/>
              <w:rPr>
                <w:rFonts w:hint="default" w:ascii="宋体" w:hAnsi="宋体" w:eastAsia="宋体" w:cs="宋体"/>
                <w:color w:val="auto"/>
                <w:kern w:val="2"/>
                <w:sz w:val="21"/>
                <w:szCs w:val="21"/>
                <w:highlight w:val="none"/>
                <w:lang w:val="en-US" w:eastAsia="zh-CN" w:bidi="ar-SA"/>
              </w:rPr>
            </w:pPr>
            <w:r>
              <w:rPr>
                <w:rFonts w:hint="eastAsia" w:hAnsi="宋体" w:eastAsia="宋体" w:cs="宋体"/>
                <w:color w:val="auto"/>
                <w:kern w:val="2"/>
                <w:sz w:val="21"/>
                <w:szCs w:val="21"/>
                <w:highlight w:val="none"/>
                <w:lang w:val="en-US" w:eastAsia="zh-CN"/>
              </w:rPr>
              <w:t>9</w:t>
            </w:r>
          </w:p>
        </w:tc>
        <w:tc>
          <w:tcPr>
            <w:tcW w:w="3402" w:type="dxa"/>
            <w:noWrap w:val="0"/>
            <w:vAlign w:val="center"/>
          </w:tcPr>
          <w:p w14:paraId="32BBA3DB">
            <w:pPr>
              <w:pStyle w:val="52"/>
              <w:spacing w:line="560" w:lineRule="exact"/>
              <w:ind w:firstLine="20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拖鞋</w:t>
            </w:r>
          </w:p>
        </w:tc>
        <w:tc>
          <w:tcPr>
            <w:tcW w:w="2552" w:type="dxa"/>
            <w:noWrap w:val="0"/>
            <w:vAlign w:val="center"/>
          </w:tcPr>
          <w:p w14:paraId="5BCF8E10">
            <w:pPr>
              <w:pStyle w:val="52"/>
              <w:spacing w:line="560" w:lineRule="exact"/>
              <w:ind w:firstLine="200"/>
              <w:jc w:val="center"/>
              <w:rPr>
                <w:rFonts w:hint="eastAsia" w:ascii="宋体" w:hAnsi="宋体" w:eastAsia="宋体" w:cs="宋体"/>
                <w:color w:val="auto"/>
                <w:kern w:val="2"/>
                <w:sz w:val="21"/>
                <w:szCs w:val="21"/>
                <w:highlight w:val="none"/>
                <w:lang w:val="en-US" w:eastAsia="zh-CN"/>
              </w:rPr>
            </w:pPr>
          </w:p>
        </w:tc>
      </w:tr>
      <w:tr w14:paraId="6CF21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shd w:val="clear" w:color="auto" w:fill="auto"/>
            <w:noWrap w:val="0"/>
            <w:vAlign w:val="center"/>
          </w:tcPr>
          <w:p w14:paraId="6359AE0C">
            <w:pPr>
              <w:pStyle w:val="52"/>
              <w:spacing w:line="560" w:lineRule="exact"/>
              <w:ind w:firstLine="200" w:firstLineChars="0"/>
              <w:jc w:val="center"/>
              <w:rPr>
                <w:rFonts w:hint="default" w:ascii="宋体" w:hAnsi="宋体" w:eastAsia="宋体" w:cs="宋体"/>
                <w:color w:val="auto"/>
                <w:kern w:val="2"/>
                <w:sz w:val="21"/>
                <w:szCs w:val="21"/>
                <w:highlight w:val="none"/>
                <w:lang w:val="en-US" w:eastAsia="zh-CN" w:bidi="ar-SA"/>
              </w:rPr>
            </w:pPr>
            <w:r>
              <w:rPr>
                <w:rFonts w:hint="eastAsia" w:hAnsi="宋体" w:eastAsia="宋体" w:cs="宋体"/>
                <w:color w:val="auto"/>
                <w:kern w:val="2"/>
                <w:sz w:val="21"/>
                <w:szCs w:val="21"/>
                <w:highlight w:val="none"/>
                <w:lang w:val="en-US" w:eastAsia="zh-CN"/>
              </w:rPr>
              <w:t>10</w:t>
            </w:r>
          </w:p>
        </w:tc>
        <w:tc>
          <w:tcPr>
            <w:tcW w:w="3402" w:type="dxa"/>
            <w:noWrap w:val="0"/>
            <w:vAlign w:val="center"/>
          </w:tcPr>
          <w:p w14:paraId="58AC41A8">
            <w:pPr>
              <w:pStyle w:val="52"/>
              <w:spacing w:line="560" w:lineRule="exact"/>
              <w:ind w:firstLine="20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运动帽</w:t>
            </w:r>
          </w:p>
        </w:tc>
        <w:tc>
          <w:tcPr>
            <w:tcW w:w="2552" w:type="dxa"/>
            <w:noWrap w:val="0"/>
            <w:vAlign w:val="center"/>
          </w:tcPr>
          <w:p w14:paraId="6E798E51">
            <w:pPr>
              <w:pStyle w:val="52"/>
              <w:spacing w:line="560" w:lineRule="exact"/>
              <w:ind w:firstLine="200"/>
              <w:jc w:val="center"/>
              <w:rPr>
                <w:rFonts w:hint="eastAsia" w:ascii="宋体" w:hAnsi="宋体" w:eastAsia="宋体" w:cs="宋体"/>
                <w:color w:val="auto"/>
                <w:kern w:val="2"/>
                <w:sz w:val="21"/>
                <w:szCs w:val="21"/>
                <w:highlight w:val="none"/>
                <w:lang w:val="en-US" w:eastAsia="zh-CN"/>
              </w:rPr>
            </w:pPr>
          </w:p>
        </w:tc>
      </w:tr>
      <w:tr w14:paraId="21C76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shd w:val="clear" w:color="auto" w:fill="auto"/>
            <w:noWrap w:val="0"/>
            <w:vAlign w:val="center"/>
          </w:tcPr>
          <w:p w14:paraId="2822D828">
            <w:pPr>
              <w:pStyle w:val="52"/>
              <w:spacing w:line="560" w:lineRule="exact"/>
              <w:ind w:firstLine="200" w:firstLineChars="0"/>
              <w:jc w:val="center"/>
              <w:rPr>
                <w:rFonts w:hint="default" w:ascii="宋体" w:hAnsi="宋体" w:eastAsia="宋体" w:cs="宋体"/>
                <w:color w:val="auto"/>
                <w:kern w:val="2"/>
                <w:sz w:val="21"/>
                <w:szCs w:val="21"/>
                <w:highlight w:val="none"/>
                <w:lang w:val="en-US" w:eastAsia="zh-CN" w:bidi="ar-SA"/>
              </w:rPr>
            </w:pPr>
            <w:r>
              <w:rPr>
                <w:rFonts w:hint="eastAsia" w:hAnsi="宋体" w:eastAsia="宋体" w:cs="宋体"/>
                <w:color w:val="auto"/>
                <w:kern w:val="2"/>
                <w:sz w:val="21"/>
                <w:szCs w:val="21"/>
                <w:highlight w:val="none"/>
                <w:lang w:val="en-US" w:eastAsia="zh-CN"/>
              </w:rPr>
              <w:t>11</w:t>
            </w:r>
          </w:p>
        </w:tc>
        <w:tc>
          <w:tcPr>
            <w:tcW w:w="3402" w:type="dxa"/>
            <w:noWrap w:val="0"/>
            <w:vAlign w:val="center"/>
          </w:tcPr>
          <w:p w14:paraId="34848611">
            <w:pPr>
              <w:pStyle w:val="52"/>
              <w:spacing w:line="560" w:lineRule="exact"/>
              <w:ind w:firstLine="20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斜挎包</w:t>
            </w:r>
          </w:p>
        </w:tc>
        <w:tc>
          <w:tcPr>
            <w:tcW w:w="2552" w:type="dxa"/>
            <w:noWrap w:val="0"/>
            <w:vAlign w:val="center"/>
          </w:tcPr>
          <w:p w14:paraId="2D9D7E9B">
            <w:pPr>
              <w:pStyle w:val="52"/>
              <w:spacing w:line="560" w:lineRule="exact"/>
              <w:ind w:firstLine="200"/>
              <w:jc w:val="center"/>
              <w:rPr>
                <w:rFonts w:hint="eastAsia" w:ascii="宋体" w:hAnsi="宋体" w:eastAsia="宋体" w:cs="宋体"/>
                <w:color w:val="auto"/>
                <w:kern w:val="2"/>
                <w:sz w:val="21"/>
                <w:szCs w:val="21"/>
                <w:highlight w:val="none"/>
                <w:lang w:val="en-US" w:eastAsia="zh-CN"/>
              </w:rPr>
            </w:pPr>
          </w:p>
        </w:tc>
      </w:tr>
      <w:tr w14:paraId="15BB3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shd w:val="clear" w:color="auto" w:fill="auto"/>
            <w:noWrap w:val="0"/>
            <w:vAlign w:val="center"/>
          </w:tcPr>
          <w:p w14:paraId="19AE2889">
            <w:pPr>
              <w:pStyle w:val="52"/>
              <w:spacing w:line="560" w:lineRule="exact"/>
              <w:ind w:firstLine="200" w:firstLineChars="0"/>
              <w:jc w:val="center"/>
              <w:rPr>
                <w:rFonts w:hint="default" w:ascii="宋体" w:hAnsi="宋体" w:eastAsia="宋体" w:cs="宋体"/>
                <w:color w:val="auto"/>
                <w:kern w:val="2"/>
                <w:sz w:val="21"/>
                <w:szCs w:val="21"/>
                <w:highlight w:val="none"/>
                <w:lang w:val="en-US" w:eastAsia="zh-CN" w:bidi="ar-SA"/>
              </w:rPr>
            </w:pPr>
            <w:r>
              <w:rPr>
                <w:rFonts w:hint="eastAsia" w:hAnsi="宋体" w:eastAsia="宋体" w:cs="宋体"/>
                <w:color w:val="auto"/>
                <w:kern w:val="2"/>
                <w:sz w:val="21"/>
                <w:szCs w:val="21"/>
                <w:highlight w:val="none"/>
                <w:lang w:val="en-US" w:eastAsia="zh-CN"/>
              </w:rPr>
              <w:t>12</w:t>
            </w:r>
          </w:p>
        </w:tc>
        <w:tc>
          <w:tcPr>
            <w:tcW w:w="3402" w:type="dxa"/>
            <w:noWrap w:val="0"/>
            <w:vAlign w:val="center"/>
          </w:tcPr>
          <w:p w14:paraId="6137F642">
            <w:pPr>
              <w:pStyle w:val="52"/>
              <w:spacing w:line="560" w:lineRule="exact"/>
              <w:ind w:firstLine="20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双肩背包</w:t>
            </w:r>
          </w:p>
        </w:tc>
        <w:tc>
          <w:tcPr>
            <w:tcW w:w="2552" w:type="dxa"/>
            <w:noWrap w:val="0"/>
            <w:vAlign w:val="center"/>
          </w:tcPr>
          <w:p w14:paraId="5F8A408D">
            <w:pPr>
              <w:pStyle w:val="52"/>
              <w:spacing w:line="560" w:lineRule="exact"/>
              <w:ind w:firstLine="200"/>
              <w:jc w:val="center"/>
              <w:rPr>
                <w:rFonts w:hint="eastAsia" w:ascii="宋体" w:hAnsi="宋体" w:eastAsia="宋体" w:cs="宋体"/>
                <w:color w:val="auto"/>
                <w:kern w:val="2"/>
                <w:sz w:val="21"/>
                <w:szCs w:val="21"/>
                <w:highlight w:val="none"/>
                <w:lang w:val="en-US" w:eastAsia="zh-CN"/>
              </w:rPr>
            </w:pPr>
          </w:p>
        </w:tc>
      </w:tr>
      <w:tr w14:paraId="71B22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shd w:val="clear" w:color="auto" w:fill="auto"/>
            <w:noWrap w:val="0"/>
            <w:vAlign w:val="center"/>
          </w:tcPr>
          <w:p w14:paraId="2830ABDE">
            <w:pPr>
              <w:pStyle w:val="52"/>
              <w:spacing w:line="560" w:lineRule="exact"/>
              <w:ind w:firstLine="200" w:firstLineChars="0"/>
              <w:jc w:val="center"/>
              <w:rPr>
                <w:rFonts w:hint="default" w:ascii="宋体" w:hAnsi="宋体" w:eastAsia="宋体" w:cs="宋体"/>
                <w:color w:val="auto"/>
                <w:kern w:val="2"/>
                <w:sz w:val="21"/>
                <w:szCs w:val="21"/>
                <w:highlight w:val="none"/>
                <w:lang w:val="en-US" w:eastAsia="zh-CN" w:bidi="ar-SA"/>
              </w:rPr>
            </w:pPr>
            <w:r>
              <w:rPr>
                <w:rFonts w:hint="eastAsia" w:hAnsi="宋体" w:eastAsia="宋体" w:cs="宋体"/>
                <w:color w:val="auto"/>
                <w:kern w:val="2"/>
                <w:sz w:val="21"/>
                <w:szCs w:val="21"/>
                <w:highlight w:val="none"/>
                <w:lang w:val="en-US" w:eastAsia="zh-CN"/>
              </w:rPr>
              <w:t>13</w:t>
            </w:r>
          </w:p>
        </w:tc>
        <w:tc>
          <w:tcPr>
            <w:tcW w:w="3402" w:type="dxa"/>
            <w:noWrap w:val="0"/>
            <w:vAlign w:val="center"/>
          </w:tcPr>
          <w:p w14:paraId="0F9A56BC">
            <w:pPr>
              <w:pStyle w:val="52"/>
              <w:spacing w:line="560" w:lineRule="exact"/>
              <w:ind w:firstLine="20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拉杆箱</w:t>
            </w:r>
          </w:p>
        </w:tc>
        <w:tc>
          <w:tcPr>
            <w:tcW w:w="2552" w:type="dxa"/>
            <w:noWrap w:val="0"/>
            <w:vAlign w:val="center"/>
          </w:tcPr>
          <w:p w14:paraId="1A23C414">
            <w:pPr>
              <w:pStyle w:val="52"/>
              <w:spacing w:line="560" w:lineRule="exact"/>
              <w:ind w:firstLine="200"/>
              <w:jc w:val="center"/>
              <w:rPr>
                <w:rFonts w:hint="eastAsia" w:ascii="宋体" w:hAnsi="宋体" w:eastAsia="宋体" w:cs="宋体"/>
                <w:color w:val="auto"/>
                <w:kern w:val="2"/>
                <w:sz w:val="21"/>
                <w:szCs w:val="21"/>
                <w:highlight w:val="none"/>
                <w:lang w:val="en-US" w:eastAsia="zh-CN"/>
              </w:rPr>
            </w:pPr>
          </w:p>
        </w:tc>
      </w:tr>
      <w:tr w14:paraId="5DF7A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14:paraId="5336CD64">
            <w:pPr>
              <w:pStyle w:val="52"/>
              <w:spacing w:line="560" w:lineRule="exact"/>
              <w:ind w:firstLine="20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总价</w:t>
            </w:r>
          </w:p>
        </w:tc>
        <w:tc>
          <w:tcPr>
            <w:tcW w:w="2552" w:type="dxa"/>
            <w:noWrap w:val="0"/>
            <w:vAlign w:val="center"/>
          </w:tcPr>
          <w:p w14:paraId="77E40CDD">
            <w:pPr>
              <w:pStyle w:val="52"/>
              <w:spacing w:line="560" w:lineRule="exact"/>
              <w:ind w:firstLine="200"/>
              <w:jc w:val="center"/>
              <w:rPr>
                <w:rFonts w:hint="eastAsia" w:ascii="宋体" w:hAnsi="宋体" w:eastAsia="宋体" w:cs="宋体"/>
                <w:color w:val="auto"/>
                <w:kern w:val="2"/>
                <w:sz w:val="21"/>
                <w:szCs w:val="21"/>
                <w:highlight w:val="none"/>
                <w:lang w:val="en-US" w:eastAsia="zh-CN"/>
              </w:rPr>
            </w:pPr>
          </w:p>
        </w:tc>
      </w:tr>
    </w:tbl>
    <w:p w14:paraId="02E4C336">
      <w:pPr>
        <w:spacing w:line="560" w:lineRule="exact"/>
        <w:ind w:firstLine="422" w:firstLineChars="200"/>
        <w:outlineLvl w:val="9"/>
        <w:rPr>
          <w:rFonts w:hint="eastAsia" w:ascii="宋体" w:hAnsi="宋体" w:eastAsia="宋体" w:cs="宋体"/>
          <w:b/>
          <w:color w:val="auto"/>
          <w:sz w:val="21"/>
          <w:szCs w:val="21"/>
          <w:highlight w:val="none"/>
        </w:rPr>
      </w:pPr>
      <w:bookmarkStart w:id="106" w:name="_Toc10340"/>
      <w:bookmarkStart w:id="107" w:name="_Toc22618"/>
      <w:bookmarkStart w:id="108" w:name="_Toc1814"/>
      <w:r>
        <w:rPr>
          <w:rFonts w:hint="eastAsia" w:ascii="宋体" w:hAnsi="宋体" w:eastAsia="宋体" w:cs="宋体"/>
          <w:b/>
          <w:color w:val="auto"/>
          <w:sz w:val="21"/>
          <w:szCs w:val="21"/>
          <w:highlight w:val="none"/>
        </w:rPr>
        <w:t>1.4 付款方式和发票开具方式</w:t>
      </w:r>
      <w:bookmarkEnd w:id="106"/>
      <w:bookmarkEnd w:id="107"/>
      <w:bookmarkEnd w:id="108"/>
    </w:p>
    <w:p w14:paraId="50F06266">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 付款方式：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9057FB3">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 发票开具方式：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6BD1D9C">
      <w:pPr>
        <w:spacing w:line="560" w:lineRule="exact"/>
        <w:ind w:firstLine="422" w:firstLineChars="200"/>
        <w:outlineLvl w:val="9"/>
        <w:rPr>
          <w:rFonts w:hint="eastAsia" w:ascii="宋体" w:hAnsi="宋体" w:eastAsia="宋体" w:cs="宋体"/>
          <w:b/>
          <w:color w:val="auto"/>
          <w:sz w:val="21"/>
          <w:szCs w:val="21"/>
          <w:highlight w:val="none"/>
        </w:rPr>
      </w:pPr>
      <w:bookmarkStart w:id="109" w:name="_Toc19304"/>
      <w:bookmarkStart w:id="110" w:name="_Toc2846"/>
      <w:bookmarkStart w:id="111" w:name="_Toc32071"/>
      <w:r>
        <w:rPr>
          <w:rFonts w:hint="eastAsia" w:ascii="宋体" w:hAnsi="宋体" w:eastAsia="宋体" w:cs="宋体"/>
          <w:b/>
          <w:color w:val="auto"/>
          <w:sz w:val="21"/>
          <w:szCs w:val="21"/>
          <w:highlight w:val="none"/>
        </w:rPr>
        <w:t>1.5 货物交付期限、地点和方式</w:t>
      </w:r>
      <w:bookmarkEnd w:id="109"/>
      <w:bookmarkEnd w:id="110"/>
      <w:bookmarkEnd w:id="111"/>
    </w:p>
    <w:p w14:paraId="67609BEE">
      <w:pPr>
        <w:spacing w:line="5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1.5.1 交付期限：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97F807E">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 交付地点：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D0062D9">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 交付方式：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B0632CD">
      <w:pPr>
        <w:spacing w:line="560" w:lineRule="exact"/>
        <w:ind w:firstLine="422" w:firstLineChars="200"/>
        <w:outlineLvl w:val="9"/>
        <w:rPr>
          <w:rFonts w:hint="eastAsia" w:ascii="宋体" w:hAnsi="宋体" w:eastAsia="宋体" w:cs="宋体"/>
          <w:b/>
          <w:color w:val="auto"/>
          <w:sz w:val="21"/>
          <w:szCs w:val="21"/>
          <w:highlight w:val="none"/>
        </w:rPr>
      </w:pPr>
      <w:bookmarkStart w:id="112" w:name="_Toc27250"/>
      <w:bookmarkStart w:id="113" w:name="_Toc21423"/>
      <w:bookmarkStart w:id="114" w:name="_Toc19554"/>
      <w:r>
        <w:rPr>
          <w:rFonts w:hint="eastAsia" w:ascii="宋体" w:hAnsi="宋体" w:eastAsia="宋体" w:cs="宋体"/>
          <w:b/>
          <w:color w:val="auto"/>
          <w:sz w:val="21"/>
          <w:szCs w:val="21"/>
          <w:highlight w:val="none"/>
        </w:rPr>
        <w:t>1.6 违约责任</w:t>
      </w:r>
      <w:bookmarkEnd w:id="112"/>
      <w:bookmarkEnd w:id="113"/>
      <w:bookmarkEnd w:id="114"/>
    </w:p>
    <w:p w14:paraId="6B5944C4">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%计算，最高限额为本合同总价的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20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%；迟延交付货物的违约金计算数额达到前述最高限额之日起，甲方有权在要求乙方支付违约金的同时，书面通知乙方解除本合同；</w:t>
      </w:r>
    </w:p>
    <w:p w14:paraId="46C542E9">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 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%计算，最高限额为本合同总价的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%；迟延付款的违约金计算数额达到前述最高限额之日起，乙方有权在要求甲方支付违约金的同时，书面通知甲方解除本合同；</w:t>
      </w:r>
    </w:p>
    <w:p w14:paraId="4C51970A">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63AF6339">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AE9F474">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6A0C45D">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1.6.6 如果出现政府采购监督管理部门在处理投诉事项期间，书面通知甲方暂停采购活动的情形，或者询问或质疑事项可能影响中标结果的，导致甲方中止履行合同的情形，均不视为甲方违约。</w:t>
      </w:r>
    </w:p>
    <w:p w14:paraId="58DC00DC">
      <w:pPr>
        <w:spacing w:line="560" w:lineRule="exact"/>
        <w:ind w:firstLine="422" w:firstLineChars="200"/>
        <w:outlineLvl w:val="9"/>
        <w:rPr>
          <w:rFonts w:hint="eastAsia" w:ascii="宋体" w:hAnsi="宋体" w:eastAsia="宋体" w:cs="宋体"/>
          <w:b/>
          <w:color w:val="auto"/>
          <w:sz w:val="21"/>
          <w:szCs w:val="21"/>
          <w:highlight w:val="none"/>
        </w:rPr>
      </w:pPr>
      <w:bookmarkStart w:id="115" w:name="_Toc28375"/>
      <w:bookmarkStart w:id="116" w:name="_Toc15583"/>
      <w:bookmarkStart w:id="117" w:name="_Toc16021"/>
      <w:r>
        <w:rPr>
          <w:rFonts w:hint="eastAsia" w:ascii="宋体" w:hAnsi="宋体" w:eastAsia="宋体" w:cs="宋体"/>
          <w:b/>
          <w:color w:val="auto"/>
          <w:sz w:val="21"/>
          <w:szCs w:val="21"/>
          <w:highlight w:val="none"/>
        </w:rPr>
        <w:t>1.7 合同争议的解决</w:t>
      </w:r>
      <w:bookmarkEnd w:id="115"/>
      <w:bookmarkEnd w:id="116"/>
      <w:bookmarkEnd w:id="117"/>
    </w:p>
    <w:p w14:paraId="2901ED89">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本合同履行过程中发生的任何争议，双方当事人均可通过和解或者调解解决；不愿和解、调解或者和解、调解不成的，可以向</w:t>
      </w:r>
      <w:r>
        <w:rPr>
          <w:rFonts w:hint="eastAsia" w:ascii="宋体" w:hAnsi="宋体" w:eastAsia="宋体" w:cs="宋体"/>
          <w:color w:val="auto"/>
          <w:sz w:val="21"/>
          <w:szCs w:val="21"/>
          <w:highlight w:val="none"/>
          <w:u w:val="single"/>
        </w:rPr>
        <w:t xml:space="preserve">   甲方所在地    </w:t>
      </w:r>
      <w:r>
        <w:rPr>
          <w:rFonts w:hint="eastAsia" w:ascii="宋体" w:hAnsi="宋体" w:eastAsia="宋体" w:cs="宋体"/>
          <w:color w:val="auto"/>
          <w:sz w:val="21"/>
          <w:szCs w:val="21"/>
          <w:highlight w:val="none"/>
        </w:rPr>
        <w:t>人民法院起诉。</w:t>
      </w:r>
    </w:p>
    <w:p w14:paraId="598F2043">
      <w:pPr>
        <w:spacing w:line="560" w:lineRule="exact"/>
        <w:ind w:firstLine="422" w:firstLineChars="200"/>
        <w:outlineLvl w:val="9"/>
        <w:rPr>
          <w:rFonts w:hint="eastAsia" w:ascii="宋体" w:hAnsi="宋体" w:eastAsia="宋体" w:cs="宋体"/>
          <w:b/>
          <w:color w:val="auto"/>
          <w:sz w:val="21"/>
          <w:szCs w:val="21"/>
          <w:highlight w:val="none"/>
        </w:rPr>
      </w:pPr>
      <w:bookmarkStart w:id="118" w:name="_Toc7245"/>
      <w:bookmarkStart w:id="119" w:name="_Toc15322"/>
      <w:bookmarkStart w:id="120" w:name="_Toc11173"/>
      <w:r>
        <w:rPr>
          <w:rFonts w:hint="eastAsia" w:ascii="宋体" w:hAnsi="宋体" w:eastAsia="宋体" w:cs="宋体"/>
          <w:b/>
          <w:color w:val="auto"/>
          <w:sz w:val="21"/>
          <w:szCs w:val="21"/>
          <w:highlight w:val="none"/>
        </w:rPr>
        <w:t>1.8 合同生效</w:t>
      </w:r>
      <w:bookmarkEnd w:id="118"/>
      <w:bookmarkEnd w:id="119"/>
      <w:bookmarkEnd w:id="120"/>
    </w:p>
    <w:p w14:paraId="61217070">
      <w:pPr>
        <w:spacing w:line="560" w:lineRule="exact"/>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本合同自双方当事人盖章或者签字时生效。</w:t>
      </w:r>
    </w:p>
    <w:p w14:paraId="64A8C608">
      <w:pPr>
        <w:autoSpaceDE w:val="0"/>
        <w:autoSpaceDN w:val="0"/>
        <w:adjustRightInd w:val="0"/>
        <w:spacing w:line="560" w:lineRule="exact"/>
        <w:rPr>
          <w:rFonts w:hint="eastAsia" w:ascii="宋体" w:hAnsi="宋体" w:eastAsia="宋体" w:cs="宋体"/>
          <w:color w:val="auto"/>
          <w:sz w:val="21"/>
          <w:szCs w:val="21"/>
          <w:highlight w:val="none"/>
          <w:lang w:val="zh-CN"/>
        </w:rPr>
      </w:pPr>
    </w:p>
    <w:p w14:paraId="39327FED">
      <w:pPr>
        <w:autoSpaceDE w:val="0"/>
        <w:autoSpaceDN w:val="0"/>
        <w:adjustRightInd w:val="0"/>
        <w:spacing w:line="560" w:lineRule="exact"/>
        <w:rPr>
          <w:rFonts w:hint="eastAsia" w:ascii="宋体" w:hAnsi="宋体" w:eastAsia="宋体" w:cs="宋体"/>
          <w:color w:val="auto"/>
          <w:sz w:val="21"/>
          <w:szCs w:val="21"/>
          <w:highlight w:val="none"/>
          <w:lang w:val="zh-CN"/>
        </w:rPr>
      </w:pPr>
      <w:r>
        <w:rPr>
          <w:rFonts w:hint="eastAsia" w:ascii="宋体" w:hAnsi="宋体" w:eastAsia="宋体" w:cs="宋体"/>
          <w:b/>
          <w:color w:val="auto"/>
          <w:sz w:val="21"/>
          <w:szCs w:val="21"/>
          <w:highlight w:val="none"/>
          <w:lang w:val="zh-CN"/>
        </w:rPr>
        <w:t>甲方</w:t>
      </w:r>
      <w:r>
        <w:rPr>
          <w:rFonts w:hint="eastAsia" w:ascii="宋体" w:hAnsi="宋体" w:eastAsia="宋体" w:cs="宋体"/>
          <w:color w:val="auto"/>
          <w:sz w:val="21"/>
          <w:szCs w:val="21"/>
          <w:highlight w:val="none"/>
          <w:lang w:val="zh-CN"/>
        </w:rPr>
        <w:t xml:space="preserve">：河南省体育局                             </w:t>
      </w:r>
      <w:r>
        <w:rPr>
          <w:rFonts w:hint="eastAsia" w:ascii="宋体" w:hAnsi="宋体" w:eastAsia="宋体" w:cs="宋体"/>
          <w:b/>
          <w:color w:val="auto"/>
          <w:sz w:val="21"/>
          <w:szCs w:val="21"/>
          <w:highlight w:val="none"/>
          <w:lang w:val="zh-CN"/>
        </w:rPr>
        <w:t xml:space="preserve">   </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lang w:val="zh-CN"/>
        </w:rPr>
        <w:t xml:space="preserve">   乙方</w:t>
      </w:r>
      <w:r>
        <w:rPr>
          <w:rFonts w:hint="eastAsia" w:ascii="宋体" w:hAnsi="宋体" w:eastAsia="宋体" w:cs="宋体"/>
          <w:color w:val="auto"/>
          <w:sz w:val="21"/>
          <w:szCs w:val="21"/>
          <w:highlight w:val="none"/>
          <w:lang w:val="zh-CN"/>
        </w:rPr>
        <w:t>：</w:t>
      </w:r>
    </w:p>
    <w:p w14:paraId="61EDB2B4">
      <w:pPr>
        <w:autoSpaceDE w:val="0"/>
        <w:autoSpaceDN w:val="0"/>
        <w:adjustRightInd w:val="0"/>
        <w:spacing w:line="560" w:lineRule="exac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统一社会信用代码：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 xml:space="preserve">     统一社会信用代码或身份证号码：</w:t>
      </w:r>
    </w:p>
    <w:p w14:paraId="0E0D3FA2">
      <w:pPr>
        <w:autoSpaceDE w:val="0"/>
        <w:autoSpaceDN w:val="0"/>
        <w:adjustRightInd w:val="0"/>
        <w:spacing w:line="560" w:lineRule="exac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11410000005184726K</w:t>
      </w:r>
    </w:p>
    <w:p w14:paraId="63D29AED">
      <w:pPr>
        <w:autoSpaceDE w:val="0"/>
        <w:autoSpaceDN w:val="0"/>
        <w:adjustRightInd w:val="0"/>
        <w:spacing w:line="560" w:lineRule="exac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住所：郑州市健康路150号                  住所：</w:t>
      </w:r>
    </w:p>
    <w:p w14:paraId="3647DAD1">
      <w:pPr>
        <w:autoSpaceDE w:val="0"/>
        <w:autoSpaceDN w:val="0"/>
        <w:adjustRightInd w:val="0"/>
        <w:spacing w:line="560" w:lineRule="exac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法定代表人</w:t>
      </w:r>
      <w:r>
        <w:rPr>
          <w:rFonts w:hint="eastAsia" w:ascii="宋体" w:hAnsi="宋体" w:eastAsia="宋体" w:cs="宋体"/>
          <w:b w:val="0"/>
          <w:bCs w:val="0"/>
          <w:color w:val="auto"/>
          <w:sz w:val="21"/>
          <w:szCs w:val="21"/>
          <w:highlight w:val="none"/>
        </w:rPr>
        <w:t>（单位负责人）</w:t>
      </w:r>
      <w:r>
        <w:rPr>
          <w:rFonts w:hint="eastAsia" w:ascii="宋体" w:hAnsi="宋体" w:eastAsia="宋体" w:cs="宋体"/>
          <w:color w:val="auto"/>
          <w:sz w:val="21"/>
          <w:szCs w:val="21"/>
          <w:highlight w:val="none"/>
          <w:lang w:val="zh-CN"/>
        </w:rPr>
        <w:t xml:space="preserve">或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法定代表人</w:t>
      </w:r>
      <w:r>
        <w:rPr>
          <w:rFonts w:hint="eastAsia" w:ascii="宋体" w:hAnsi="宋体" w:eastAsia="宋体" w:cs="宋体"/>
          <w:b w:val="0"/>
          <w:bCs w:val="0"/>
          <w:color w:val="auto"/>
          <w:sz w:val="21"/>
          <w:szCs w:val="21"/>
          <w:highlight w:val="none"/>
        </w:rPr>
        <w:t>（单位负责人）</w:t>
      </w:r>
    </w:p>
    <w:p w14:paraId="121F0925">
      <w:pPr>
        <w:autoSpaceDE w:val="0"/>
        <w:autoSpaceDN w:val="0"/>
        <w:adjustRightInd w:val="0"/>
        <w:spacing w:line="560" w:lineRule="exac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授权代表（签字）：                       或授权代表（签字）: </w:t>
      </w:r>
    </w:p>
    <w:p w14:paraId="129DC478">
      <w:pPr>
        <w:autoSpaceDE w:val="0"/>
        <w:autoSpaceDN w:val="0"/>
        <w:adjustRightInd w:val="0"/>
        <w:spacing w:line="560" w:lineRule="exac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联系人：                                 联系人：</w:t>
      </w:r>
    </w:p>
    <w:p w14:paraId="653897B6">
      <w:pPr>
        <w:autoSpaceDE w:val="0"/>
        <w:autoSpaceDN w:val="0"/>
        <w:adjustRightInd w:val="0"/>
        <w:spacing w:line="560" w:lineRule="exac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约定送达地址：                           约定送达地址：</w:t>
      </w:r>
    </w:p>
    <w:p w14:paraId="791BE3A1">
      <w:pPr>
        <w:autoSpaceDE w:val="0"/>
        <w:autoSpaceDN w:val="0"/>
        <w:adjustRightInd w:val="0"/>
        <w:spacing w:line="560" w:lineRule="exac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邮政编码：                               邮政编码：</w:t>
      </w:r>
    </w:p>
    <w:p w14:paraId="30F1F457">
      <w:pPr>
        <w:autoSpaceDE w:val="0"/>
        <w:autoSpaceDN w:val="0"/>
        <w:adjustRightInd w:val="0"/>
        <w:spacing w:line="560" w:lineRule="exac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电话:                                    电话: </w:t>
      </w:r>
    </w:p>
    <w:p w14:paraId="0FB3CCC6">
      <w:pPr>
        <w:autoSpaceDE w:val="0"/>
        <w:autoSpaceDN w:val="0"/>
        <w:adjustRightInd w:val="0"/>
        <w:spacing w:line="560" w:lineRule="exac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传真:                                    传真:</w:t>
      </w:r>
    </w:p>
    <w:p w14:paraId="0DBEB9FC">
      <w:pPr>
        <w:autoSpaceDE w:val="0"/>
        <w:autoSpaceDN w:val="0"/>
        <w:adjustRightInd w:val="0"/>
        <w:spacing w:line="5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电子邮箱：                               电子邮箱：</w:t>
      </w:r>
    </w:p>
    <w:p w14:paraId="34732EE9">
      <w:pPr>
        <w:autoSpaceDE w:val="0"/>
        <w:autoSpaceDN w:val="0"/>
        <w:adjustRightInd w:val="0"/>
        <w:spacing w:line="5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开户银行：                               开户银行： </w:t>
      </w:r>
    </w:p>
    <w:p w14:paraId="276D36ED">
      <w:pPr>
        <w:autoSpaceDE w:val="0"/>
        <w:autoSpaceDN w:val="0"/>
        <w:adjustRightInd w:val="0"/>
        <w:spacing w:line="5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开户名称：                               开户名称： </w:t>
      </w:r>
    </w:p>
    <w:p w14:paraId="358CC3C6">
      <w:pPr>
        <w:autoSpaceDE w:val="0"/>
        <w:autoSpaceDN w:val="0"/>
        <w:adjustRightInd w:val="0"/>
        <w:spacing w:line="5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开户账号：</w:t>
      </w:r>
      <w:r>
        <w:rPr>
          <w:rFonts w:hint="eastAsia" w:ascii="宋体" w:hAnsi="宋体" w:eastAsia="宋体" w:cs="宋体"/>
          <w:color w:val="auto"/>
          <w:sz w:val="21"/>
          <w:szCs w:val="21"/>
          <w:highlight w:val="none"/>
          <w:lang w:val="zh-CN"/>
        </w:rPr>
        <w:t xml:space="preserve">                               </w:t>
      </w:r>
      <w:r>
        <w:rPr>
          <w:rFonts w:hint="eastAsia" w:ascii="宋体" w:hAnsi="宋体" w:eastAsia="宋体" w:cs="宋体"/>
          <w:color w:val="auto"/>
          <w:sz w:val="21"/>
          <w:szCs w:val="21"/>
          <w:highlight w:val="none"/>
        </w:rPr>
        <w:t>开户账号：</w:t>
      </w:r>
    </w:p>
    <w:p w14:paraId="3FA1B285">
      <w:pPr>
        <w:widowControl/>
        <w:spacing w:line="560" w:lineRule="exact"/>
        <w:jc w:val="left"/>
        <w:rPr>
          <w:rFonts w:hint="eastAsia" w:ascii="宋体" w:hAnsi="宋体" w:eastAsia="宋体" w:cs="宋体"/>
          <w:b/>
          <w:color w:val="auto"/>
          <w:sz w:val="21"/>
          <w:szCs w:val="21"/>
          <w:highlight w:val="none"/>
        </w:rPr>
      </w:pPr>
      <w:bookmarkStart w:id="121" w:name="_Toc331685783"/>
    </w:p>
    <w:p w14:paraId="261EC3BE">
      <w:pPr>
        <w:widowControl/>
        <w:spacing w:line="560" w:lineRule="exact"/>
        <w:jc w:val="left"/>
        <w:rPr>
          <w:rFonts w:hint="eastAsia" w:ascii="宋体" w:hAnsi="宋体" w:eastAsia="宋体" w:cs="宋体"/>
          <w:b/>
          <w:color w:val="auto"/>
          <w:sz w:val="21"/>
          <w:szCs w:val="21"/>
          <w:highlight w:val="none"/>
        </w:rPr>
      </w:pPr>
    </w:p>
    <w:p w14:paraId="48B42444">
      <w:pPr>
        <w:widowControl/>
        <w:spacing w:line="560" w:lineRule="exact"/>
        <w:jc w:val="left"/>
        <w:rPr>
          <w:rFonts w:hint="eastAsia" w:ascii="宋体" w:hAnsi="宋体" w:eastAsia="宋体" w:cs="宋体"/>
          <w:b/>
          <w:color w:val="auto"/>
          <w:kern w:val="0"/>
          <w:sz w:val="21"/>
          <w:szCs w:val="21"/>
          <w:highlight w:val="none"/>
        </w:rPr>
      </w:pPr>
    </w:p>
    <w:p w14:paraId="65293CF9">
      <w:pPr>
        <w:widowControl/>
        <w:spacing w:line="560" w:lineRule="exact"/>
        <w:jc w:val="left"/>
        <w:rPr>
          <w:rFonts w:hint="eastAsia" w:ascii="宋体" w:hAnsi="宋体" w:eastAsia="宋体" w:cs="宋体"/>
          <w:b/>
          <w:color w:val="auto"/>
          <w:kern w:val="0"/>
          <w:sz w:val="21"/>
          <w:szCs w:val="21"/>
          <w:highlight w:val="none"/>
        </w:rPr>
      </w:pPr>
    </w:p>
    <w:p w14:paraId="6825E092">
      <w:pPr>
        <w:widowControl/>
        <w:spacing w:line="560" w:lineRule="exact"/>
        <w:jc w:val="left"/>
        <w:rPr>
          <w:rFonts w:hint="eastAsia" w:ascii="宋体" w:hAnsi="宋体" w:eastAsia="宋体" w:cs="宋体"/>
          <w:b/>
          <w:color w:val="auto"/>
          <w:kern w:val="0"/>
          <w:sz w:val="21"/>
          <w:szCs w:val="21"/>
          <w:highlight w:val="none"/>
        </w:rPr>
      </w:pPr>
    </w:p>
    <w:p w14:paraId="70C66825">
      <w:pPr>
        <w:widowControl/>
        <w:spacing w:line="560" w:lineRule="exact"/>
        <w:jc w:val="left"/>
        <w:rPr>
          <w:rFonts w:hint="eastAsia" w:ascii="宋体" w:hAnsi="宋体" w:eastAsia="宋体" w:cs="宋体"/>
          <w:b/>
          <w:color w:val="auto"/>
          <w:kern w:val="0"/>
          <w:sz w:val="21"/>
          <w:szCs w:val="21"/>
          <w:highlight w:val="none"/>
        </w:rPr>
      </w:pPr>
    </w:p>
    <w:p w14:paraId="5A5E05A9">
      <w:pPr>
        <w:widowControl/>
        <w:spacing w:line="560" w:lineRule="exact"/>
        <w:jc w:val="left"/>
        <w:rPr>
          <w:rFonts w:hint="eastAsia" w:ascii="宋体" w:hAnsi="宋体" w:eastAsia="宋体" w:cs="宋体"/>
          <w:b/>
          <w:color w:val="auto"/>
          <w:kern w:val="0"/>
          <w:sz w:val="21"/>
          <w:szCs w:val="21"/>
          <w:highlight w:val="none"/>
        </w:rPr>
      </w:pPr>
    </w:p>
    <w:p w14:paraId="148CDA79">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1405E195">
      <w:pPr>
        <w:pStyle w:val="50"/>
        <w:spacing w:line="560" w:lineRule="exact"/>
        <w:ind w:firstLine="20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第二部分 合同一般条款</w:t>
      </w:r>
      <w:bookmarkEnd w:id="121"/>
    </w:p>
    <w:p w14:paraId="04D65C8F">
      <w:pPr>
        <w:spacing w:line="560" w:lineRule="exact"/>
        <w:ind w:firstLine="422" w:firstLineChars="200"/>
        <w:outlineLvl w:val="9"/>
        <w:rPr>
          <w:rFonts w:hint="eastAsia" w:ascii="宋体" w:hAnsi="宋体" w:eastAsia="宋体" w:cs="宋体"/>
          <w:b/>
          <w:color w:val="auto"/>
          <w:sz w:val="21"/>
          <w:szCs w:val="21"/>
          <w:highlight w:val="none"/>
        </w:rPr>
      </w:pPr>
      <w:bookmarkStart w:id="122" w:name="_Toc16917"/>
      <w:bookmarkStart w:id="123" w:name="_Ref467379094"/>
      <w:bookmarkStart w:id="124" w:name="_Ref467379195"/>
      <w:bookmarkStart w:id="125" w:name="_Ref467378404"/>
      <w:bookmarkStart w:id="126" w:name="_Toc19614"/>
      <w:bookmarkStart w:id="127" w:name="_Ref467378463"/>
      <w:bookmarkStart w:id="128" w:name="_Ref467379225"/>
      <w:bookmarkStart w:id="129" w:name="_Ref467379205"/>
      <w:bookmarkStart w:id="130" w:name="_Ref467379101"/>
      <w:bookmarkStart w:id="131" w:name="_Ref467379214"/>
      <w:bookmarkStart w:id="132" w:name="_Ref467379109"/>
      <w:bookmarkStart w:id="133" w:name="_Toc28763"/>
      <w:bookmarkStart w:id="134" w:name="_Ref467378499"/>
      <w:bookmarkStart w:id="135" w:name="_Toc279701240"/>
      <w:bookmarkStart w:id="136" w:name="_Toc259093669"/>
      <w:bookmarkStart w:id="137" w:name="_Toc487900349"/>
      <w:r>
        <w:rPr>
          <w:rFonts w:hint="eastAsia" w:ascii="宋体" w:hAnsi="宋体" w:eastAsia="宋体" w:cs="宋体"/>
          <w:b/>
          <w:color w:val="auto"/>
          <w:sz w:val="21"/>
          <w:szCs w:val="21"/>
          <w:highlight w:val="none"/>
        </w:rPr>
        <w:t>2.1 定义</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37D81E8F">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本合同中的下列词语应按以下内容进行解释：</w:t>
      </w:r>
    </w:p>
    <w:p w14:paraId="2E3D4C31">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 “合同”系指采购人和中标供应商签订的载明双方当事人所达成的协议，并包括所有的附件、附录和构成合同的其他文件。</w:t>
      </w:r>
    </w:p>
    <w:p w14:paraId="566FE73E">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 “合同价”系指根据合同约定，中标供应商在完全履行合同义务后，采购人应支付给中标供应商的价格。</w:t>
      </w:r>
    </w:p>
    <w:p w14:paraId="0BFDA3B6">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 “货物”系指中标供应商根据合同约定应向采购人交付的一切各种形态和种类的物品，包括原材料、燃料、设备、机械、仪表、备件、计算机软件、产品等，并包括工具、手册等其他相关资料。</w:t>
      </w:r>
    </w:p>
    <w:p w14:paraId="6BEE797A">
      <w:pPr>
        <w:spacing w:line="560" w:lineRule="exact"/>
        <w:ind w:firstLine="420" w:firstLineChars="200"/>
        <w:rPr>
          <w:rFonts w:hint="eastAsia" w:ascii="宋体" w:hAnsi="宋体" w:eastAsia="宋体" w:cs="宋体"/>
          <w:color w:val="auto"/>
          <w:sz w:val="21"/>
          <w:szCs w:val="21"/>
          <w:highlight w:val="none"/>
        </w:rPr>
      </w:pPr>
      <w:bookmarkStart w:id="138" w:name="_Ref467378840"/>
      <w:r>
        <w:rPr>
          <w:rFonts w:hint="eastAsia" w:ascii="宋体" w:hAnsi="宋体" w:eastAsia="宋体" w:cs="宋体"/>
          <w:color w:val="auto"/>
          <w:sz w:val="21"/>
          <w:szCs w:val="21"/>
          <w:highlight w:val="none"/>
        </w:rPr>
        <w:t>2.1.4 “甲方”系指与中标供应商签署合同的采购人</w:t>
      </w:r>
      <w:bookmarkEnd w:id="138"/>
      <w:r>
        <w:rPr>
          <w:rFonts w:hint="eastAsia" w:ascii="宋体" w:hAnsi="宋体" w:eastAsia="宋体" w:cs="宋体"/>
          <w:color w:val="auto"/>
          <w:sz w:val="21"/>
          <w:szCs w:val="21"/>
          <w:highlight w:val="none"/>
        </w:rPr>
        <w:t>；采购人委托采购代理机构代表其与乙方签订合同的，采购人的授权委托书作为合同附件。</w:t>
      </w:r>
    </w:p>
    <w:p w14:paraId="5F65DC69">
      <w:pPr>
        <w:spacing w:line="560" w:lineRule="exact"/>
        <w:ind w:firstLine="420" w:firstLineChars="200"/>
        <w:outlineLvl w:val="9"/>
        <w:rPr>
          <w:rFonts w:hint="eastAsia" w:ascii="宋体" w:hAnsi="宋体" w:eastAsia="宋体" w:cs="宋体"/>
          <w:color w:val="auto"/>
          <w:sz w:val="21"/>
          <w:szCs w:val="21"/>
          <w:highlight w:val="none"/>
        </w:rPr>
      </w:pPr>
      <w:bookmarkStart w:id="139" w:name="_Ref467379400"/>
      <w:r>
        <w:rPr>
          <w:rFonts w:hint="eastAsia" w:ascii="宋体" w:hAnsi="宋体" w:eastAsia="宋体" w:cs="宋体"/>
          <w:color w:val="auto"/>
          <w:sz w:val="21"/>
          <w:szCs w:val="21"/>
          <w:highlight w:val="none"/>
        </w:rPr>
        <w:t>2.1.5 “乙方”系指根据合同约定交付货物的中标供应商</w:t>
      </w:r>
      <w:bookmarkEnd w:id="139"/>
      <w:r>
        <w:rPr>
          <w:rFonts w:hint="eastAsia" w:ascii="宋体" w:hAnsi="宋体" w:eastAsia="宋体" w:cs="宋体"/>
          <w:color w:val="auto"/>
          <w:sz w:val="21"/>
          <w:szCs w:val="21"/>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00F82FFC">
      <w:pPr>
        <w:spacing w:line="560" w:lineRule="exact"/>
        <w:ind w:firstLine="420" w:firstLineChars="200"/>
        <w:outlineLvl w:val="9"/>
        <w:rPr>
          <w:rFonts w:hint="eastAsia" w:ascii="宋体" w:hAnsi="宋体" w:eastAsia="宋体" w:cs="宋体"/>
          <w:color w:val="auto"/>
          <w:sz w:val="21"/>
          <w:szCs w:val="21"/>
          <w:highlight w:val="none"/>
        </w:rPr>
      </w:pPr>
      <w:bookmarkStart w:id="140" w:name="_Ref467379436"/>
      <w:r>
        <w:rPr>
          <w:rFonts w:hint="eastAsia" w:ascii="宋体" w:hAnsi="宋体" w:eastAsia="宋体" w:cs="宋体"/>
          <w:color w:val="auto"/>
          <w:sz w:val="21"/>
          <w:szCs w:val="21"/>
          <w:highlight w:val="none"/>
        </w:rPr>
        <w:t>2.1.6 “现场”系指合同约定货物将要运至或者安装的地点。</w:t>
      </w:r>
      <w:bookmarkEnd w:id="140"/>
    </w:p>
    <w:p w14:paraId="343E8DDD">
      <w:pPr>
        <w:spacing w:line="560" w:lineRule="exact"/>
        <w:ind w:firstLine="422" w:firstLineChars="200"/>
        <w:outlineLvl w:val="9"/>
        <w:rPr>
          <w:rFonts w:hint="eastAsia" w:ascii="宋体" w:hAnsi="宋体" w:eastAsia="宋体" w:cs="宋体"/>
          <w:b/>
          <w:color w:val="auto"/>
          <w:sz w:val="21"/>
          <w:szCs w:val="21"/>
          <w:highlight w:val="none"/>
        </w:rPr>
      </w:pPr>
      <w:bookmarkStart w:id="141" w:name="_Toc487900350"/>
      <w:bookmarkStart w:id="142" w:name="_Toc27635"/>
      <w:bookmarkStart w:id="143" w:name="_Toc32504"/>
      <w:bookmarkStart w:id="144" w:name="_Toc259093670"/>
      <w:bookmarkStart w:id="145" w:name="_Toc13336"/>
      <w:bookmarkStart w:id="146" w:name="_Toc279701241"/>
      <w:r>
        <w:rPr>
          <w:rFonts w:hint="eastAsia" w:ascii="宋体" w:hAnsi="宋体" w:eastAsia="宋体" w:cs="宋体"/>
          <w:b/>
          <w:color w:val="auto"/>
          <w:sz w:val="21"/>
          <w:szCs w:val="21"/>
          <w:highlight w:val="none"/>
        </w:rPr>
        <w:t>2.2 技术规范</w:t>
      </w:r>
      <w:bookmarkEnd w:id="141"/>
      <w:bookmarkEnd w:id="142"/>
      <w:bookmarkEnd w:id="143"/>
      <w:bookmarkEnd w:id="144"/>
      <w:bookmarkEnd w:id="145"/>
      <w:bookmarkEnd w:id="146"/>
    </w:p>
    <w:p w14:paraId="50949EE6">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4E26B2F7">
      <w:pPr>
        <w:spacing w:line="560" w:lineRule="exact"/>
        <w:ind w:firstLine="422" w:firstLineChars="200"/>
        <w:outlineLvl w:val="9"/>
        <w:rPr>
          <w:rFonts w:hint="eastAsia" w:ascii="宋体" w:hAnsi="宋体" w:eastAsia="宋体" w:cs="宋体"/>
          <w:b/>
          <w:color w:val="auto"/>
          <w:sz w:val="21"/>
          <w:szCs w:val="21"/>
          <w:highlight w:val="none"/>
        </w:rPr>
      </w:pPr>
      <w:bookmarkStart w:id="147" w:name="_Toc9829"/>
      <w:bookmarkStart w:id="148" w:name="_Toc259093671"/>
      <w:bookmarkStart w:id="149" w:name="_Toc31634"/>
      <w:bookmarkStart w:id="150" w:name="_Toc487900351"/>
      <w:bookmarkStart w:id="151" w:name="_Toc27853"/>
      <w:bookmarkStart w:id="152" w:name="_Toc279701242"/>
      <w:r>
        <w:rPr>
          <w:rFonts w:hint="eastAsia" w:ascii="宋体" w:hAnsi="宋体" w:eastAsia="宋体" w:cs="宋体"/>
          <w:b/>
          <w:color w:val="auto"/>
          <w:sz w:val="21"/>
          <w:szCs w:val="21"/>
          <w:highlight w:val="none"/>
        </w:rPr>
        <w:t>2.3 知识产权</w:t>
      </w:r>
      <w:bookmarkEnd w:id="147"/>
      <w:bookmarkEnd w:id="148"/>
      <w:bookmarkEnd w:id="149"/>
      <w:bookmarkEnd w:id="150"/>
      <w:bookmarkEnd w:id="151"/>
      <w:bookmarkEnd w:id="152"/>
    </w:p>
    <w:p w14:paraId="47D7B4BA">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14:paraId="21C31047">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2.3.2具有知识产权的计算机软件等货物的知识产权归属，详见</w:t>
      </w:r>
      <w:r>
        <w:rPr>
          <w:rFonts w:hint="eastAsia" w:ascii="宋体" w:hAnsi="宋体" w:eastAsia="宋体" w:cs="宋体"/>
          <w:b/>
          <w:i/>
          <w:color w:val="auto"/>
          <w:sz w:val="21"/>
          <w:szCs w:val="21"/>
          <w:highlight w:val="none"/>
          <w:u w:val="single"/>
        </w:rPr>
        <w:t>合同专用条款</w:t>
      </w:r>
      <w:r>
        <w:rPr>
          <w:rFonts w:hint="eastAsia" w:ascii="宋体" w:hAnsi="宋体" w:eastAsia="宋体" w:cs="宋体"/>
          <w:color w:val="auto"/>
          <w:sz w:val="21"/>
          <w:szCs w:val="21"/>
          <w:highlight w:val="none"/>
        </w:rPr>
        <w:t>。</w:t>
      </w:r>
    </w:p>
    <w:p w14:paraId="3289B2EC">
      <w:pPr>
        <w:spacing w:line="560" w:lineRule="exact"/>
        <w:ind w:firstLine="422" w:firstLineChars="200"/>
        <w:outlineLvl w:val="9"/>
        <w:rPr>
          <w:rFonts w:hint="eastAsia" w:ascii="宋体" w:hAnsi="宋体" w:eastAsia="宋体" w:cs="宋体"/>
          <w:b/>
          <w:color w:val="auto"/>
          <w:sz w:val="21"/>
          <w:szCs w:val="21"/>
          <w:highlight w:val="none"/>
        </w:rPr>
      </w:pPr>
      <w:bookmarkStart w:id="153" w:name="_Toc29149"/>
      <w:bookmarkStart w:id="154" w:name="_Toc11932"/>
      <w:bookmarkStart w:id="155" w:name="_Toc4194"/>
      <w:r>
        <w:rPr>
          <w:rFonts w:hint="eastAsia" w:ascii="宋体" w:hAnsi="宋体" w:eastAsia="宋体" w:cs="宋体"/>
          <w:b/>
          <w:color w:val="auto"/>
          <w:sz w:val="21"/>
          <w:szCs w:val="21"/>
          <w:highlight w:val="none"/>
        </w:rPr>
        <w:t>2.4 包装和装运</w:t>
      </w:r>
      <w:bookmarkEnd w:id="153"/>
      <w:bookmarkEnd w:id="154"/>
      <w:bookmarkEnd w:id="155"/>
    </w:p>
    <w:p w14:paraId="01C18874">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2.4.1除</w:t>
      </w:r>
      <w:r>
        <w:rPr>
          <w:rFonts w:hint="eastAsia" w:ascii="宋体" w:hAnsi="宋体" w:eastAsia="宋体" w:cs="宋体"/>
          <w:b/>
          <w:i/>
          <w:color w:val="auto"/>
          <w:sz w:val="21"/>
          <w:szCs w:val="21"/>
          <w:highlight w:val="none"/>
          <w:u w:val="single"/>
        </w:rPr>
        <w:t>合同专用条款</w:t>
      </w:r>
      <w:r>
        <w:rPr>
          <w:rFonts w:hint="eastAsia" w:ascii="宋体" w:hAnsi="宋体" w:eastAsia="宋体" w:cs="宋体"/>
          <w:color w:val="auto"/>
          <w:sz w:val="21"/>
          <w:szCs w:val="21"/>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1B218ACC">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 装运货物的要求和通知，详见</w:t>
      </w:r>
      <w:r>
        <w:rPr>
          <w:rFonts w:hint="eastAsia" w:ascii="宋体" w:hAnsi="宋体" w:eastAsia="宋体" w:cs="宋体"/>
          <w:b/>
          <w:i/>
          <w:color w:val="auto"/>
          <w:sz w:val="21"/>
          <w:szCs w:val="21"/>
          <w:highlight w:val="none"/>
          <w:u w:val="single"/>
        </w:rPr>
        <w:t>合同专用条款</w:t>
      </w:r>
      <w:r>
        <w:rPr>
          <w:rFonts w:hint="eastAsia" w:ascii="宋体" w:hAnsi="宋体" w:eastAsia="宋体" w:cs="宋体"/>
          <w:color w:val="auto"/>
          <w:sz w:val="21"/>
          <w:szCs w:val="21"/>
          <w:highlight w:val="none"/>
        </w:rPr>
        <w:t>。</w:t>
      </w:r>
    </w:p>
    <w:p w14:paraId="2CE5EBD7">
      <w:pPr>
        <w:spacing w:line="560" w:lineRule="exact"/>
        <w:ind w:firstLine="422" w:firstLineChars="200"/>
        <w:outlineLvl w:val="9"/>
        <w:rPr>
          <w:rFonts w:hint="eastAsia" w:ascii="宋体" w:hAnsi="宋体" w:eastAsia="宋体" w:cs="宋体"/>
          <w:b/>
          <w:color w:val="auto"/>
          <w:sz w:val="21"/>
          <w:szCs w:val="21"/>
          <w:highlight w:val="none"/>
        </w:rPr>
      </w:pPr>
      <w:bookmarkStart w:id="156" w:name="_Ref467379542"/>
      <w:bookmarkStart w:id="157" w:name="_Ref467378541"/>
      <w:bookmarkStart w:id="158" w:name="_Toc279701245"/>
      <w:bookmarkStart w:id="159" w:name="_Ref467378591"/>
      <w:bookmarkStart w:id="160" w:name="_Ref467379527"/>
      <w:bookmarkStart w:id="161" w:name="_Toc259093674"/>
      <w:bookmarkStart w:id="162" w:name="_Toc487900354"/>
      <w:bookmarkStart w:id="163" w:name="_Ref467379536"/>
      <w:bookmarkStart w:id="164" w:name="_Toc19074"/>
      <w:bookmarkStart w:id="165" w:name="_Toc30272"/>
      <w:bookmarkStart w:id="166" w:name="_Toc26182"/>
      <w:r>
        <w:rPr>
          <w:rFonts w:hint="eastAsia" w:ascii="宋体" w:hAnsi="宋体" w:eastAsia="宋体" w:cs="宋体"/>
          <w:b/>
          <w:color w:val="auto"/>
          <w:sz w:val="21"/>
          <w:szCs w:val="21"/>
          <w:highlight w:val="none"/>
        </w:rPr>
        <w:t>2.</w:t>
      </w:r>
      <w:bookmarkEnd w:id="156"/>
      <w:bookmarkEnd w:id="157"/>
      <w:bookmarkEnd w:id="158"/>
      <w:bookmarkEnd w:id="159"/>
      <w:bookmarkEnd w:id="160"/>
      <w:bookmarkEnd w:id="161"/>
      <w:bookmarkEnd w:id="162"/>
      <w:bookmarkEnd w:id="163"/>
      <w:r>
        <w:rPr>
          <w:rFonts w:hint="eastAsia" w:ascii="宋体" w:hAnsi="宋体" w:eastAsia="宋体" w:cs="宋体"/>
          <w:b/>
          <w:color w:val="auto"/>
          <w:sz w:val="21"/>
          <w:szCs w:val="21"/>
          <w:highlight w:val="none"/>
        </w:rPr>
        <w:t>5 履约检查和问题反馈</w:t>
      </w:r>
      <w:bookmarkEnd w:id="164"/>
      <w:bookmarkEnd w:id="165"/>
      <w:bookmarkEnd w:id="166"/>
    </w:p>
    <w:p w14:paraId="7E4E3B14">
      <w:pPr>
        <w:spacing w:line="560" w:lineRule="exact"/>
        <w:ind w:firstLine="420" w:firstLineChars="200"/>
        <w:outlineLvl w:val="9"/>
        <w:rPr>
          <w:rFonts w:hint="eastAsia" w:ascii="宋体" w:hAnsi="宋体" w:eastAsia="宋体" w:cs="宋体"/>
          <w:color w:val="auto"/>
          <w:sz w:val="21"/>
          <w:szCs w:val="21"/>
          <w:highlight w:val="none"/>
        </w:rPr>
      </w:pPr>
      <w:bookmarkStart w:id="167" w:name="_Ref467379657"/>
      <w:r>
        <w:rPr>
          <w:rFonts w:hint="eastAsia" w:ascii="宋体" w:hAnsi="宋体" w:eastAsia="宋体" w:cs="宋体"/>
          <w:color w:val="auto"/>
          <w:sz w:val="21"/>
          <w:szCs w:val="21"/>
          <w:highlight w:val="none"/>
        </w:rPr>
        <w:t>2.5.1</w:t>
      </w:r>
      <w:bookmarkEnd w:id="167"/>
      <w:bookmarkStart w:id="168" w:name="_Toc186431854"/>
      <w:bookmarkStart w:id="169" w:name="_Toc279701247"/>
      <w:bookmarkStart w:id="170" w:name="_Ref467379807"/>
      <w:bookmarkStart w:id="171" w:name="_Toc487900357"/>
      <w:bookmarkStart w:id="172" w:name="_Toc259093676"/>
      <w:bookmarkStart w:id="173" w:name="_Ref467379793"/>
      <w:r>
        <w:rPr>
          <w:rFonts w:hint="eastAsia" w:ascii="宋体" w:hAnsi="宋体" w:eastAsia="宋体" w:cs="宋体"/>
          <w:color w:val="auto"/>
          <w:sz w:val="21"/>
          <w:szCs w:val="21"/>
          <w:highlight w:val="none"/>
        </w:rPr>
        <w:t>甲方有权在其认为必要时，对乙方是否能够按照合同约定交付货物进行履约检查，以确保乙方所交付的货物能够依约满足甲方之项目需求，但不得因履约检查妨碍乙方的正常工作，乙方应予积极配合；</w:t>
      </w:r>
    </w:p>
    <w:p w14:paraId="7551FF14">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2.5.2 合同履行期间，甲方有权将履行过程中出现的问题反馈给乙方，双方当事人应以书面形式约定需要完善和改进的内容</w:t>
      </w:r>
      <w:bookmarkEnd w:id="168"/>
      <w:bookmarkStart w:id="174" w:name="_Toc186431855"/>
      <w:r>
        <w:rPr>
          <w:rFonts w:hint="eastAsia" w:ascii="宋体" w:hAnsi="宋体" w:eastAsia="宋体" w:cs="宋体"/>
          <w:color w:val="auto"/>
          <w:sz w:val="21"/>
          <w:szCs w:val="21"/>
          <w:highlight w:val="none"/>
        </w:rPr>
        <w:t>。</w:t>
      </w:r>
    </w:p>
    <w:bookmarkEnd w:id="174"/>
    <w:p w14:paraId="07B13E1A">
      <w:pPr>
        <w:spacing w:line="560" w:lineRule="exact"/>
        <w:ind w:firstLine="422" w:firstLineChars="200"/>
        <w:outlineLvl w:val="9"/>
        <w:rPr>
          <w:rFonts w:hint="eastAsia" w:ascii="宋体" w:hAnsi="宋体" w:eastAsia="宋体" w:cs="宋体"/>
          <w:b/>
          <w:color w:val="auto"/>
          <w:sz w:val="21"/>
          <w:szCs w:val="21"/>
          <w:highlight w:val="none"/>
        </w:rPr>
      </w:pPr>
      <w:bookmarkStart w:id="175" w:name="_Toc28451"/>
      <w:bookmarkStart w:id="176" w:name="_Toc19219"/>
      <w:bookmarkStart w:id="177" w:name="_Toc7836"/>
      <w:r>
        <w:rPr>
          <w:rFonts w:hint="eastAsia" w:ascii="宋体" w:hAnsi="宋体" w:eastAsia="宋体" w:cs="宋体"/>
          <w:b/>
          <w:color w:val="auto"/>
          <w:sz w:val="21"/>
          <w:szCs w:val="21"/>
          <w:highlight w:val="none"/>
        </w:rPr>
        <w:t>2.6 结算方式和付款条件</w:t>
      </w:r>
      <w:bookmarkEnd w:id="169"/>
      <w:bookmarkEnd w:id="170"/>
      <w:bookmarkEnd w:id="171"/>
      <w:bookmarkEnd w:id="172"/>
      <w:bookmarkEnd w:id="173"/>
      <w:bookmarkEnd w:id="175"/>
      <w:bookmarkEnd w:id="176"/>
      <w:bookmarkEnd w:id="177"/>
    </w:p>
    <w:p w14:paraId="101F59CA">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w:t>
      </w:r>
      <w:r>
        <w:rPr>
          <w:rFonts w:hint="eastAsia" w:ascii="宋体" w:hAnsi="宋体" w:eastAsia="宋体" w:cs="宋体"/>
          <w:b/>
          <w:i/>
          <w:color w:val="auto"/>
          <w:sz w:val="21"/>
          <w:szCs w:val="21"/>
          <w:highlight w:val="none"/>
          <w:u w:val="single"/>
        </w:rPr>
        <w:t>合同专用条款</w:t>
      </w:r>
      <w:r>
        <w:rPr>
          <w:rFonts w:hint="eastAsia" w:ascii="宋体" w:hAnsi="宋体" w:eastAsia="宋体" w:cs="宋体"/>
          <w:color w:val="auto"/>
          <w:sz w:val="21"/>
          <w:szCs w:val="21"/>
          <w:highlight w:val="none"/>
        </w:rPr>
        <w:t>。</w:t>
      </w:r>
    </w:p>
    <w:p w14:paraId="54376E36">
      <w:pPr>
        <w:spacing w:line="560" w:lineRule="exact"/>
        <w:ind w:firstLine="422" w:firstLineChars="200"/>
        <w:outlineLvl w:val="9"/>
        <w:rPr>
          <w:rFonts w:hint="eastAsia" w:ascii="宋体" w:hAnsi="宋体" w:eastAsia="宋体" w:cs="宋体"/>
          <w:b/>
          <w:color w:val="auto"/>
          <w:sz w:val="21"/>
          <w:szCs w:val="21"/>
          <w:highlight w:val="none"/>
        </w:rPr>
      </w:pPr>
      <w:bookmarkStart w:id="178" w:name="_Toc279701248"/>
      <w:bookmarkStart w:id="179" w:name="_Ref467379923"/>
      <w:bookmarkStart w:id="180" w:name="_Toc487900358"/>
      <w:bookmarkStart w:id="181" w:name="_Toc259093677"/>
      <w:bookmarkStart w:id="182" w:name="_Ref467379863"/>
      <w:bookmarkStart w:id="183" w:name="_Ref467379852"/>
      <w:bookmarkStart w:id="184" w:name="_Toc16110"/>
      <w:bookmarkStart w:id="185" w:name="_Toc774"/>
      <w:bookmarkStart w:id="186" w:name="_Toc3225"/>
      <w:r>
        <w:rPr>
          <w:rFonts w:hint="eastAsia" w:ascii="宋体" w:hAnsi="宋体" w:eastAsia="宋体" w:cs="宋体"/>
          <w:b/>
          <w:color w:val="auto"/>
          <w:sz w:val="21"/>
          <w:szCs w:val="21"/>
          <w:highlight w:val="none"/>
        </w:rPr>
        <w:t>2.7 技术资料</w:t>
      </w:r>
      <w:bookmarkEnd w:id="178"/>
      <w:bookmarkEnd w:id="179"/>
      <w:bookmarkEnd w:id="180"/>
      <w:bookmarkEnd w:id="181"/>
      <w:bookmarkEnd w:id="182"/>
      <w:bookmarkEnd w:id="183"/>
      <w:r>
        <w:rPr>
          <w:rFonts w:hint="eastAsia" w:ascii="宋体" w:hAnsi="宋体" w:eastAsia="宋体" w:cs="宋体"/>
          <w:b/>
          <w:color w:val="auto"/>
          <w:sz w:val="21"/>
          <w:szCs w:val="21"/>
          <w:highlight w:val="none"/>
        </w:rPr>
        <w:t>和保密义务</w:t>
      </w:r>
      <w:bookmarkEnd w:id="184"/>
      <w:bookmarkEnd w:id="185"/>
      <w:bookmarkEnd w:id="186"/>
    </w:p>
    <w:p w14:paraId="696253D1">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2.7.1 乙方有权依据合同约定和项目需要，向甲方了解有关情况，调阅有关资料等，甲方应予积极配合；</w:t>
      </w:r>
    </w:p>
    <w:p w14:paraId="102AE824">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2.7.2 乙方有义务妥善保管和保护由甲方提供的前款信息和资料等；</w:t>
      </w:r>
    </w:p>
    <w:p w14:paraId="3BA63B82">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256D59F1">
      <w:pPr>
        <w:spacing w:line="560" w:lineRule="exact"/>
        <w:ind w:firstLine="422" w:firstLineChars="200"/>
        <w:outlineLvl w:val="9"/>
        <w:rPr>
          <w:rFonts w:hint="eastAsia" w:ascii="宋体" w:hAnsi="宋体" w:eastAsia="宋体" w:cs="宋体"/>
          <w:b/>
          <w:color w:val="auto"/>
          <w:sz w:val="21"/>
          <w:szCs w:val="21"/>
          <w:highlight w:val="none"/>
        </w:rPr>
      </w:pPr>
      <w:bookmarkStart w:id="187" w:name="_Toc7860"/>
      <w:r>
        <w:rPr>
          <w:rFonts w:hint="eastAsia" w:ascii="宋体" w:hAnsi="宋体" w:eastAsia="宋体" w:cs="宋体"/>
          <w:b/>
          <w:color w:val="auto"/>
          <w:sz w:val="21"/>
          <w:szCs w:val="21"/>
          <w:highlight w:val="none"/>
        </w:rPr>
        <w:t>2.8 质量保证</w:t>
      </w:r>
      <w:bookmarkEnd w:id="187"/>
    </w:p>
    <w:p w14:paraId="115902F3">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2.8.1 乙方应建立和完善履行合同的内部质量保证体系，并提供相关内部规章制度给甲方，以便甲方进行监督检查；</w:t>
      </w:r>
    </w:p>
    <w:p w14:paraId="0B6E7574">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2.8.2 乙方应保证履行合同的人员数量和素质、软件和硬件设备的配置、场地、环境和设施等满足全面履行合同的要求，并应接受甲方的监督检查。</w:t>
      </w:r>
    </w:p>
    <w:p w14:paraId="1352664D">
      <w:pPr>
        <w:spacing w:line="560" w:lineRule="exact"/>
        <w:ind w:firstLine="422" w:firstLineChars="200"/>
        <w:outlineLvl w:val="9"/>
        <w:rPr>
          <w:rFonts w:hint="eastAsia" w:ascii="宋体" w:hAnsi="宋体" w:eastAsia="宋体" w:cs="宋体"/>
          <w:b/>
          <w:color w:val="auto"/>
          <w:sz w:val="21"/>
          <w:szCs w:val="21"/>
          <w:highlight w:val="none"/>
        </w:rPr>
      </w:pPr>
      <w:bookmarkStart w:id="188" w:name="_Toc17244"/>
      <w:bookmarkStart w:id="189" w:name="_Toc279701252"/>
      <w:bookmarkStart w:id="190" w:name="_Toc259093681"/>
      <w:bookmarkStart w:id="191" w:name="_Toc487900362"/>
      <w:r>
        <w:rPr>
          <w:rFonts w:hint="eastAsia" w:ascii="宋体" w:hAnsi="宋体" w:eastAsia="宋体" w:cs="宋体"/>
          <w:b/>
          <w:color w:val="auto"/>
          <w:sz w:val="21"/>
          <w:szCs w:val="21"/>
          <w:highlight w:val="none"/>
        </w:rPr>
        <w:t>2.9 货物的风险负担</w:t>
      </w:r>
      <w:bookmarkEnd w:id="188"/>
    </w:p>
    <w:p w14:paraId="4AD53C43">
      <w:pPr>
        <w:spacing w:line="560" w:lineRule="exact"/>
        <w:ind w:firstLine="420" w:firstLineChars="200"/>
        <w:outlineLvl w:val="9"/>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货物或者在途货物或者交付给第一承运人后的货物毁损、灭失的风险负担详见</w:t>
      </w:r>
      <w:r>
        <w:rPr>
          <w:rFonts w:hint="eastAsia" w:ascii="宋体" w:hAnsi="宋体" w:eastAsia="宋体" w:cs="宋体"/>
          <w:b/>
          <w:i/>
          <w:color w:val="auto"/>
          <w:sz w:val="21"/>
          <w:szCs w:val="21"/>
          <w:highlight w:val="none"/>
          <w:u w:val="single"/>
        </w:rPr>
        <w:t>合同专用条款</w:t>
      </w:r>
      <w:r>
        <w:rPr>
          <w:rFonts w:hint="eastAsia" w:ascii="宋体" w:hAnsi="宋体" w:eastAsia="宋体" w:cs="宋体"/>
          <w:color w:val="auto"/>
          <w:sz w:val="21"/>
          <w:szCs w:val="21"/>
          <w:highlight w:val="none"/>
        </w:rPr>
        <w:t>。</w:t>
      </w:r>
    </w:p>
    <w:p w14:paraId="020388A8">
      <w:pPr>
        <w:spacing w:line="560" w:lineRule="exact"/>
        <w:ind w:firstLine="422" w:firstLineChars="200"/>
        <w:outlineLvl w:val="9"/>
        <w:rPr>
          <w:rFonts w:hint="eastAsia" w:ascii="宋体" w:hAnsi="宋体" w:eastAsia="宋体" w:cs="宋体"/>
          <w:b/>
          <w:color w:val="auto"/>
          <w:sz w:val="21"/>
          <w:szCs w:val="21"/>
          <w:highlight w:val="none"/>
        </w:rPr>
      </w:pPr>
      <w:bookmarkStart w:id="192" w:name="_Toc14055"/>
      <w:r>
        <w:rPr>
          <w:rFonts w:hint="eastAsia" w:ascii="宋体" w:hAnsi="宋体" w:eastAsia="宋体" w:cs="宋体"/>
          <w:b/>
          <w:color w:val="auto"/>
          <w:sz w:val="21"/>
          <w:szCs w:val="21"/>
          <w:highlight w:val="none"/>
        </w:rPr>
        <w:t>2.10 延迟交货</w:t>
      </w:r>
      <w:bookmarkEnd w:id="189"/>
      <w:bookmarkEnd w:id="190"/>
      <w:bookmarkEnd w:id="191"/>
      <w:bookmarkEnd w:id="192"/>
    </w:p>
    <w:p w14:paraId="577C2198">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14:paraId="70251E6E">
      <w:pPr>
        <w:spacing w:line="560" w:lineRule="exact"/>
        <w:ind w:firstLine="422" w:firstLineChars="200"/>
        <w:outlineLvl w:val="9"/>
        <w:rPr>
          <w:rFonts w:hint="eastAsia" w:ascii="宋体" w:hAnsi="宋体" w:eastAsia="宋体" w:cs="宋体"/>
          <w:b/>
          <w:color w:val="auto"/>
          <w:sz w:val="21"/>
          <w:szCs w:val="21"/>
          <w:highlight w:val="none"/>
        </w:rPr>
      </w:pPr>
      <w:bookmarkStart w:id="193" w:name="_Toc7502"/>
      <w:bookmarkStart w:id="194" w:name="_Toc279701254"/>
      <w:bookmarkStart w:id="195" w:name="_Toc259093683"/>
      <w:bookmarkStart w:id="196" w:name="_Toc487900364"/>
      <w:bookmarkStart w:id="197" w:name="_Ref467378121"/>
      <w:r>
        <w:rPr>
          <w:rFonts w:hint="eastAsia" w:ascii="宋体" w:hAnsi="宋体" w:eastAsia="宋体" w:cs="宋体"/>
          <w:b/>
          <w:color w:val="auto"/>
          <w:sz w:val="21"/>
          <w:szCs w:val="21"/>
          <w:highlight w:val="none"/>
        </w:rPr>
        <w:t>2.11 合同变更</w:t>
      </w:r>
      <w:bookmarkEnd w:id="193"/>
    </w:p>
    <w:p w14:paraId="496C60D7">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2.11.1双方当事人协商一致，可以签订书面补充合同的形式变更合同，但不得违背采购文件确定的事项，且如果系追加与合同标的相同的货物的，那么所有补充合同的采购金额不得超过原合同价的10%；</w:t>
      </w:r>
    </w:p>
    <w:p w14:paraId="0D9E6054">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2.11.2 合同继续履行将损害国家利益和社会公共利益的，双方当事人应当以书面形式变更合同。有过错的一方应当承担赔偿责任，双方当事人都有过错的，各自承担相应的责任。</w:t>
      </w:r>
      <w:bookmarkStart w:id="198" w:name="_Toc279701259"/>
      <w:bookmarkStart w:id="199" w:name="_Toc487900369"/>
      <w:bookmarkStart w:id="200" w:name="_Toc259093688"/>
    </w:p>
    <w:p w14:paraId="13552E38">
      <w:pPr>
        <w:spacing w:line="560" w:lineRule="exact"/>
        <w:ind w:firstLine="422" w:firstLineChars="200"/>
        <w:outlineLvl w:val="9"/>
        <w:rPr>
          <w:rFonts w:hint="eastAsia" w:ascii="宋体" w:hAnsi="宋体" w:eastAsia="宋体" w:cs="宋体"/>
          <w:b/>
          <w:color w:val="auto"/>
          <w:sz w:val="21"/>
          <w:szCs w:val="21"/>
          <w:highlight w:val="none"/>
        </w:rPr>
      </w:pPr>
      <w:bookmarkStart w:id="201" w:name="_Toc10366"/>
      <w:bookmarkStart w:id="202" w:name="_Toc15237"/>
      <w:bookmarkStart w:id="203" w:name="_Toc22955"/>
      <w:r>
        <w:rPr>
          <w:rFonts w:hint="eastAsia" w:ascii="宋体" w:hAnsi="宋体" w:eastAsia="宋体" w:cs="宋体"/>
          <w:b/>
          <w:color w:val="auto"/>
          <w:sz w:val="21"/>
          <w:szCs w:val="21"/>
          <w:highlight w:val="none"/>
        </w:rPr>
        <w:t>2.12 合同转让</w:t>
      </w:r>
      <w:bookmarkEnd w:id="198"/>
      <w:bookmarkEnd w:id="199"/>
      <w:bookmarkEnd w:id="200"/>
      <w:r>
        <w:rPr>
          <w:rFonts w:hint="eastAsia" w:ascii="宋体" w:hAnsi="宋体" w:eastAsia="宋体" w:cs="宋体"/>
          <w:b/>
          <w:color w:val="auto"/>
          <w:sz w:val="21"/>
          <w:szCs w:val="21"/>
          <w:highlight w:val="none"/>
        </w:rPr>
        <w:t>和分包</w:t>
      </w:r>
      <w:bookmarkEnd w:id="201"/>
      <w:bookmarkEnd w:id="202"/>
      <w:bookmarkEnd w:id="203"/>
    </w:p>
    <w:p w14:paraId="20438F67">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4900ED71">
      <w:pPr>
        <w:spacing w:line="560" w:lineRule="exact"/>
        <w:ind w:firstLine="422" w:firstLineChars="200"/>
        <w:outlineLvl w:val="9"/>
        <w:rPr>
          <w:rFonts w:hint="eastAsia" w:ascii="宋体" w:hAnsi="宋体" w:eastAsia="宋体" w:cs="宋体"/>
          <w:b/>
          <w:color w:val="auto"/>
          <w:sz w:val="21"/>
          <w:szCs w:val="21"/>
          <w:highlight w:val="none"/>
        </w:rPr>
      </w:pPr>
      <w:bookmarkStart w:id="204" w:name="_Toc14066"/>
      <w:bookmarkStart w:id="205" w:name="_Toc13566"/>
      <w:bookmarkStart w:id="206" w:name="_Toc16508"/>
      <w:r>
        <w:rPr>
          <w:rFonts w:hint="eastAsia" w:ascii="宋体" w:hAnsi="宋体" w:eastAsia="宋体" w:cs="宋体"/>
          <w:b/>
          <w:color w:val="auto"/>
          <w:sz w:val="21"/>
          <w:szCs w:val="21"/>
          <w:highlight w:val="none"/>
        </w:rPr>
        <w:t>2.13 不可抗力</w:t>
      </w:r>
      <w:bookmarkEnd w:id="204"/>
      <w:bookmarkEnd w:id="205"/>
      <w:bookmarkEnd w:id="206"/>
    </w:p>
    <w:p w14:paraId="59B110B8">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2.13.1如果任何一方遭遇法律规定的不可抗力，致使合同履行受阻时，履行合同的期限应予延长，延长的期限应相当于不可抗力所影响的时间；</w:t>
      </w:r>
    </w:p>
    <w:p w14:paraId="52AC477C">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2.13.2 因不可抗力致使不能实现合同目的的，当事人可以解除合同；</w:t>
      </w:r>
    </w:p>
    <w:p w14:paraId="2CC700FC">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2.13.3 因不可抗力致使合同有变更必要的，双方当事人应在</w:t>
      </w:r>
      <w:r>
        <w:rPr>
          <w:rFonts w:hint="eastAsia" w:ascii="宋体" w:hAnsi="宋体" w:eastAsia="宋体" w:cs="宋体"/>
          <w:b/>
          <w:i/>
          <w:color w:val="auto"/>
          <w:sz w:val="21"/>
          <w:szCs w:val="21"/>
          <w:highlight w:val="none"/>
          <w:u w:val="single"/>
        </w:rPr>
        <w:t>合同专用条款</w:t>
      </w:r>
      <w:r>
        <w:rPr>
          <w:rFonts w:hint="eastAsia" w:ascii="宋体" w:hAnsi="宋体" w:eastAsia="宋体" w:cs="宋体"/>
          <w:color w:val="auto"/>
          <w:sz w:val="21"/>
          <w:szCs w:val="21"/>
          <w:highlight w:val="none"/>
        </w:rPr>
        <w:t>约定时间内以书面形式变更合同；</w:t>
      </w:r>
    </w:p>
    <w:p w14:paraId="0D954D5B">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2.13.4受不可抗力影响的一方在不可抗力发生后，应在</w:t>
      </w:r>
      <w:r>
        <w:rPr>
          <w:rFonts w:hint="eastAsia" w:ascii="宋体" w:hAnsi="宋体" w:eastAsia="宋体" w:cs="宋体"/>
          <w:b/>
          <w:i/>
          <w:color w:val="auto"/>
          <w:sz w:val="21"/>
          <w:szCs w:val="21"/>
          <w:highlight w:val="none"/>
          <w:u w:val="single"/>
        </w:rPr>
        <w:t>合同专用条款</w:t>
      </w:r>
      <w:r>
        <w:rPr>
          <w:rFonts w:hint="eastAsia" w:ascii="宋体" w:hAnsi="宋体" w:eastAsia="宋体" w:cs="宋体"/>
          <w:color w:val="auto"/>
          <w:sz w:val="21"/>
          <w:szCs w:val="21"/>
          <w:highlight w:val="none"/>
        </w:rPr>
        <w:t>约定时间内以书面形式通知对方当事人，并在</w:t>
      </w:r>
      <w:r>
        <w:rPr>
          <w:rFonts w:hint="eastAsia" w:ascii="宋体" w:hAnsi="宋体" w:eastAsia="宋体" w:cs="宋体"/>
          <w:b/>
          <w:i/>
          <w:color w:val="auto"/>
          <w:sz w:val="21"/>
          <w:szCs w:val="21"/>
          <w:highlight w:val="none"/>
          <w:u w:val="single"/>
        </w:rPr>
        <w:t>合同专用条款</w:t>
      </w:r>
      <w:r>
        <w:rPr>
          <w:rFonts w:hint="eastAsia" w:ascii="宋体" w:hAnsi="宋体" w:eastAsia="宋体" w:cs="宋体"/>
          <w:color w:val="auto"/>
          <w:sz w:val="21"/>
          <w:szCs w:val="21"/>
          <w:highlight w:val="none"/>
        </w:rPr>
        <w:t>约定时间内，将有关部门出具的证明文件送达对方当事人。</w:t>
      </w:r>
    </w:p>
    <w:p w14:paraId="5CDCF74D">
      <w:pPr>
        <w:spacing w:line="560" w:lineRule="exact"/>
        <w:ind w:firstLine="422" w:firstLineChars="200"/>
        <w:outlineLvl w:val="9"/>
        <w:rPr>
          <w:rFonts w:hint="eastAsia" w:ascii="宋体" w:hAnsi="宋体" w:eastAsia="宋体" w:cs="宋体"/>
          <w:b/>
          <w:color w:val="auto"/>
          <w:sz w:val="21"/>
          <w:szCs w:val="21"/>
          <w:highlight w:val="none"/>
        </w:rPr>
      </w:pPr>
      <w:bookmarkStart w:id="207" w:name="_Toc259093684"/>
      <w:bookmarkStart w:id="208" w:name="_Toc487900365"/>
      <w:bookmarkStart w:id="209" w:name="_Toc689"/>
      <w:bookmarkStart w:id="210" w:name="_Toc279701255"/>
      <w:bookmarkStart w:id="211" w:name="_Toc30676"/>
      <w:bookmarkStart w:id="212" w:name="_Toc6969"/>
      <w:r>
        <w:rPr>
          <w:rFonts w:hint="eastAsia" w:ascii="宋体" w:hAnsi="宋体" w:eastAsia="宋体" w:cs="宋体"/>
          <w:b/>
          <w:color w:val="auto"/>
          <w:sz w:val="21"/>
          <w:szCs w:val="21"/>
          <w:highlight w:val="none"/>
        </w:rPr>
        <w:t>2.14 税费</w:t>
      </w:r>
      <w:bookmarkEnd w:id="207"/>
      <w:bookmarkEnd w:id="208"/>
      <w:bookmarkEnd w:id="209"/>
      <w:bookmarkEnd w:id="210"/>
      <w:bookmarkEnd w:id="211"/>
      <w:bookmarkEnd w:id="212"/>
    </w:p>
    <w:p w14:paraId="0CF2C277">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与合同有关的一切税费，均按照中华人民共和国法律的相关规定。</w:t>
      </w:r>
    </w:p>
    <w:p w14:paraId="485BC3BE">
      <w:pPr>
        <w:spacing w:line="560" w:lineRule="exact"/>
        <w:ind w:firstLine="422" w:firstLineChars="200"/>
        <w:outlineLvl w:val="9"/>
        <w:rPr>
          <w:rFonts w:hint="eastAsia" w:ascii="宋体" w:hAnsi="宋体" w:eastAsia="宋体" w:cs="宋体"/>
          <w:b/>
          <w:color w:val="auto"/>
          <w:sz w:val="21"/>
          <w:szCs w:val="21"/>
          <w:highlight w:val="none"/>
        </w:rPr>
      </w:pPr>
      <w:bookmarkStart w:id="213" w:name="_Toc487900368"/>
      <w:bookmarkStart w:id="214" w:name="_Toc259093687"/>
      <w:bookmarkStart w:id="215" w:name="_Toc279701258"/>
      <w:bookmarkStart w:id="216" w:name="_Toc16959"/>
      <w:bookmarkStart w:id="217" w:name="_Toc8298"/>
      <w:bookmarkStart w:id="218" w:name="_Toc7102"/>
      <w:r>
        <w:rPr>
          <w:rFonts w:hint="eastAsia" w:ascii="宋体" w:hAnsi="宋体" w:eastAsia="宋体" w:cs="宋体"/>
          <w:b/>
          <w:color w:val="auto"/>
          <w:sz w:val="21"/>
          <w:szCs w:val="21"/>
          <w:highlight w:val="none"/>
        </w:rPr>
        <w:t>2.15 乙方破产</w:t>
      </w:r>
      <w:bookmarkEnd w:id="213"/>
      <w:bookmarkEnd w:id="214"/>
      <w:bookmarkEnd w:id="215"/>
      <w:bookmarkEnd w:id="216"/>
      <w:bookmarkEnd w:id="217"/>
      <w:bookmarkEnd w:id="218"/>
    </w:p>
    <w:p w14:paraId="6F108864">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766A265C">
      <w:pPr>
        <w:spacing w:line="560" w:lineRule="exact"/>
        <w:ind w:firstLine="422" w:firstLineChars="200"/>
        <w:outlineLvl w:val="9"/>
        <w:rPr>
          <w:rFonts w:hint="eastAsia" w:ascii="宋体" w:hAnsi="宋体" w:eastAsia="宋体" w:cs="宋体"/>
          <w:b/>
          <w:color w:val="auto"/>
          <w:sz w:val="21"/>
          <w:szCs w:val="21"/>
          <w:highlight w:val="none"/>
        </w:rPr>
      </w:pPr>
      <w:bookmarkStart w:id="219" w:name="_Toc6134"/>
      <w:bookmarkStart w:id="220" w:name="_Toc15387"/>
      <w:bookmarkStart w:id="221" w:name="_Toc29333"/>
      <w:r>
        <w:rPr>
          <w:rFonts w:hint="eastAsia" w:ascii="宋体" w:hAnsi="宋体" w:eastAsia="宋体" w:cs="宋体"/>
          <w:b/>
          <w:color w:val="auto"/>
          <w:sz w:val="21"/>
          <w:szCs w:val="21"/>
          <w:highlight w:val="none"/>
        </w:rPr>
        <w:t>2.16 合同中止、终止</w:t>
      </w:r>
      <w:bookmarkEnd w:id="219"/>
      <w:bookmarkEnd w:id="220"/>
      <w:bookmarkEnd w:id="221"/>
    </w:p>
    <w:p w14:paraId="30745D0B">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2.16.1 双方当事人不得擅自中止或者终止合同；</w:t>
      </w:r>
    </w:p>
    <w:p w14:paraId="0A6C1F2F">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2.16.2合同继续履行将损害国家利益和社会公共利益的，双方当事人应当中止或者终止合同。有过错的一方应当承担赔偿责任，双方当事人都有过错的，各自承担相应的责任。</w:t>
      </w:r>
    </w:p>
    <w:p w14:paraId="004DCFFA">
      <w:pPr>
        <w:spacing w:line="560" w:lineRule="exact"/>
        <w:ind w:firstLine="422" w:firstLineChars="200"/>
        <w:outlineLvl w:val="9"/>
        <w:rPr>
          <w:rFonts w:hint="eastAsia" w:ascii="宋体" w:hAnsi="宋体" w:eastAsia="宋体" w:cs="宋体"/>
          <w:b/>
          <w:color w:val="auto"/>
          <w:sz w:val="21"/>
          <w:szCs w:val="21"/>
          <w:highlight w:val="none"/>
        </w:rPr>
      </w:pPr>
      <w:bookmarkStart w:id="222" w:name="_Toc14563"/>
      <w:bookmarkStart w:id="223" w:name="_Toc6596"/>
      <w:bookmarkStart w:id="224" w:name="_Toc1125"/>
      <w:r>
        <w:rPr>
          <w:rFonts w:hint="eastAsia" w:ascii="宋体" w:hAnsi="宋体" w:eastAsia="宋体" w:cs="宋体"/>
          <w:b/>
          <w:color w:val="auto"/>
          <w:sz w:val="21"/>
          <w:szCs w:val="21"/>
          <w:highlight w:val="none"/>
        </w:rPr>
        <w:t>2.17 检验和验收</w:t>
      </w:r>
      <w:bookmarkEnd w:id="222"/>
      <w:bookmarkEnd w:id="223"/>
      <w:bookmarkEnd w:id="224"/>
    </w:p>
    <w:p w14:paraId="7A8BEAA9">
      <w:pPr>
        <w:tabs>
          <w:tab w:val="left" w:pos="360"/>
          <w:tab w:val="left" w:pos="540"/>
          <w:tab w:val="left" w:pos="1080"/>
        </w:tabs>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2.17.1货物交付前，乙方应对货物的质量、数量等方面进行详细、全面的检验，并向甲方出具证明货物符合合同约定的文件；货物交付时，乙方在</w:t>
      </w:r>
      <w:r>
        <w:rPr>
          <w:rFonts w:hint="eastAsia" w:ascii="宋体" w:hAnsi="宋体" w:eastAsia="宋体" w:cs="宋体"/>
          <w:b/>
          <w:i/>
          <w:color w:val="auto"/>
          <w:sz w:val="21"/>
          <w:szCs w:val="21"/>
          <w:highlight w:val="none"/>
          <w:u w:val="single"/>
        </w:rPr>
        <w:t>合同专用条款</w:t>
      </w:r>
      <w:r>
        <w:rPr>
          <w:rFonts w:hint="eastAsia" w:ascii="宋体" w:hAnsi="宋体" w:eastAsia="宋体" w:cs="宋体"/>
          <w:color w:val="auto"/>
          <w:sz w:val="21"/>
          <w:szCs w:val="21"/>
          <w:highlight w:val="none"/>
        </w:rPr>
        <w:t>约定时间内组织验收，并可依法邀请相关方参加，验收应出具验收书。</w:t>
      </w:r>
    </w:p>
    <w:p w14:paraId="16D02735">
      <w:pPr>
        <w:tabs>
          <w:tab w:val="left" w:pos="360"/>
          <w:tab w:val="left" w:pos="540"/>
          <w:tab w:val="left" w:pos="1080"/>
        </w:tabs>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7F6E4357">
      <w:pPr>
        <w:tabs>
          <w:tab w:val="left" w:pos="360"/>
          <w:tab w:val="left" w:pos="540"/>
          <w:tab w:val="left" w:pos="1080"/>
        </w:tabs>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2.17.3 检验和验收标准、程序等具体内容以及前述验收书的效力详见</w:t>
      </w:r>
      <w:r>
        <w:rPr>
          <w:rFonts w:hint="eastAsia" w:ascii="宋体" w:hAnsi="宋体" w:eastAsia="宋体" w:cs="宋体"/>
          <w:b/>
          <w:i/>
          <w:color w:val="auto"/>
          <w:sz w:val="21"/>
          <w:szCs w:val="21"/>
          <w:highlight w:val="none"/>
          <w:u w:val="single"/>
        </w:rPr>
        <w:t>合同专用条款</w:t>
      </w:r>
      <w:r>
        <w:rPr>
          <w:rFonts w:hint="eastAsia" w:ascii="宋体" w:hAnsi="宋体" w:eastAsia="宋体" w:cs="宋体"/>
          <w:i/>
          <w:color w:val="auto"/>
          <w:sz w:val="21"/>
          <w:szCs w:val="21"/>
          <w:highlight w:val="none"/>
        </w:rPr>
        <w:t>。</w:t>
      </w:r>
    </w:p>
    <w:bookmarkEnd w:id="194"/>
    <w:bookmarkEnd w:id="195"/>
    <w:bookmarkEnd w:id="196"/>
    <w:bookmarkEnd w:id="197"/>
    <w:p w14:paraId="0E745E36">
      <w:pPr>
        <w:spacing w:line="560" w:lineRule="exact"/>
        <w:ind w:firstLine="422" w:firstLineChars="200"/>
        <w:outlineLvl w:val="9"/>
        <w:rPr>
          <w:rFonts w:hint="eastAsia" w:ascii="宋体" w:hAnsi="宋体" w:eastAsia="宋体" w:cs="宋体"/>
          <w:b/>
          <w:color w:val="auto"/>
          <w:sz w:val="21"/>
          <w:szCs w:val="21"/>
          <w:highlight w:val="none"/>
        </w:rPr>
      </w:pPr>
      <w:bookmarkStart w:id="225" w:name="_Toc259093690"/>
      <w:bookmarkStart w:id="226" w:name="_Toc487900371"/>
      <w:bookmarkStart w:id="227" w:name="_Toc279701261"/>
      <w:bookmarkStart w:id="228" w:name="_Toc19604"/>
      <w:bookmarkStart w:id="229" w:name="_Toc11284"/>
      <w:bookmarkStart w:id="230" w:name="_Toc25182"/>
      <w:r>
        <w:rPr>
          <w:rFonts w:hint="eastAsia" w:ascii="宋体" w:hAnsi="宋体" w:eastAsia="宋体" w:cs="宋体"/>
          <w:b/>
          <w:color w:val="auto"/>
          <w:sz w:val="21"/>
          <w:szCs w:val="21"/>
          <w:highlight w:val="none"/>
        </w:rPr>
        <w:t>2.18 通知</w:t>
      </w:r>
      <w:bookmarkEnd w:id="225"/>
      <w:bookmarkEnd w:id="226"/>
      <w:bookmarkEnd w:id="227"/>
      <w:r>
        <w:rPr>
          <w:rFonts w:hint="eastAsia" w:ascii="宋体" w:hAnsi="宋体" w:eastAsia="宋体" w:cs="宋体"/>
          <w:b/>
          <w:color w:val="auto"/>
          <w:sz w:val="21"/>
          <w:szCs w:val="21"/>
          <w:highlight w:val="none"/>
        </w:rPr>
        <w:t>和送达</w:t>
      </w:r>
      <w:bookmarkEnd w:id="228"/>
      <w:bookmarkEnd w:id="229"/>
      <w:bookmarkEnd w:id="230"/>
    </w:p>
    <w:p w14:paraId="1D1CCBAC">
      <w:pPr>
        <w:spacing w:line="560" w:lineRule="exact"/>
        <w:ind w:firstLine="420" w:firstLineChars="200"/>
        <w:outlineLvl w:val="9"/>
        <w:rPr>
          <w:rFonts w:hint="eastAsia" w:ascii="宋体" w:hAnsi="宋体" w:eastAsia="宋体" w:cs="宋体"/>
          <w:color w:val="auto"/>
          <w:sz w:val="21"/>
          <w:szCs w:val="21"/>
          <w:highlight w:val="none"/>
        </w:rPr>
      </w:pPr>
      <w:bookmarkStart w:id="231" w:name="_Toc6698"/>
      <w:bookmarkStart w:id="232" w:name="_Toc3135"/>
      <w:bookmarkStart w:id="233" w:name="_Toc279701262"/>
      <w:bookmarkStart w:id="234" w:name="_Toc259093691"/>
      <w:bookmarkStart w:id="235" w:name="_Toc487900372"/>
      <w:r>
        <w:rPr>
          <w:rFonts w:hint="eastAsia" w:ascii="宋体" w:hAnsi="宋体" w:eastAsia="宋体" w:cs="宋体"/>
          <w:color w:val="auto"/>
          <w:sz w:val="21"/>
          <w:szCs w:val="21"/>
          <w:highlight w:val="none"/>
        </w:rPr>
        <w:t>2.18.1 任何一方因履行合同而以合同第一部分尾部所列明的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发出的所有通知、文件、材料，均视为已向对方当事人送达；任何一方变更上述送达方式或者地址的，应于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个工作日内书面通知对方当事人，在对方当事人收到有关变更通知之前，变更前的约定送达方式或者地址仍视为有效。</w:t>
      </w:r>
      <w:bookmarkEnd w:id="231"/>
      <w:bookmarkEnd w:id="232"/>
    </w:p>
    <w:p w14:paraId="394610DF">
      <w:pPr>
        <w:spacing w:line="560" w:lineRule="exact"/>
        <w:ind w:firstLine="420" w:firstLineChars="200"/>
        <w:outlineLvl w:val="9"/>
        <w:rPr>
          <w:rFonts w:hint="eastAsia" w:ascii="宋体" w:hAnsi="宋体" w:eastAsia="宋体" w:cs="宋体"/>
          <w:color w:val="auto"/>
          <w:sz w:val="21"/>
          <w:szCs w:val="21"/>
          <w:highlight w:val="none"/>
        </w:rPr>
      </w:pPr>
      <w:bookmarkStart w:id="236" w:name="_Toc23128"/>
      <w:bookmarkStart w:id="237" w:name="_Toc23294"/>
      <w:r>
        <w:rPr>
          <w:rFonts w:hint="eastAsia" w:ascii="宋体" w:hAnsi="宋体" w:eastAsia="宋体" w:cs="宋体"/>
          <w:color w:val="auto"/>
          <w:sz w:val="21"/>
          <w:szCs w:val="21"/>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36"/>
      <w:bookmarkEnd w:id="237"/>
    </w:p>
    <w:p w14:paraId="3D1C08E9">
      <w:pPr>
        <w:spacing w:line="560" w:lineRule="exact"/>
        <w:ind w:firstLine="422" w:firstLineChars="200"/>
        <w:outlineLvl w:val="9"/>
        <w:rPr>
          <w:rFonts w:hint="eastAsia" w:ascii="宋体" w:hAnsi="宋体" w:eastAsia="宋体" w:cs="宋体"/>
          <w:b/>
          <w:color w:val="auto"/>
          <w:sz w:val="21"/>
          <w:szCs w:val="21"/>
          <w:highlight w:val="none"/>
        </w:rPr>
      </w:pPr>
      <w:bookmarkStart w:id="238" w:name="_Toc18540"/>
      <w:bookmarkStart w:id="239" w:name="_Toc30599"/>
      <w:bookmarkStart w:id="240" w:name="_Toc4355"/>
      <w:r>
        <w:rPr>
          <w:rFonts w:hint="eastAsia" w:ascii="宋体" w:hAnsi="宋体" w:eastAsia="宋体" w:cs="宋体"/>
          <w:b/>
          <w:color w:val="auto"/>
          <w:sz w:val="21"/>
          <w:szCs w:val="21"/>
          <w:highlight w:val="none"/>
        </w:rPr>
        <w:t>2.19 计量单位</w:t>
      </w:r>
      <w:bookmarkEnd w:id="233"/>
      <w:bookmarkEnd w:id="234"/>
      <w:bookmarkEnd w:id="235"/>
      <w:bookmarkEnd w:id="238"/>
      <w:bookmarkEnd w:id="239"/>
      <w:bookmarkEnd w:id="240"/>
    </w:p>
    <w:p w14:paraId="33325EE6">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除技术规范中另有规定外,合同的计量单位均使用国家法定计量单位。</w:t>
      </w:r>
    </w:p>
    <w:p w14:paraId="19C09075">
      <w:pPr>
        <w:spacing w:line="560" w:lineRule="exact"/>
        <w:ind w:firstLine="422" w:firstLineChars="200"/>
        <w:outlineLvl w:val="9"/>
        <w:rPr>
          <w:rFonts w:hint="eastAsia" w:ascii="宋体" w:hAnsi="宋体" w:eastAsia="宋体" w:cs="宋体"/>
          <w:b/>
          <w:color w:val="auto"/>
          <w:sz w:val="21"/>
          <w:szCs w:val="21"/>
          <w:highlight w:val="none"/>
        </w:rPr>
      </w:pPr>
      <w:bookmarkStart w:id="241" w:name="_Toc18567"/>
      <w:bookmarkStart w:id="242" w:name="_Toc10330"/>
      <w:bookmarkStart w:id="243" w:name="_Toc279701263"/>
      <w:bookmarkStart w:id="244" w:name="_Toc487900373"/>
      <w:bookmarkStart w:id="245" w:name="_Toc259093692"/>
      <w:bookmarkStart w:id="246" w:name="_Toc12773"/>
      <w:r>
        <w:rPr>
          <w:rFonts w:hint="eastAsia" w:ascii="宋体" w:hAnsi="宋体" w:eastAsia="宋体" w:cs="宋体"/>
          <w:b/>
          <w:color w:val="auto"/>
          <w:sz w:val="21"/>
          <w:szCs w:val="21"/>
          <w:highlight w:val="none"/>
        </w:rPr>
        <w:t>2.20 合同使用的文字和适用的法律</w:t>
      </w:r>
      <w:bookmarkEnd w:id="241"/>
      <w:bookmarkEnd w:id="242"/>
      <w:bookmarkEnd w:id="243"/>
      <w:bookmarkEnd w:id="244"/>
      <w:bookmarkEnd w:id="245"/>
      <w:bookmarkEnd w:id="246"/>
    </w:p>
    <w:p w14:paraId="2C976CD6">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2.20.1 合同使用汉语书就、变更和解释；</w:t>
      </w:r>
    </w:p>
    <w:p w14:paraId="08AE6CBD">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2.20.2 合同适用中华人民共和国法律。</w:t>
      </w:r>
    </w:p>
    <w:p w14:paraId="15962FCA">
      <w:pPr>
        <w:spacing w:line="560" w:lineRule="exact"/>
        <w:ind w:firstLine="422" w:firstLineChars="200"/>
        <w:outlineLvl w:val="9"/>
        <w:rPr>
          <w:rFonts w:hint="eastAsia" w:ascii="宋体" w:hAnsi="宋体" w:eastAsia="宋体" w:cs="宋体"/>
          <w:b/>
          <w:color w:val="auto"/>
          <w:sz w:val="21"/>
          <w:szCs w:val="21"/>
          <w:highlight w:val="none"/>
        </w:rPr>
      </w:pPr>
      <w:bookmarkStart w:id="247" w:name="_Toc16673"/>
      <w:bookmarkStart w:id="248" w:name="_Toc12004"/>
      <w:bookmarkStart w:id="249" w:name="_Toc259093693"/>
      <w:bookmarkStart w:id="250" w:name="_Toc3148"/>
      <w:bookmarkStart w:id="251" w:name="_Toc279701264"/>
      <w:bookmarkStart w:id="252" w:name="_Toc487900374"/>
      <w:r>
        <w:rPr>
          <w:rFonts w:hint="eastAsia" w:ascii="宋体" w:hAnsi="宋体" w:eastAsia="宋体" w:cs="宋体"/>
          <w:b/>
          <w:color w:val="auto"/>
          <w:sz w:val="21"/>
          <w:szCs w:val="21"/>
          <w:highlight w:val="none"/>
        </w:rPr>
        <w:t>2.21 履约保证金</w:t>
      </w:r>
      <w:bookmarkEnd w:id="247"/>
      <w:bookmarkEnd w:id="248"/>
      <w:bookmarkEnd w:id="249"/>
      <w:bookmarkEnd w:id="250"/>
      <w:bookmarkEnd w:id="251"/>
    </w:p>
    <w:p w14:paraId="351502D8">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2.21.1 采购文件要求乙方提交履约保证金的，乙方应按</w:t>
      </w:r>
      <w:r>
        <w:rPr>
          <w:rFonts w:hint="eastAsia" w:ascii="宋体" w:hAnsi="宋体" w:eastAsia="宋体" w:cs="宋体"/>
          <w:b/>
          <w:i/>
          <w:color w:val="auto"/>
          <w:sz w:val="21"/>
          <w:szCs w:val="21"/>
          <w:highlight w:val="none"/>
          <w:u w:val="single"/>
        </w:rPr>
        <w:t>合同专用条款</w:t>
      </w:r>
      <w:r>
        <w:rPr>
          <w:rFonts w:hint="eastAsia" w:ascii="宋体" w:hAnsi="宋体" w:eastAsia="宋体" w:cs="宋体"/>
          <w:color w:val="auto"/>
          <w:sz w:val="21"/>
          <w:szCs w:val="21"/>
          <w:highlight w:val="none"/>
        </w:rPr>
        <w:t>约定的方式，以支票、汇票、本票或者金融机构、担保机构出具的保函等非现金形式，提交不超过合同价10%的履约保证金；</w:t>
      </w:r>
    </w:p>
    <w:p w14:paraId="5C7CD978">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2.21.2  履约保证金在</w:t>
      </w:r>
      <w:r>
        <w:rPr>
          <w:rFonts w:hint="eastAsia" w:ascii="宋体" w:hAnsi="宋体" w:eastAsia="宋体" w:cs="宋体"/>
          <w:b/>
          <w:i/>
          <w:color w:val="auto"/>
          <w:sz w:val="21"/>
          <w:szCs w:val="21"/>
          <w:highlight w:val="none"/>
          <w:u w:val="single"/>
        </w:rPr>
        <w:t>合同专用条款</w:t>
      </w:r>
      <w:r>
        <w:rPr>
          <w:rFonts w:hint="eastAsia" w:ascii="宋体" w:hAnsi="宋体" w:eastAsia="宋体" w:cs="宋体"/>
          <w:color w:val="auto"/>
          <w:sz w:val="21"/>
          <w:szCs w:val="21"/>
          <w:highlight w:val="none"/>
        </w:rPr>
        <w:t>约定期间内或者货物质量保证期内不予退还或者应完全有效，前述约定期间届满或者货物质量保证期届满之日起</w:t>
      </w:r>
      <w:r>
        <w:rPr>
          <w:rFonts w:hint="eastAsia" w:ascii="宋体" w:hAnsi="宋体" w:eastAsia="宋体" w:cs="宋体"/>
          <w:color w:val="auto"/>
          <w:sz w:val="21"/>
          <w:szCs w:val="21"/>
          <w:highlight w:val="none"/>
          <w:u w:val="single"/>
        </w:rPr>
        <w:t xml:space="preserve"> 2 </w:t>
      </w:r>
      <w:r>
        <w:rPr>
          <w:rFonts w:hint="eastAsia" w:ascii="宋体" w:hAnsi="宋体" w:eastAsia="宋体" w:cs="宋体"/>
          <w:color w:val="auto"/>
          <w:sz w:val="21"/>
          <w:szCs w:val="21"/>
          <w:highlight w:val="none"/>
        </w:rPr>
        <w:t>个工作日内，甲方应将履约保证金退还乙方；</w:t>
      </w:r>
    </w:p>
    <w:p w14:paraId="543A28C4">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52"/>
    <w:p w14:paraId="7997EE7C">
      <w:pPr>
        <w:spacing w:line="560" w:lineRule="exact"/>
        <w:ind w:firstLine="422" w:firstLineChars="200"/>
        <w:outlineLvl w:val="9"/>
        <w:rPr>
          <w:rFonts w:hint="eastAsia" w:ascii="宋体" w:hAnsi="宋体" w:eastAsia="宋体" w:cs="宋体"/>
          <w:b/>
          <w:color w:val="auto"/>
          <w:sz w:val="21"/>
          <w:szCs w:val="21"/>
          <w:highlight w:val="none"/>
        </w:rPr>
      </w:pPr>
      <w:bookmarkStart w:id="253" w:name="_Toc19890"/>
      <w:bookmarkStart w:id="254" w:name="_Toc14001"/>
      <w:bookmarkStart w:id="255" w:name="_Toc6885"/>
      <w:r>
        <w:rPr>
          <w:rFonts w:hint="eastAsia" w:ascii="宋体" w:hAnsi="宋体" w:eastAsia="宋体" w:cs="宋体"/>
          <w:b/>
          <w:color w:val="auto"/>
          <w:sz w:val="21"/>
          <w:szCs w:val="21"/>
          <w:highlight w:val="none"/>
        </w:rPr>
        <w:t>2.22 合同份数</w:t>
      </w:r>
      <w:bookmarkEnd w:id="253"/>
      <w:bookmarkEnd w:id="254"/>
      <w:bookmarkEnd w:id="255"/>
    </w:p>
    <w:p w14:paraId="141C6E1F">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合同份数按</w:t>
      </w:r>
      <w:r>
        <w:rPr>
          <w:rFonts w:hint="eastAsia" w:ascii="宋体" w:hAnsi="宋体" w:eastAsia="宋体" w:cs="宋体"/>
          <w:b/>
          <w:i/>
          <w:color w:val="auto"/>
          <w:sz w:val="21"/>
          <w:szCs w:val="21"/>
          <w:highlight w:val="none"/>
          <w:u w:val="single"/>
        </w:rPr>
        <w:t>合同专用条款</w:t>
      </w:r>
      <w:r>
        <w:rPr>
          <w:rFonts w:hint="eastAsia" w:ascii="宋体" w:hAnsi="宋体" w:eastAsia="宋体" w:cs="宋体"/>
          <w:color w:val="auto"/>
          <w:sz w:val="21"/>
          <w:szCs w:val="21"/>
          <w:highlight w:val="none"/>
        </w:rPr>
        <w:t>规定，每份均具有同等法律效力。</w:t>
      </w:r>
    </w:p>
    <w:p w14:paraId="41D78772">
      <w:pPr>
        <w:pStyle w:val="50"/>
        <w:spacing w:line="560" w:lineRule="exact"/>
        <w:ind w:firstLine="0"/>
        <w:jc w:val="center"/>
        <w:outlineLvl w:val="9"/>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br w:type="page"/>
      </w:r>
      <w:bookmarkStart w:id="256" w:name="_Toc331685784"/>
      <w:r>
        <w:rPr>
          <w:rFonts w:hint="eastAsia" w:ascii="宋体" w:hAnsi="宋体" w:eastAsia="宋体" w:cs="宋体"/>
          <w:b/>
          <w:color w:val="auto"/>
          <w:sz w:val="21"/>
          <w:szCs w:val="21"/>
          <w:highlight w:val="none"/>
        </w:rPr>
        <w:t>第三部分  合同专用条款</w:t>
      </w:r>
      <w:bookmarkEnd w:id="256"/>
    </w:p>
    <w:p w14:paraId="09CEF4FE">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7"/>
        <w:tblpPr w:leftFromText="180" w:rightFromText="180" w:vertAnchor="text" w:horzAnchor="page" w:tblpX="1716" w:tblpY="114"/>
        <w:tblOverlap w:val="never"/>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798"/>
        <w:gridCol w:w="6881"/>
      </w:tblGrid>
      <w:tr w14:paraId="0BD44B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798" w:type="dxa"/>
            <w:tcBorders>
              <w:left w:val="single" w:color="auto" w:sz="4" w:space="0"/>
            </w:tcBorders>
            <w:noWrap w:val="0"/>
            <w:vAlign w:val="center"/>
          </w:tcPr>
          <w:p w14:paraId="49993D7A">
            <w:pPr>
              <w:keepNext w:val="0"/>
              <w:keepLines w:val="0"/>
              <w:pageBreakBefore w:val="0"/>
              <w:widowControl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6881" w:type="dxa"/>
            <w:noWrap w:val="0"/>
            <w:vAlign w:val="center"/>
          </w:tcPr>
          <w:p w14:paraId="623D8FC0">
            <w:pPr>
              <w:keepNext w:val="0"/>
              <w:keepLines w:val="0"/>
              <w:pageBreakBefore w:val="0"/>
              <w:widowControl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约定内容</w:t>
            </w:r>
          </w:p>
        </w:tc>
      </w:tr>
      <w:tr w14:paraId="792CB5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798" w:type="dxa"/>
            <w:tcBorders>
              <w:left w:val="single" w:color="auto" w:sz="4" w:space="0"/>
            </w:tcBorders>
            <w:noWrap w:val="0"/>
            <w:vAlign w:val="center"/>
          </w:tcPr>
          <w:p w14:paraId="163D0D0F">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交货期</w:t>
            </w:r>
          </w:p>
        </w:tc>
        <w:tc>
          <w:tcPr>
            <w:tcW w:w="6881" w:type="dxa"/>
            <w:noWrap w:val="0"/>
            <w:vAlign w:val="center"/>
          </w:tcPr>
          <w:p w14:paraId="467E8BA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2025年4月22日起至2025年10月20日前根据采购人要求规定时间内分批次供货完成，每批次最长供货期不得超过10天。</w:t>
            </w:r>
          </w:p>
        </w:tc>
      </w:tr>
      <w:tr w14:paraId="4A62E5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798" w:type="dxa"/>
            <w:tcBorders>
              <w:left w:val="single" w:color="auto" w:sz="4" w:space="0"/>
            </w:tcBorders>
            <w:noWrap w:val="0"/>
            <w:vAlign w:val="center"/>
          </w:tcPr>
          <w:p w14:paraId="041CDD28">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质量标准</w:t>
            </w:r>
          </w:p>
        </w:tc>
        <w:tc>
          <w:tcPr>
            <w:tcW w:w="6881" w:type="dxa"/>
            <w:noWrap w:val="0"/>
            <w:vAlign w:val="center"/>
          </w:tcPr>
          <w:p w14:paraId="167F3CB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合格，符合国家标准及采购人要求。</w:t>
            </w:r>
          </w:p>
        </w:tc>
      </w:tr>
      <w:tr w14:paraId="418C2E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798" w:type="dxa"/>
            <w:tcBorders>
              <w:left w:val="single" w:color="auto" w:sz="4" w:space="0"/>
            </w:tcBorders>
            <w:noWrap w:val="0"/>
            <w:vAlign w:val="center"/>
          </w:tcPr>
          <w:p w14:paraId="4181968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质量保证期</w:t>
            </w:r>
          </w:p>
        </w:tc>
        <w:tc>
          <w:tcPr>
            <w:tcW w:w="6881" w:type="dxa"/>
            <w:noWrap w:val="0"/>
            <w:vAlign w:val="center"/>
          </w:tcPr>
          <w:p w14:paraId="2320859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自验收合格使用之日起质保 1 年。</w:t>
            </w:r>
          </w:p>
        </w:tc>
      </w:tr>
      <w:tr w14:paraId="01623E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798" w:type="dxa"/>
            <w:tcBorders>
              <w:left w:val="single" w:color="auto" w:sz="4" w:space="0"/>
            </w:tcBorders>
            <w:noWrap w:val="0"/>
            <w:vAlign w:val="center"/>
          </w:tcPr>
          <w:p w14:paraId="65066FF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付款方式</w:t>
            </w:r>
          </w:p>
        </w:tc>
        <w:tc>
          <w:tcPr>
            <w:tcW w:w="6881" w:type="dxa"/>
            <w:noWrap w:val="0"/>
            <w:vAlign w:val="center"/>
          </w:tcPr>
          <w:p w14:paraId="6D06960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none"/>
                <w:lang w:eastAsia="zh-CN"/>
              </w:rPr>
              <w:t>每批次货物交付并验收合格后，采购人支付对应金额。</w:t>
            </w:r>
          </w:p>
        </w:tc>
      </w:tr>
      <w:tr w14:paraId="4ADE0E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798" w:type="dxa"/>
            <w:tcBorders>
              <w:left w:val="single" w:color="auto" w:sz="4" w:space="0"/>
            </w:tcBorders>
            <w:noWrap w:val="0"/>
            <w:vAlign w:val="center"/>
          </w:tcPr>
          <w:p w14:paraId="73846C03">
            <w:pPr>
              <w:keepNext w:val="0"/>
              <w:keepLines w:val="0"/>
              <w:pageBreakBefore w:val="0"/>
              <w:widowControl w:val="0"/>
              <w:kinsoku/>
              <w:wordWrap/>
              <w:overflowPunct/>
              <w:topLinePunct w:val="0"/>
              <w:autoSpaceDE/>
              <w:autoSpaceDN/>
              <w:bidi w:val="0"/>
              <w:adjustRightInd/>
              <w:spacing w:line="360" w:lineRule="auto"/>
              <w:textAlignment w:val="auto"/>
              <w:outlineLvl w:val="9"/>
              <w:rPr>
                <w:rFonts w:hint="eastAsia" w:ascii="宋体" w:hAnsi="宋体" w:eastAsia="宋体" w:cs="宋体"/>
                <w:color w:val="auto"/>
                <w:sz w:val="21"/>
                <w:szCs w:val="21"/>
                <w:highlight w:val="none"/>
              </w:rPr>
            </w:pPr>
          </w:p>
        </w:tc>
        <w:tc>
          <w:tcPr>
            <w:tcW w:w="6881" w:type="dxa"/>
            <w:noWrap w:val="0"/>
            <w:vAlign w:val="center"/>
          </w:tcPr>
          <w:p w14:paraId="09D965B9">
            <w:pPr>
              <w:keepNext w:val="0"/>
              <w:keepLines w:val="0"/>
              <w:pageBreakBefore w:val="0"/>
              <w:widowControl w:val="0"/>
              <w:kinsoku/>
              <w:wordWrap/>
              <w:overflowPunct/>
              <w:topLinePunct w:val="0"/>
              <w:autoSpaceDE/>
              <w:autoSpaceDN/>
              <w:bidi w:val="0"/>
              <w:adjustRightInd/>
              <w:spacing w:line="360" w:lineRule="auto"/>
              <w:textAlignment w:val="auto"/>
              <w:outlineLvl w:val="9"/>
              <w:rPr>
                <w:rFonts w:hint="eastAsia" w:ascii="宋体" w:hAnsi="宋体" w:eastAsia="宋体" w:cs="宋体"/>
                <w:color w:val="auto"/>
                <w:sz w:val="21"/>
                <w:szCs w:val="21"/>
                <w:highlight w:val="none"/>
              </w:rPr>
            </w:pPr>
          </w:p>
        </w:tc>
      </w:tr>
      <w:tr w14:paraId="055ED0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798" w:type="dxa"/>
            <w:tcBorders>
              <w:left w:val="single" w:color="auto" w:sz="4" w:space="0"/>
            </w:tcBorders>
            <w:noWrap w:val="0"/>
            <w:vAlign w:val="center"/>
          </w:tcPr>
          <w:p w14:paraId="45A57ADF">
            <w:pPr>
              <w:keepNext w:val="0"/>
              <w:keepLines w:val="0"/>
              <w:pageBreakBefore w:val="0"/>
              <w:widowControl w:val="0"/>
              <w:kinsoku/>
              <w:wordWrap/>
              <w:overflowPunct/>
              <w:topLinePunct w:val="0"/>
              <w:autoSpaceDE/>
              <w:autoSpaceDN/>
              <w:bidi w:val="0"/>
              <w:adjustRightInd/>
              <w:spacing w:line="360" w:lineRule="auto"/>
              <w:textAlignment w:val="auto"/>
              <w:outlineLvl w:val="9"/>
              <w:rPr>
                <w:rFonts w:hint="eastAsia" w:ascii="宋体" w:hAnsi="宋体" w:eastAsia="宋体" w:cs="宋体"/>
                <w:color w:val="auto"/>
                <w:sz w:val="21"/>
                <w:szCs w:val="21"/>
                <w:highlight w:val="none"/>
              </w:rPr>
            </w:pPr>
          </w:p>
        </w:tc>
        <w:tc>
          <w:tcPr>
            <w:tcW w:w="6881" w:type="dxa"/>
            <w:noWrap w:val="0"/>
            <w:vAlign w:val="center"/>
          </w:tcPr>
          <w:p w14:paraId="717CB66A">
            <w:pPr>
              <w:keepNext w:val="0"/>
              <w:keepLines w:val="0"/>
              <w:pageBreakBefore w:val="0"/>
              <w:widowControl w:val="0"/>
              <w:kinsoku/>
              <w:wordWrap/>
              <w:overflowPunct/>
              <w:topLinePunct w:val="0"/>
              <w:autoSpaceDE/>
              <w:autoSpaceDN/>
              <w:bidi w:val="0"/>
              <w:adjustRightInd/>
              <w:spacing w:line="360" w:lineRule="auto"/>
              <w:textAlignment w:val="auto"/>
              <w:outlineLvl w:val="9"/>
              <w:rPr>
                <w:rFonts w:hint="eastAsia" w:ascii="宋体" w:hAnsi="宋体" w:eastAsia="宋体" w:cs="宋体"/>
                <w:color w:val="auto"/>
                <w:sz w:val="21"/>
                <w:szCs w:val="21"/>
                <w:highlight w:val="none"/>
                <w:u w:val="single"/>
              </w:rPr>
            </w:pPr>
          </w:p>
        </w:tc>
      </w:tr>
      <w:tr w14:paraId="655606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798" w:type="dxa"/>
            <w:tcBorders>
              <w:left w:val="single" w:color="auto" w:sz="4" w:space="0"/>
            </w:tcBorders>
            <w:noWrap w:val="0"/>
            <w:vAlign w:val="center"/>
          </w:tcPr>
          <w:p w14:paraId="65CEF292">
            <w:pPr>
              <w:keepNext w:val="0"/>
              <w:keepLines w:val="0"/>
              <w:pageBreakBefore w:val="0"/>
              <w:widowControl w:val="0"/>
              <w:kinsoku/>
              <w:wordWrap/>
              <w:overflowPunct/>
              <w:topLinePunct w:val="0"/>
              <w:autoSpaceDE/>
              <w:autoSpaceDN/>
              <w:bidi w:val="0"/>
              <w:adjustRightInd/>
              <w:spacing w:line="360" w:lineRule="auto"/>
              <w:textAlignment w:val="auto"/>
              <w:outlineLvl w:val="9"/>
              <w:rPr>
                <w:rFonts w:hint="eastAsia" w:ascii="宋体" w:hAnsi="宋体" w:eastAsia="宋体" w:cs="宋体"/>
                <w:color w:val="auto"/>
                <w:sz w:val="21"/>
                <w:szCs w:val="21"/>
                <w:highlight w:val="none"/>
              </w:rPr>
            </w:pPr>
          </w:p>
        </w:tc>
        <w:tc>
          <w:tcPr>
            <w:tcW w:w="6881" w:type="dxa"/>
            <w:noWrap w:val="0"/>
            <w:vAlign w:val="center"/>
          </w:tcPr>
          <w:p w14:paraId="1B91CAF1">
            <w:pPr>
              <w:keepNext w:val="0"/>
              <w:keepLines w:val="0"/>
              <w:pageBreakBefore w:val="0"/>
              <w:widowControl w:val="0"/>
              <w:kinsoku/>
              <w:wordWrap/>
              <w:overflowPunct/>
              <w:topLinePunct w:val="0"/>
              <w:autoSpaceDE/>
              <w:autoSpaceDN/>
              <w:bidi w:val="0"/>
              <w:adjustRightInd/>
              <w:spacing w:line="360" w:lineRule="auto"/>
              <w:textAlignment w:val="auto"/>
              <w:outlineLvl w:val="9"/>
              <w:rPr>
                <w:rFonts w:hint="eastAsia" w:ascii="宋体" w:hAnsi="宋体" w:eastAsia="宋体" w:cs="宋体"/>
                <w:color w:val="auto"/>
                <w:sz w:val="21"/>
                <w:szCs w:val="21"/>
                <w:highlight w:val="none"/>
              </w:rPr>
            </w:pPr>
          </w:p>
        </w:tc>
      </w:tr>
      <w:tr w14:paraId="3E1CA5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798" w:type="dxa"/>
            <w:tcBorders>
              <w:left w:val="single" w:color="auto" w:sz="4" w:space="0"/>
            </w:tcBorders>
            <w:noWrap w:val="0"/>
            <w:vAlign w:val="center"/>
          </w:tcPr>
          <w:p w14:paraId="5B7EBAF8">
            <w:pPr>
              <w:keepNext w:val="0"/>
              <w:keepLines w:val="0"/>
              <w:pageBreakBefore w:val="0"/>
              <w:widowControl w:val="0"/>
              <w:kinsoku/>
              <w:wordWrap/>
              <w:overflowPunct/>
              <w:topLinePunct w:val="0"/>
              <w:autoSpaceDE/>
              <w:autoSpaceDN/>
              <w:bidi w:val="0"/>
              <w:adjustRightInd/>
              <w:spacing w:line="360" w:lineRule="auto"/>
              <w:textAlignment w:val="auto"/>
              <w:outlineLvl w:val="9"/>
              <w:rPr>
                <w:rFonts w:hint="eastAsia" w:ascii="宋体" w:hAnsi="宋体" w:eastAsia="宋体" w:cs="宋体"/>
                <w:color w:val="auto"/>
                <w:sz w:val="21"/>
                <w:szCs w:val="21"/>
                <w:highlight w:val="none"/>
              </w:rPr>
            </w:pPr>
          </w:p>
        </w:tc>
        <w:tc>
          <w:tcPr>
            <w:tcW w:w="6881" w:type="dxa"/>
            <w:noWrap w:val="0"/>
            <w:vAlign w:val="center"/>
          </w:tcPr>
          <w:p w14:paraId="69CF0925">
            <w:pPr>
              <w:keepNext w:val="0"/>
              <w:keepLines w:val="0"/>
              <w:pageBreakBefore w:val="0"/>
              <w:widowControl w:val="0"/>
              <w:kinsoku/>
              <w:wordWrap/>
              <w:overflowPunct/>
              <w:topLinePunct w:val="0"/>
              <w:autoSpaceDE/>
              <w:autoSpaceDN/>
              <w:bidi w:val="0"/>
              <w:adjustRightInd/>
              <w:spacing w:line="360" w:lineRule="auto"/>
              <w:textAlignment w:val="auto"/>
              <w:outlineLvl w:val="9"/>
              <w:rPr>
                <w:rFonts w:hint="eastAsia" w:ascii="宋体" w:hAnsi="宋体" w:eastAsia="宋体" w:cs="宋体"/>
                <w:color w:val="auto"/>
                <w:sz w:val="21"/>
                <w:szCs w:val="21"/>
                <w:highlight w:val="none"/>
              </w:rPr>
            </w:pPr>
          </w:p>
        </w:tc>
      </w:tr>
      <w:tr w14:paraId="170932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798" w:type="dxa"/>
            <w:tcBorders>
              <w:left w:val="single" w:color="auto" w:sz="4" w:space="0"/>
            </w:tcBorders>
            <w:noWrap w:val="0"/>
            <w:vAlign w:val="center"/>
          </w:tcPr>
          <w:p w14:paraId="1FEA14B5">
            <w:pPr>
              <w:keepNext w:val="0"/>
              <w:keepLines w:val="0"/>
              <w:pageBreakBefore w:val="0"/>
              <w:widowControl w:val="0"/>
              <w:kinsoku/>
              <w:wordWrap/>
              <w:overflowPunct/>
              <w:topLinePunct w:val="0"/>
              <w:autoSpaceDE/>
              <w:autoSpaceDN/>
              <w:bidi w:val="0"/>
              <w:adjustRightInd/>
              <w:spacing w:line="360" w:lineRule="auto"/>
              <w:textAlignment w:val="auto"/>
              <w:outlineLvl w:val="9"/>
              <w:rPr>
                <w:rFonts w:hint="eastAsia" w:ascii="宋体" w:hAnsi="宋体" w:eastAsia="宋体" w:cs="宋体"/>
                <w:color w:val="auto"/>
                <w:sz w:val="21"/>
                <w:szCs w:val="21"/>
                <w:highlight w:val="none"/>
              </w:rPr>
            </w:pPr>
          </w:p>
        </w:tc>
        <w:tc>
          <w:tcPr>
            <w:tcW w:w="6881" w:type="dxa"/>
            <w:noWrap w:val="0"/>
            <w:vAlign w:val="center"/>
          </w:tcPr>
          <w:p w14:paraId="52DE11A0">
            <w:pPr>
              <w:keepNext w:val="0"/>
              <w:keepLines w:val="0"/>
              <w:pageBreakBefore w:val="0"/>
              <w:widowControl w:val="0"/>
              <w:kinsoku/>
              <w:wordWrap/>
              <w:overflowPunct/>
              <w:topLinePunct w:val="0"/>
              <w:autoSpaceDE/>
              <w:autoSpaceDN/>
              <w:bidi w:val="0"/>
              <w:adjustRightInd/>
              <w:spacing w:line="360" w:lineRule="auto"/>
              <w:textAlignment w:val="auto"/>
              <w:outlineLvl w:val="9"/>
              <w:rPr>
                <w:rFonts w:hint="eastAsia" w:ascii="宋体" w:hAnsi="宋体" w:eastAsia="宋体" w:cs="宋体"/>
                <w:color w:val="auto"/>
                <w:sz w:val="21"/>
                <w:szCs w:val="21"/>
                <w:highlight w:val="none"/>
              </w:rPr>
            </w:pPr>
          </w:p>
        </w:tc>
      </w:tr>
      <w:tr w14:paraId="7CF16E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798" w:type="dxa"/>
            <w:tcBorders>
              <w:top w:val="single" w:color="auto" w:sz="6" w:space="0"/>
              <w:left w:val="single" w:color="auto" w:sz="4" w:space="0"/>
              <w:bottom w:val="single" w:color="auto" w:sz="6" w:space="0"/>
              <w:right w:val="single" w:color="auto" w:sz="6" w:space="0"/>
            </w:tcBorders>
            <w:noWrap w:val="0"/>
            <w:vAlign w:val="center"/>
          </w:tcPr>
          <w:p w14:paraId="27E1FB82">
            <w:pPr>
              <w:keepNext w:val="0"/>
              <w:keepLines w:val="0"/>
              <w:pageBreakBefore w:val="0"/>
              <w:widowControl w:val="0"/>
              <w:kinsoku/>
              <w:wordWrap/>
              <w:overflowPunct/>
              <w:topLinePunct w:val="0"/>
              <w:autoSpaceDE/>
              <w:autoSpaceDN/>
              <w:bidi w:val="0"/>
              <w:adjustRightInd/>
              <w:spacing w:line="360" w:lineRule="auto"/>
              <w:textAlignment w:val="auto"/>
              <w:outlineLvl w:val="9"/>
              <w:rPr>
                <w:rFonts w:hint="eastAsia" w:ascii="宋体" w:hAnsi="宋体" w:eastAsia="宋体" w:cs="宋体"/>
                <w:color w:val="auto"/>
                <w:sz w:val="21"/>
                <w:szCs w:val="21"/>
                <w:highlight w:val="none"/>
              </w:rPr>
            </w:pPr>
          </w:p>
        </w:tc>
        <w:tc>
          <w:tcPr>
            <w:tcW w:w="6881" w:type="dxa"/>
            <w:tcBorders>
              <w:top w:val="single" w:color="auto" w:sz="6" w:space="0"/>
              <w:left w:val="single" w:color="auto" w:sz="6" w:space="0"/>
              <w:bottom w:val="single" w:color="auto" w:sz="6" w:space="0"/>
              <w:right w:val="single" w:color="auto" w:sz="6" w:space="0"/>
            </w:tcBorders>
            <w:noWrap w:val="0"/>
            <w:vAlign w:val="center"/>
          </w:tcPr>
          <w:p w14:paraId="0F4884EF">
            <w:pPr>
              <w:keepNext w:val="0"/>
              <w:keepLines w:val="0"/>
              <w:pageBreakBefore w:val="0"/>
              <w:widowControl w:val="0"/>
              <w:kinsoku/>
              <w:wordWrap/>
              <w:overflowPunct/>
              <w:topLinePunct w:val="0"/>
              <w:autoSpaceDE/>
              <w:autoSpaceDN/>
              <w:bidi w:val="0"/>
              <w:adjustRightInd/>
              <w:spacing w:line="360" w:lineRule="auto"/>
              <w:textAlignment w:val="auto"/>
              <w:outlineLvl w:val="9"/>
              <w:rPr>
                <w:rFonts w:hint="eastAsia" w:ascii="宋体" w:hAnsi="宋体" w:eastAsia="宋体" w:cs="宋体"/>
                <w:color w:val="auto"/>
                <w:sz w:val="21"/>
                <w:szCs w:val="21"/>
                <w:highlight w:val="none"/>
              </w:rPr>
            </w:pPr>
          </w:p>
        </w:tc>
      </w:tr>
      <w:tr w14:paraId="6F2383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798" w:type="dxa"/>
            <w:tcBorders>
              <w:top w:val="single" w:color="auto" w:sz="6" w:space="0"/>
              <w:left w:val="single" w:color="auto" w:sz="4" w:space="0"/>
              <w:bottom w:val="single" w:color="auto" w:sz="6" w:space="0"/>
              <w:right w:val="single" w:color="auto" w:sz="6" w:space="0"/>
            </w:tcBorders>
            <w:noWrap w:val="0"/>
            <w:vAlign w:val="center"/>
          </w:tcPr>
          <w:p w14:paraId="2EB25A65">
            <w:pPr>
              <w:keepNext w:val="0"/>
              <w:keepLines w:val="0"/>
              <w:pageBreakBefore w:val="0"/>
              <w:widowControl w:val="0"/>
              <w:kinsoku/>
              <w:wordWrap/>
              <w:overflowPunct/>
              <w:topLinePunct w:val="0"/>
              <w:autoSpaceDE/>
              <w:autoSpaceDN/>
              <w:bidi w:val="0"/>
              <w:adjustRightInd/>
              <w:spacing w:line="360" w:lineRule="auto"/>
              <w:textAlignment w:val="auto"/>
              <w:outlineLvl w:val="9"/>
              <w:rPr>
                <w:rFonts w:hint="eastAsia" w:ascii="宋体" w:hAnsi="宋体" w:eastAsia="宋体" w:cs="宋体"/>
                <w:color w:val="auto"/>
                <w:sz w:val="21"/>
                <w:szCs w:val="21"/>
                <w:highlight w:val="none"/>
              </w:rPr>
            </w:pPr>
          </w:p>
        </w:tc>
        <w:tc>
          <w:tcPr>
            <w:tcW w:w="6881" w:type="dxa"/>
            <w:tcBorders>
              <w:top w:val="single" w:color="auto" w:sz="6" w:space="0"/>
              <w:left w:val="single" w:color="auto" w:sz="6" w:space="0"/>
              <w:bottom w:val="single" w:color="auto" w:sz="6" w:space="0"/>
              <w:right w:val="single" w:color="auto" w:sz="6" w:space="0"/>
            </w:tcBorders>
            <w:noWrap w:val="0"/>
            <w:vAlign w:val="center"/>
          </w:tcPr>
          <w:p w14:paraId="797A2FE3">
            <w:pPr>
              <w:keepNext w:val="0"/>
              <w:keepLines w:val="0"/>
              <w:pageBreakBefore w:val="0"/>
              <w:widowControl w:val="0"/>
              <w:kinsoku/>
              <w:wordWrap/>
              <w:overflowPunct/>
              <w:topLinePunct w:val="0"/>
              <w:autoSpaceDE/>
              <w:autoSpaceDN/>
              <w:bidi w:val="0"/>
              <w:adjustRightInd/>
              <w:spacing w:line="360" w:lineRule="auto"/>
              <w:textAlignment w:val="auto"/>
              <w:outlineLvl w:val="9"/>
              <w:rPr>
                <w:rFonts w:hint="eastAsia" w:ascii="宋体" w:hAnsi="宋体" w:eastAsia="宋体" w:cs="宋体"/>
                <w:color w:val="auto"/>
                <w:sz w:val="21"/>
                <w:szCs w:val="21"/>
                <w:highlight w:val="none"/>
              </w:rPr>
            </w:pPr>
          </w:p>
        </w:tc>
      </w:tr>
    </w:tbl>
    <w:p w14:paraId="1D36B229">
      <w:pPr>
        <w:rPr>
          <w:rFonts w:hint="eastAsia" w:ascii="宋体" w:hAnsi="宋体" w:eastAsia="宋体" w:cs="宋体"/>
          <w:color w:val="auto"/>
          <w:sz w:val="21"/>
          <w:szCs w:val="21"/>
          <w:highlight w:val="none"/>
        </w:rPr>
      </w:pPr>
    </w:p>
    <w:p w14:paraId="6DDA3790">
      <w:pPr>
        <w:rPr>
          <w:rFonts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br w:type="page"/>
      </w:r>
    </w:p>
    <w:p w14:paraId="22140633">
      <w:pPr>
        <w:spacing w:line="460" w:lineRule="exact"/>
        <w:jc w:val="center"/>
        <w:outlineLvl w:val="0"/>
        <w:rPr>
          <w:rFonts w:ascii="宋体" w:hAnsi="宋体" w:eastAsia="宋体" w:cs="宋体"/>
          <w:b/>
          <w:color w:val="auto"/>
          <w:kern w:val="0"/>
          <w:sz w:val="28"/>
          <w:szCs w:val="28"/>
          <w:highlight w:val="none"/>
        </w:rPr>
      </w:pPr>
      <w:bookmarkStart w:id="257" w:name="_Toc31173"/>
      <w:r>
        <w:rPr>
          <w:rFonts w:hint="eastAsia" w:ascii="宋体" w:hAnsi="宋体" w:eastAsia="宋体" w:cs="宋体"/>
          <w:b/>
          <w:color w:val="auto"/>
          <w:kern w:val="0"/>
          <w:sz w:val="28"/>
          <w:szCs w:val="28"/>
          <w:highlight w:val="none"/>
        </w:rPr>
        <w:t>第五章  响应文件部分格式</w:t>
      </w:r>
      <w:bookmarkEnd w:id="257"/>
    </w:p>
    <w:p w14:paraId="6C90BD20">
      <w:pPr>
        <w:widowControl/>
        <w:jc w:val="center"/>
        <w:rPr>
          <w:rFonts w:ascii="宋体" w:hAnsi="宋体" w:eastAsia="宋体" w:cs="宋体"/>
          <w:b/>
          <w:color w:val="auto"/>
          <w:kern w:val="0"/>
          <w:sz w:val="21"/>
          <w:szCs w:val="21"/>
          <w:highlight w:val="none"/>
        </w:rPr>
      </w:pPr>
    </w:p>
    <w:p w14:paraId="0C7C8633">
      <w:pPr>
        <w:widowControl/>
        <w:jc w:val="center"/>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响应文件封面格式</w:t>
      </w:r>
    </w:p>
    <w:p w14:paraId="50F3A61C">
      <w:pPr>
        <w:widowControl/>
        <w:jc w:val="center"/>
        <w:rPr>
          <w:rFonts w:ascii="宋体" w:hAnsi="宋体" w:eastAsia="宋体" w:cs="宋体"/>
          <w:color w:val="auto"/>
          <w:kern w:val="0"/>
          <w:sz w:val="21"/>
          <w:szCs w:val="21"/>
          <w:highlight w:val="none"/>
        </w:rPr>
      </w:pPr>
    </w:p>
    <w:p w14:paraId="5C2FFCFE">
      <w:pPr>
        <w:widowControl/>
        <w:pBdr>
          <w:top w:val="single" w:color="auto" w:sz="4" w:space="1"/>
          <w:left w:val="single" w:color="auto" w:sz="4" w:space="4"/>
          <w:bottom w:val="single" w:color="auto" w:sz="4" w:space="31"/>
          <w:right w:val="single" w:color="auto" w:sz="4" w:space="4"/>
        </w:pBdr>
        <w:spacing w:line="480" w:lineRule="auto"/>
        <w:jc w:val="right"/>
        <w:rPr>
          <w:rFonts w:ascii="宋体" w:hAnsi="宋体" w:eastAsia="宋体" w:cs="宋体"/>
          <w:color w:val="auto"/>
          <w:sz w:val="21"/>
          <w:szCs w:val="21"/>
          <w:highlight w:val="none"/>
        </w:rPr>
      </w:pPr>
    </w:p>
    <w:p w14:paraId="0B26AE2E">
      <w:pPr>
        <w:widowControl/>
        <w:pBdr>
          <w:top w:val="single" w:color="auto" w:sz="4" w:space="1"/>
          <w:left w:val="single" w:color="auto" w:sz="4" w:space="4"/>
          <w:bottom w:val="single" w:color="auto" w:sz="4" w:space="31"/>
          <w:right w:val="single" w:color="auto" w:sz="4" w:space="4"/>
        </w:pBdr>
        <w:spacing w:line="480" w:lineRule="auto"/>
        <w:jc w:val="center"/>
        <w:outlineLvl w:val="1"/>
        <w:rPr>
          <w:rFonts w:ascii="宋体" w:hAnsi="宋体" w:eastAsia="宋体" w:cs="宋体"/>
          <w:b/>
          <w:color w:val="auto"/>
          <w:kern w:val="0"/>
          <w:sz w:val="21"/>
          <w:szCs w:val="21"/>
          <w:highlight w:val="none"/>
        </w:rPr>
      </w:pPr>
      <w:bookmarkStart w:id="258" w:name="_Toc32120"/>
      <w:r>
        <w:rPr>
          <w:rFonts w:hint="eastAsia" w:ascii="宋体" w:hAnsi="宋体" w:eastAsia="宋体" w:cs="宋体"/>
          <w:b/>
          <w:color w:val="auto"/>
          <w:kern w:val="0"/>
          <w:sz w:val="21"/>
          <w:szCs w:val="21"/>
          <w:highlight w:val="none"/>
        </w:rPr>
        <w:t>项目名称</w:t>
      </w:r>
      <w:bookmarkEnd w:id="258"/>
    </w:p>
    <w:p w14:paraId="1D7BDDCD">
      <w:pPr>
        <w:widowControl/>
        <w:pBdr>
          <w:top w:val="single" w:color="auto" w:sz="4" w:space="1"/>
          <w:left w:val="single" w:color="auto" w:sz="4" w:space="4"/>
          <w:bottom w:val="single" w:color="auto" w:sz="4" w:space="31"/>
          <w:right w:val="single" w:color="auto" w:sz="4" w:space="4"/>
        </w:pBdr>
        <w:spacing w:line="480" w:lineRule="auto"/>
        <w:jc w:val="center"/>
        <w:rPr>
          <w:rFonts w:ascii="宋体" w:hAnsi="宋体" w:eastAsia="宋体" w:cs="宋体"/>
          <w:b/>
          <w:color w:val="auto"/>
          <w:kern w:val="0"/>
          <w:sz w:val="21"/>
          <w:szCs w:val="21"/>
          <w:highlight w:val="none"/>
        </w:rPr>
      </w:pPr>
    </w:p>
    <w:p w14:paraId="29C48299">
      <w:pPr>
        <w:widowControl/>
        <w:pBdr>
          <w:top w:val="single" w:color="auto" w:sz="4" w:space="1"/>
          <w:left w:val="single" w:color="auto" w:sz="4" w:space="4"/>
          <w:bottom w:val="single" w:color="auto" w:sz="4" w:space="31"/>
          <w:right w:val="single" w:color="auto" w:sz="4" w:space="4"/>
        </w:pBdr>
        <w:spacing w:line="480" w:lineRule="auto"/>
        <w:jc w:val="center"/>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响应文件</w:t>
      </w:r>
    </w:p>
    <w:p w14:paraId="24698CA0">
      <w:pPr>
        <w:widowControl/>
        <w:pBdr>
          <w:top w:val="single" w:color="auto" w:sz="4" w:space="1"/>
          <w:left w:val="single" w:color="auto" w:sz="4" w:space="4"/>
          <w:bottom w:val="single" w:color="auto" w:sz="4" w:space="31"/>
          <w:right w:val="single" w:color="auto" w:sz="4" w:space="4"/>
        </w:pBdr>
        <w:spacing w:line="480" w:lineRule="auto"/>
        <w:jc w:val="center"/>
        <w:rPr>
          <w:rFonts w:ascii="宋体" w:hAnsi="宋体" w:eastAsia="宋体" w:cs="宋体"/>
          <w:b/>
          <w:color w:val="auto"/>
          <w:kern w:val="0"/>
          <w:sz w:val="21"/>
          <w:szCs w:val="21"/>
          <w:highlight w:val="none"/>
        </w:rPr>
      </w:pPr>
    </w:p>
    <w:p w14:paraId="3D29CF3B">
      <w:pPr>
        <w:widowControl/>
        <w:pBdr>
          <w:top w:val="single" w:color="auto" w:sz="4" w:space="1"/>
          <w:left w:val="single" w:color="auto" w:sz="4" w:space="4"/>
          <w:bottom w:val="single" w:color="auto" w:sz="4" w:space="31"/>
          <w:right w:val="single" w:color="auto" w:sz="4" w:space="4"/>
        </w:pBdr>
        <w:spacing w:line="480" w:lineRule="auto"/>
        <w:jc w:val="center"/>
        <w:rPr>
          <w:rFonts w:ascii="宋体" w:hAnsi="宋体" w:eastAsia="宋体" w:cs="宋体"/>
          <w:b/>
          <w:color w:val="auto"/>
          <w:kern w:val="0"/>
          <w:sz w:val="21"/>
          <w:szCs w:val="21"/>
          <w:highlight w:val="none"/>
        </w:rPr>
      </w:pPr>
    </w:p>
    <w:p w14:paraId="29C39882">
      <w:pPr>
        <w:widowControl/>
        <w:pBdr>
          <w:top w:val="single" w:color="auto" w:sz="4" w:space="1"/>
          <w:left w:val="single" w:color="auto" w:sz="4" w:space="4"/>
          <w:bottom w:val="single" w:color="auto" w:sz="4" w:space="31"/>
          <w:right w:val="single" w:color="auto" w:sz="4" w:space="4"/>
        </w:pBdr>
        <w:spacing w:line="480" w:lineRule="auto"/>
        <w:jc w:val="center"/>
        <w:rPr>
          <w:rFonts w:ascii="宋体" w:hAnsi="宋体" w:eastAsia="宋体" w:cs="宋体"/>
          <w:b/>
          <w:color w:val="auto"/>
          <w:kern w:val="0"/>
          <w:sz w:val="21"/>
          <w:szCs w:val="21"/>
          <w:highlight w:val="none"/>
        </w:rPr>
      </w:pPr>
    </w:p>
    <w:p w14:paraId="3011D223">
      <w:pPr>
        <w:widowControl/>
        <w:pBdr>
          <w:top w:val="single" w:color="auto" w:sz="4" w:space="1"/>
          <w:left w:val="single" w:color="auto" w:sz="4" w:space="4"/>
          <w:bottom w:val="single" w:color="auto" w:sz="4" w:space="31"/>
          <w:right w:val="single" w:color="auto" w:sz="4" w:space="4"/>
        </w:pBdr>
        <w:spacing w:line="480" w:lineRule="auto"/>
        <w:jc w:val="center"/>
        <w:rPr>
          <w:rFonts w:ascii="宋体" w:hAnsi="宋体" w:eastAsia="宋体" w:cs="宋体"/>
          <w:b/>
          <w:color w:val="auto"/>
          <w:kern w:val="0"/>
          <w:sz w:val="21"/>
          <w:szCs w:val="21"/>
          <w:highlight w:val="none"/>
        </w:rPr>
      </w:pPr>
    </w:p>
    <w:p w14:paraId="78101E55">
      <w:pPr>
        <w:widowControl/>
        <w:pBdr>
          <w:top w:val="single" w:color="auto" w:sz="4" w:space="1"/>
          <w:left w:val="single" w:color="auto" w:sz="4" w:space="4"/>
          <w:bottom w:val="single" w:color="auto" w:sz="4" w:space="31"/>
          <w:right w:val="single" w:color="auto" w:sz="4" w:space="4"/>
        </w:pBdr>
        <w:spacing w:line="480" w:lineRule="auto"/>
        <w:jc w:val="center"/>
        <w:rPr>
          <w:rFonts w:ascii="宋体" w:hAnsi="宋体" w:eastAsia="宋体" w:cs="宋体"/>
          <w:b/>
          <w:color w:val="auto"/>
          <w:kern w:val="0"/>
          <w:sz w:val="21"/>
          <w:szCs w:val="21"/>
          <w:highlight w:val="none"/>
        </w:rPr>
      </w:pPr>
    </w:p>
    <w:p w14:paraId="53DC1D0A">
      <w:pPr>
        <w:widowControl/>
        <w:pBdr>
          <w:top w:val="single" w:color="auto" w:sz="4" w:space="1"/>
          <w:left w:val="single" w:color="auto" w:sz="4" w:space="4"/>
          <w:bottom w:val="single" w:color="auto" w:sz="4" w:space="31"/>
          <w:right w:val="single" w:color="auto" w:sz="4" w:space="4"/>
        </w:pBdr>
        <w:spacing w:line="480" w:lineRule="auto"/>
        <w:jc w:val="center"/>
        <w:rPr>
          <w:rFonts w:ascii="宋体" w:hAnsi="宋体" w:eastAsia="宋体" w:cs="宋体"/>
          <w:b/>
          <w:color w:val="auto"/>
          <w:kern w:val="0"/>
          <w:sz w:val="21"/>
          <w:szCs w:val="21"/>
          <w:highlight w:val="none"/>
        </w:rPr>
      </w:pPr>
    </w:p>
    <w:p w14:paraId="3EAFD3AE">
      <w:pPr>
        <w:widowControl/>
        <w:pBdr>
          <w:top w:val="single" w:color="auto" w:sz="4" w:space="1"/>
          <w:left w:val="single" w:color="auto" w:sz="4" w:space="4"/>
          <w:bottom w:val="single" w:color="auto" w:sz="4" w:space="31"/>
          <w:right w:val="single" w:color="auto" w:sz="4" w:space="4"/>
        </w:pBdr>
        <w:spacing w:line="480" w:lineRule="auto"/>
        <w:jc w:val="center"/>
        <w:rPr>
          <w:rFonts w:ascii="宋体" w:hAnsi="宋体" w:eastAsia="宋体" w:cs="宋体"/>
          <w:b/>
          <w:color w:val="auto"/>
          <w:kern w:val="0"/>
          <w:sz w:val="21"/>
          <w:szCs w:val="21"/>
          <w:highlight w:val="none"/>
        </w:rPr>
      </w:pPr>
    </w:p>
    <w:p w14:paraId="197E7975">
      <w:pPr>
        <w:widowControl/>
        <w:pBdr>
          <w:top w:val="single" w:color="auto" w:sz="4" w:space="1"/>
          <w:left w:val="single" w:color="auto" w:sz="4" w:space="4"/>
          <w:bottom w:val="single" w:color="auto" w:sz="4" w:space="31"/>
          <w:right w:val="single" w:color="auto" w:sz="4" w:space="4"/>
        </w:pBdr>
        <w:spacing w:line="480" w:lineRule="auto"/>
        <w:ind w:firstLine="1550" w:firstLineChars="735"/>
        <w:jc w:val="left"/>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项目编号：</w:t>
      </w:r>
    </w:p>
    <w:p w14:paraId="7C566A05">
      <w:pPr>
        <w:widowControl/>
        <w:pBdr>
          <w:top w:val="single" w:color="auto" w:sz="4" w:space="1"/>
          <w:left w:val="single" w:color="auto" w:sz="4" w:space="4"/>
          <w:bottom w:val="single" w:color="auto" w:sz="4" w:space="31"/>
          <w:right w:val="single" w:color="auto" w:sz="4" w:space="4"/>
        </w:pBdr>
        <w:spacing w:line="480" w:lineRule="auto"/>
        <w:ind w:firstLine="1550" w:firstLineChars="735"/>
        <w:jc w:val="left"/>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供应商名称：（盖章）</w:t>
      </w:r>
    </w:p>
    <w:p w14:paraId="384B8967">
      <w:pPr>
        <w:widowControl/>
        <w:pBdr>
          <w:top w:val="single" w:color="auto" w:sz="4" w:space="1"/>
          <w:left w:val="single" w:color="auto" w:sz="4" w:space="4"/>
          <w:bottom w:val="single" w:color="auto" w:sz="4" w:space="31"/>
          <w:right w:val="single" w:color="auto" w:sz="4" w:space="4"/>
        </w:pBdr>
        <w:spacing w:line="480" w:lineRule="auto"/>
        <w:ind w:firstLine="1550" w:firstLineChars="735"/>
        <w:jc w:val="left"/>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法定代表人（单位负责人）或委托代理人：（签字或盖章）</w:t>
      </w:r>
    </w:p>
    <w:p w14:paraId="7E804E0F">
      <w:pPr>
        <w:widowControl/>
        <w:pBdr>
          <w:top w:val="single" w:color="auto" w:sz="4" w:space="1"/>
          <w:left w:val="single" w:color="auto" w:sz="4" w:space="4"/>
          <w:bottom w:val="single" w:color="auto" w:sz="4" w:space="31"/>
          <w:right w:val="single" w:color="auto" w:sz="4" w:space="4"/>
        </w:pBdr>
        <w:spacing w:line="480" w:lineRule="auto"/>
        <w:ind w:firstLine="1550" w:firstLineChars="735"/>
        <w:jc w:val="left"/>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日  期：     年   月   日</w:t>
      </w:r>
    </w:p>
    <w:p w14:paraId="7CF97E4C">
      <w:pPr>
        <w:widowControl/>
        <w:pBdr>
          <w:top w:val="single" w:color="auto" w:sz="4" w:space="1"/>
          <w:left w:val="single" w:color="auto" w:sz="4" w:space="4"/>
          <w:bottom w:val="single" w:color="auto" w:sz="4" w:space="31"/>
          <w:right w:val="single" w:color="auto" w:sz="4" w:space="4"/>
        </w:pBdr>
        <w:spacing w:line="480" w:lineRule="auto"/>
        <w:ind w:firstLine="1550" w:firstLineChars="735"/>
        <w:jc w:val="left"/>
        <w:rPr>
          <w:rFonts w:ascii="宋体" w:hAnsi="宋体" w:eastAsia="宋体" w:cs="宋体"/>
          <w:b/>
          <w:color w:val="auto"/>
          <w:kern w:val="0"/>
          <w:sz w:val="21"/>
          <w:szCs w:val="21"/>
          <w:highlight w:val="none"/>
        </w:rPr>
      </w:pPr>
    </w:p>
    <w:p w14:paraId="08B0C555">
      <w:pPr>
        <w:widowControl/>
        <w:jc w:val="left"/>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10E152A6">
      <w:pPr>
        <w:rPr>
          <w:rFonts w:ascii="宋体" w:hAnsi="宋体" w:eastAsia="宋体" w:cs="宋体"/>
          <w:color w:val="auto"/>
          <w:sz w:val="21"/>
          <w:szCs w:val="21"/>
          <w:highlight w:val="none"/>
        </w:rPr>
      </w:pPr>
    </w:p>
    <w:p w14:paraId="746FB16E">
      <w:pPr>
        <w:rPr>
          <w:rFonts w:ascii="宋体" w:hAnsi="宋体" w:eastAsia="宋体" w:cs="宋体"/>
          <w:b/>
          <w:color w:val="auto"/>
          <w:sz w:val="21"/>
          <w:szCs w:val="21"/>
          <w:highlight w:val="none"/>
        </w:rPr>
      </w:pPr>
      <w:bookmarkStart w:id="259" w:name="_Toc32835897"/>
      <w:bookmarkEnd w:id="259"/>
      <w:r>
        <w:rPr>
          <w:rFonts w:hint="eastAsia" w:ascii="宋体" w:hAnsi="宋体" w:eastAsia="宋体" w:cs="宋体"/>
          <w:b/>
          <w:color w:val="auto"/>
          <w:sz w:val="21"/>
          <w:szCs w:val="21"/>
          <w:highlight w:val="none"/>
        </w:rPr>
        <w:t>附件1</w:t>
      </w:r>
    </w:p>
    <w:p w14:paraId="09574069">
      <w:pPr>
        <w:snapToGrid w:val="0"/>
        <w:spacing w:line="360" w:lineRule="auto"/>
        <w:jc w:val="center"/>
        <w:rPr>
          <w:rFonts w:ascii="宋体" w:hAnsi="宋体" w:eastAsia="宋体" w:cs="宋体"/>
          <w:b/>
          <w:color w:val="auto"/>
          <w:sz w:val="21"/>
          <w:szCs w:val="21"/>
          <w:highlight w:val="none"/>
        </w:rPr>
      </w:pPr>
      <w:bookmarkStart w:id="260" w:name="_Toc32835898"/>
      <w:bookmarkEnd w:id="260"/>
      <w:r>
        <w:rPr>
          <w:rFonts w:hint="eastAsia" w:ascii="宋体" w:hAnsi="宋体" w:eastAsia="宋体" w:cs="宋体"/>
          <w:b/>
          <w:color w:val="auto"/>
          <w:sz w:val="21"/>
          <w:szCs w:val="21"/>
          <w:highlight w:val="none"/>
        </w:rPr>
        <w:t>报 价 函</w:t>
      </w:r>
    </w:p>
    <w:p w14:paraId="254660B7">
      <w:pPr>
        <w:snapToGrid w:val="0"/>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（采购人）</w:t>
      </w:r>
    </w:p>
    <w:p w14:paraId="295C476F">
      <w:pPr>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根据贵方为（</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rPr>
        <w:t>）项目的竞争性磋商公告，签字代表（</w:t>
      </w:r>
      <w:r>
        <w:rPr>
          <w:rFonts w:hint="eastAsia" w:ascii="宋体" w:hAnsi="宋体" w:eastAsia="宋体" w:cs="宋体"/>
          <w:color w:val="auto"/>
          <w:sz w:val="21"/>
          <w:szCs w:val="21"/>
          <w:highlight w:val="none"/>
          <w:u w:val="single"/>
        </w:rPr>
        <w:t>姓名、职务</w:t>
      </w:r>
      <w:r>
        <w:rPr>
          <w:rFonts w:hint="eastAsia" w:ascii="宋体" w:hAnsi="宋体" w:eastAsia="宋体" w:cs="宋体"/>
          <w:color w:val="auto"/>
          <w:sz w:val="21"/>
          <w:szCs w:val="21"/>
          <w:highlight w:val="none"/>
        </w:rPr>
        <w:t>）经正式授权并代表供应商（</w:t>
      </w:r>
      <w:r>
        <w:rPr>
          <w:rFonts w:hint="eastAsia" w:ascii="宋体" w:hAnsi="宋体" w:eastAsia="宋体" w:cs="宋体"/>
          <w:color w:val="auto"/>
          <w:sz w:val="21"/>
          <w:szCs w:val="21"/>
          <w:highlight w:val="none"/>
          <w:u w:val="single"/>
        </w:rPr>
        <w:t>供应商名称</w:t>
      </w:r>
      <w:r>
        <w:rPr>
          <w:rFonts w:hint="eastAsia" w:ascii="宋体" w:hAnsi="宋体" w:eastAsia="宋体" w:cs="宋体"/>
          <w:color w:val="auto"/>
          <w:sz w:val="21"/>
          <w:szCs w:val="21"/>
          <w:highlight w:val="none"/>
        </w:rPr>
        <w:t>）提交下述文件：</w:t>
      </w:r>
    </w:p>
    <w:p w14:paraId="49C0EA80">
      <w:pPr>
        <w:spacing w:line="360" w:lineRule="auto"/>
        <w:ind w:firstLine="420" w:firstLineChars="200"/>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1.我方总报价为 </w:t>
      </w:r>
      <w:r>
        <w:rPr>
          <w:rFonts w:hint="eastAsia" w:ascii="宋体" w:hAnsi="宋体" w:eastAsia="宋体" w:cs="宋体"/>
          <w:color w:val="auto"/>
          <w:sz w:val="21"/>
          <w:szCs w:val="21"/>
          <w:highlight w:val="none"/>
          <w:u w:val="single"/>
        </w:rPr>
        <w:t xml:space="preserve">        元</w:t>
      </w:r>
      <w:r>
        <w:rPr>
          <w:rFonts w:hint="eastAsia" w:ascii="宋体" w:hAnsi="宋体" w:eastAsia="宋体" w:cs="宋体"/>
          <w:color w:val="auto"/>
          <w:sz w:val="21"/>
          <w:szCs w:val="21"/>
          <w:highlight w:val="none"/>
          <w:u w:val="single"/>
          <w:lang w:val="en-US" w:eastAsia="zh-CN"/>
        </w:rPr>
        <w:t>/套</w:t>
      </w:r>
      <w:r>
        <w:rPr>
          <w:rFonts w:hint="eastAsia" w:ascii="宋体" w:hAnsi="宋体" w:eastAsia="宋体" w:cs="宋体"/>
          <w:color w:val="auto"/>
          <w:sz w:val="21"/>
          <w:szCs w:val="21"/>
          <w:highlight w:val="none"/>
        </w:rPr>
        <w:t>。</w:t>
      </w:r>
    </w:p>
    <w:p w14:paraId="793C720F">
      <w:pPr>
        <w:spacing w:line="360" w:lineRule="auto"/>
        <w:ind w:firstLine="420" w:firstLineChars="200"/>
        <w:outlineLvl w:val="1"/>
        <w:rPr>
          <w:rFonts w:ascii="宋体" w:hAnsi="宋体" w:eastAsia="宋体" w:cs="宋体"/>
          <w:color w:val="auto"/>
          <w:sz w:val="21"/>
          <w:szCs w:val="21"/>
          <w:highlight w:val="none"/>
        </w:rPr>
      </w:pPr>
      <w:bookmarkStart w:id="261" w:name="_Toc154"/>
      <w:r>
        <w:rPr>
          <w:rFonts w:hint="eastAsia" w:ascii="宋体" w:hAnsi="宋体" w:eastAsia="宋体" w:cs="宋体"/>
          <w:color w:val="auto"/>
          <w:sz w:val="21"/>
          <w:szCs w:val="21"/>
          <w:highlight w:val="none"/>
        </w:rPr>
        <w:t>2.我方将按竞争性磋商文件的规定履行合同责任和义务。</w:t>
      </w:r>
      <w:bookmarkEnd w:id="261"/>
    </w:p>
    <w:p w14:paraId="56D45548">
      <w:pPr>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3.我方已详细审查全部竞争性磋商文件，包括补充通知(如有)。我们完全理解并同意放弃对这方面有不明及误解的权力。</w:t>
      </w:r>
    </w:p>
    <w:p w14:paraId="5E9F8D0F">
      <w:pPr>
        <w:spacing w:line="360" w:lineRule="auto"/>
        <w:ind w:firstLine="420" w:firstLineChars="200"/>
        <w:outlineLvl w:val="1"/>
        <w:rPr>
          <w:rFonts w:ascii="宋体" w:hAnsi="宋体" w:eastAsia="宋体" w:cs="宋体"/>
          <w:color w:val="auto"/>
          <w:sz w:val="21"/>
          <w:szCs w:val="21"/>
          <w:highlight w:val="none"/>
        </w:rPr>
      </w:pPr>
      <w:bookmarkStart w:id="262" w:name="_Toc3441"/>
      <w:r>
        <w:rPr>
          <w:rFonts w:hint="eastAsia" w:ascii="宋体" w:hAnsi="宋体" w:eastAsia="宋体" w:cs="宋体"/>
          <w:color w:val="auto"/>
          <w:sz w:val="21"/>
          <w:szCs w:val="21"/>
          <w:highlight w:val="none"/>
        </w:rPr>
        <w:t>4.本响应文件有效期为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bookmarkEnd w:id="262"/>
    </w:p>
    <w:p w14:paraId="2B48830B">
      <w:pPr>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5.根据供应商须知的规定，我方承诺，与采购单位聘请的为此项目提供咨询服务的公司及任何附属机构均无关联，我方不是采购单位的附属机构。</w:t>
      </w:r>
    </w:p>
    <w:p w14:paraId="1BA501D1">
      <w:pPr>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6.我方同意提供按照贵方可能要求的与其响应文件有关的一切数据或资料，完全理解贵方不一定接受最低报价的响应文件或收到的任何响应文件。</w:t>
      </w:r>
    </w:p>
    <w:p w14:paraId="67CAA307">
      <w:pPr>
        <w:adjustRightInd w:val="0"/>
        <w:snapToGrid w:val="0"/>
        <w:spacing w:line="360" w:lineRule="auto"/>
        <w:ind w:firstLine="420" w:firstLineChars="200"/>
        <w:rPr>
          <w:rFonts w:ascii="宋体" w:hAnsi="宋体" w:eastAsia="宋体" w:cs="宋体"/>
          <w:color w:val="auto"/>
          <w:sz w:val="21"/>
          <w:szCs w:val="21"/>
          <w:highlight w:val="none"/>
        </w:rPr>
      </w:pPr>
    </w:p>
    <w:p w14:paraId="6DE1569C">
      <w:pPr>
        <w:adjustRightInd w:val="0"/>
        <w:snapToGrid w:val="0"/>
        <w:spacing w:line="360" w:lineRule="auto"/>
        <w:ind w:firstLine="420" w:firstLineChars="200"/>
        <w:rPr>
          <w:rFonts w:ascii="宋体" w:hAnsi="宋体" w:eastAsia="宋体" w:cs="宋体"/>
          <w:color w:val="auto"/>
          <w:sz w:val="21"/>
          <w:szCs w:val="21"/>
          <w:highlight w:val="none"/>
        </w:rPr>
      </w:pPr>
    </w:p>
    <w:p w14:paraId="75B69B5C">
      <w:pPr>
        <w:adjustRightInd w:val="0"/>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供应商名称（盖章）：_________________</w:t>
      </w:r>
    </w:p>
    <w:p w14:paraId="25693B05">
      <w:pPr>
        <w:adjustRightInd w:val="0"/>
        <w:snapToGrid w:val="0"/>
        <w:spacing w:line="360" w:lineRule="auto"/>
        <w:ind w:firstLine="420" w:firstLineChars="200"/>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法定代表人（单位负责人）或委托代理人（签字或盖章）：_____________</w:t>
      </w:r>
    </w:p>
    <w:p w14:paraId="0406C481">
      <w:pPr>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14:paraId="2320B944">
      <w:pPr>
        <w:rPr>
          <w:rFonts w:ascii="宋体" w:hAnsi="宋体" w:eastAsia="宋体" w:cs="宋体"/>
          <w:b/>
          <w:bCs/>
          <w:color w:val="auto"/>
          <w:sz w:val="21"/>
          <w:szCs w:val="21"/>
          <w:highlight w:val="none"/>
        </w:rPr>
      </w:pPr>
      <w:bookmarkStart w:id="263" w:name="_Toc18214"/>
      <w:bookmarkEnd w:id="263"/>
      <w:r>
        <w:rPr>
          <w:rFonts w:hint="eastAsia" w:ascii="宋体" w:hAnsi="宋体" w:eastAsia="宋体" w:cs="宋体"/>
          <w:color w:val="auto"/>
          <w:sz w:val="21"/>
          <w:szCs w:val="21"/>
          <w:highlight w:val="none"/>
        </w:rPr>
        <w:br w:type="page"/>
      </w:r>
      <w:r>
        <w:rPr>
          <w:rFonts w:hint="eastAsia" w:ascii="宋体" w:hAnsi="宋体" w:eastAsia="宋体" w:cs="宋体"/>
          <w:b/>
          <w:bCs/>
          <w:color w:val="auto"/>
          <w:sz w:val="21"/>
          <w:szCs w:val="21"/>
          <w:highlight w:val="none"/>
        </w:rPr>
        <w:t>附件1.1</w:t>
      </w:r>
    </w:p>
    <w:p w14:paraId="6963AB0D">
      <w:pPr>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报价一览表</w:t>
      </w:r>
    </w:p>
    <w:p w14:paraId="0DC61D4D">
      <w:pP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项目名称：___________</w:t>
      </w:r>
    </w:p>
    <w:p w14:paraId="1924ECB3">
      <w:pPr>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项目编号：___________                                                  单位：元</w:t>
      </w:r>
    </w:p>
    <w:tbl>
      <w:tblPr>
        <w:tblStyle w:val="27"/>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6838"/>
      </w:tblGrid>
      <w:tr w14:paraId="1AABC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jc w:val="center"/>
        </w:trPr>
        <w:tc>
          <w:tcPr>
            <w:tcW w:w="2448" w:type="dxa"/>
            <w:vAlign w:val="center"/>
          </w:tcPr>
          <w:p w14:paraId="11A9EA39">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p>
        </w:tc>
        <w:tc>
          <w:tcPr>
            <w:tcW w:w="6838" w:type="dxa"/>
            <w:vAlign w:val="center"/>
          </w:tcPr>
          <w:p w14:paraId="3CB10079">
            <w:pPr>
              <w:rPr>
                <w:rFonts w:ascii="宋体" w:hAnsi="宋体" w:eastAsia="宋体" w:cs="宋体"/>
                <w:color w:val="auto"/>
                <w:sz w:val="21"/>
                <w:szCs w:val="21"/>
                <w:highlight w:val="none"/>
              </w:rPr>
            </w:pPr>
          </w:p>
        </w:tc>
      </w:tr>
      <w:tr w14:paraId="35FB9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jc w:val="center"/>
        </w:trPr>
        <w:tc>
          <w:tcPr>
            <w:tcW w:w="2448" w:type="dxa"/>
            <w:vMerge w:val="restart"/>
            <w:vAlign w:val="center"/>
          </w:tcPr>
          <w:p w14:paraId="24996849">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总报价</w:t>
            </w:r>
          </w:p>
        </w:tc>
        <w:tc>
          <w:tcPr>
            <w:tcW w:w="6838" w:type="dxa"/>
            <w:vAlign w:val="center"/>
          </w:tcPr>
          <w:p w14:paraId="4863CBAD">
            <w:pPr>
              <w:rPr>
                <w:rFonts w:hint="default"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rPr>
              <w:t>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元/套</w:t>
            </w:r>
          </w:p>
        </w:tc>
      </w:tr>
      <w:tr w14:paraId="1DA4E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2448" w:type="dxa"/>
            <w:vMerge w:val="continue"/>
            <w:vAlign w:val="center"/>
          </w:tcPr>
          <w:p w14:paraId="0FB7DAC6">
            <w:pPr>
              <w:jc w:val="center"/>
              <w:rPr>
                <w:rFonts w:ascii="宋体" w:hAnsi="宋体" w:eastAsia="宋体" w:cs="宋体"/>
                <w:color w:val="auto"/>
                <w:sz w:val="21"/>
                <w:szCs w:val="21"/>
                <w:highlight w:val="none"/>
              </w:rPr>
            </w:pPr>
          </w:p>
        </w:tc>
        <w:tc>
          <w:tcPr>
            <w:tcW w:w="6838" w:type="dxa"/>
            <w:vAlign w:val="center"/>
          </w:tcPr>
          <w:p w14:paraId="71BD4D70">
            <w:pP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小写：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元/套</w:t>
            </w:r>
          </w:p>
        </w:tc>
      </w:tr>
      <w:tr w14:paraId="55AB7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2448" w:type="dxa"/>
            <w:vAlign w:val="center"/>
          </w:tcPr>
          <w:p w14:paraId="36DA38C4">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交货期</w:t>
            </w:r>
          </w:p>
        </w:tc>
        <w:tc>
          <w:tcPr>
            <w:tcW w:w="6838" w:type="dxa"/>
            <w:vAlign w:val="center"/>
          </w:tcPr>
          <w:p w14:paraId="2D2EA6B0">
            <w:pPr>
              <w:rPr>
                <w:rFonts w:ascii="宋体" w:hAnsi="宋体" w:eastAsia="宋体" w:cs="宋体"/>
                <w:color w:val="auto"/>
                <w:sz w:val="21"/>
                <w:szCs w:val="21"/>
                <w:highlight w:val="none"/>
              </w:rPr>
            </w:pPr>
          </w:p>
        </w:tc>
      </w:tr>
      <w:tr w14:paraId="0E345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2448" w:type="dxa"/>
            <w:vAlign w:val="center"/>
          </w:tcPr>
          <w:p w14:paraId="37F8FE7B">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质量标准</w:t>
            </w:r>
          </w:p>
        </w:tc>
        <w:tc>
          <w:tcPr>
            <w:tcW w:w="6838" w:type="dxa"/>
            <w:vAlign w:val="center"/>
          </w:tcPr>
          <w:p w14:paraId="5AD49DD3">
            <w:pPr>
              <w:jc w:val="center"/>
              <w:rPr>
                <w:rFonts w:hint="eastAsia" w:ascii="宋体" w:hAnsi="宋体" w:eastAsia="宋体" w:cs="宋体"/>
                <w:color w:val="auto"/>
                <w:sz w:val="21"/>
                <w:szCs w:val="21"/>
                <w:highlight w:val="none"/>
              </w:rPr>
            </w:pPr>
          </w:p>
        </w:tc>
      </w:tr>
      <w:tr w14:paraId="3EDA7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2448" w:type="dxa"/>
            <w:vAlign w:val="center"/>
          </w:tcPr>
          <w:p w14:paraId="240EE9AC">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质量保证期</w:t>
            </w:r>
          </w:p>
        </w:tc>
        <w:tc>
          <w:tcPr>
            <w:tcW w:w="6838" w:type="dxa"/>
            <w:vAlign w:val="center"/>
          </w:tcPr>
          <w:p w14:paraId="61BFA102">
            <w:pPr>
              <w:rPr>
                <w:rFonts w:ascii="宋体" w:hAnsi="宋体" w:eastAsia="宋体" w:cs="宋体"/>
                <w:color w:val="auto"/>
                <w:sz w:val="21"/>
                <w:szCs w:val="21"/>
                <w:highlight w:val="none"/>
              </w:rPr>
            </w:pPr>
          </w:p>
        </w:tc>
      </w:tr>
      <w:tr w14:paraId="6C3FE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2448" w:type="dxa"/>
            <w:vAlign w:val="center"/>
          </w:tcPr>
          <w:p w14:paraId="4F98BB6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交货及安装地点</w:t>
            </w:r>
          </w:p>
        </w:tc>
        <w:tc>
          <w:tcPr>
            <w:tcW w:w="6838" w:type="dxa"/>
            <w:vAlign w:val="center"/>
          </w:tcPr>
          <w:p w14:paraId="4448A6C6">
            <w:pPr>
              <w:rPr>
                <w:rFonts w:ascii="宋体" w:hAnsi="宋体" w:eastAsia="宋体" w:cs="宋体"/>
                <w:color w:val="auto"/>
                <w:sz w:val="21"/>
                <w:szCs w:val="21"/>
                <w:highlight w:val="none"/>
              </w:rPr>
            </w:pPr>
          </w:p>
        </w:tc>
      </w:tr>
      <w:tr w14:paraId="7E039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2448" w:type="dxa"/>
            <w:vAlign w:val="center"/>
          </w:tcPr>
          <w:p w14:paraId="5092461C">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6838" w:type="dxa"/>
            <w:vAlign w:val="center"/>
          </w:tcPr>
          <w:p w14:paraId="077BA7FA">
            <w:pP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同磋商文件要求</w:t>
            </w:r>
          </w:p>
        </w:tc>
      </w:tr>
      <w:tr w14:paraId="53799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2448" w:type="dxa"/>
            <w:vAlign w:val="center"/>
          </w:tcPr>
          <w:p w14:paraId="48ABFF4D">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p>
        </w:tc>
        <w:tc>
          <w:tcPr>
            <w:tcW w:w="6838" w:type="dxa"/>
            <w:vAlign w:val="center"/>
          </w:tcPr>
          <w:p w14:paraId="213FB72E">
            <w:pPr>
              <w:rPr>
                <w:rFonts w:ascii="宋体" w:hAnsi="宋体" w:eastAsia="宋体" w:cs="宋体"/>
                <w:color w:val="auto"/>
                <w:sz w:val="21"/>
                <w:szCs w:val="21"/>
                <w:highlight w:val="none"/>
              </w:rPr>
            </w:pPr>
          </w:p>
        </w:tc>
      </w:tr>
    </w:tbl>
    <w:p w14:paraId="480FA116">
      <w:pPr>
        <w:rPr>
          <w:rFonts w:ascii="宋体" w:hAnsi="宋体" w:eastAsia="宋体" w:cs="宋体"/>
          <w:color w:val="auto"/>
          <w:sz w:val="21"/>
          <w:szCs w:val="21"/>
          <w:highlight w:val="none"/>
        </w:rPr>
      </w:pPr>
    </w:p>
    <w:p w14:paraId="3E5A3EFC">
      <w:pPr>
        <w:rPr>
          <w:rFonts w:ascii="宋体" w:hAnsi="宋体" w:eastAsia="宋体" w:cs="宋体"/>
          <w:color w:val="auto"/>
          <w:sz w:val="21"/>
          <w:szCs w:val="21"/>
          <w:highlight w:val="none"/>
        </w:rPr>
      </w:pPr>
    </w:p>
    <w:p w14:paraId="738A7868">
      <w:pPr>
        <w:snapToGrid w:val="0"/>
        <w:spacing w:line="48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供应商名称（盖章）：_________________</w:t>
      </w:r>
    </w:p>
    <w:p w14:paraId="070BF83D">
      <w:pPr>
        <w:snapToGrid w:val="0"/>
        <w:spacing w:line="480" w:lineRule="auto"/>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法定代表人（单位负责人）或委托代理人（签字或盖章）：_____________</w:t>
      </w:r>
    </w:p>
    <w:p w14:paraId="633CFA25">
      <w:pPr>
        <w:snapToGrid w:val="0"/>
        <w:spacing w:line="48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p>
    <w:p w14:paraId="35123550">
      <w:pPr>
        <w:rPr>
          <w:rFonts w:ascii="宋体" w:hAnsi="宋体" w:eastAsia="宋体" w:cs="宋体"/>
          <w:b/>
          <w:bCs/>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bCs/>
          <w:color w:val="auto"/>
          <w:sz w:val="21"/>
          <w:szCs w:val="21"/>
          <w:highlight w:val="none"/>
        </w:rPr>
        <w:t>附件1.2</w:t>
      </w:r>
    </w:p>
    <w:p w14:paraId="6BF38FEC">
      <w:pPr>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主要货物分项报价表</w:t>
      </w:r>
    </w:p>
    <w:p w14:paraId="08BDCB4A">
      <w:pPr>
        <w:rPr>
          <w:rFonts w:ascii="宋体" w:hAnsi="宋体" w:eastAsia="宋体" w:cs="宋体"/>
          <w:b/>
          <w:bCs/>
          <w:color w:val="auto"/>
          <w:sz w:val="21"/>
          <w:szCs w:val="21"/>
          <w:highlight w:val="none"/>
        </w:rPr>
      </w:pPr>
    </w:p>
    <w:p w14:paraId="47FAC506">
      <w:pP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p>
    <w:p w14:paraId="1E22A132">
      <w:pPr>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单位：元</w:t>
      </w:r>
    </w:p>
    <w:tbl>
      <w:tblPr>
        <w:tblStyle w:val="27"/>
        <w:tblW w:w="91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2073"/>
        <w:gridCol w:w="2004"/>
        <w:gridCol w:w="1057"/>
        <w:gridCol w:w="687"/>
        <w:gridCol w:w="645"/>
        <w:gridCol w:w="924"/>
        <w:gridCol w:w="1088"/>
      </w:tblGrid>
      <w:tr w14:paraId="6E821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644" w:type="dxa"/>
            <w:vAlign w:val="center"/>
          </w:tcPr>
          <w:p w14:paraId="49617388">
            <w:pP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073" w:type="dxa"/>
            <w:vAlign w:val="center"/>
          </w:tcPr>
          <w:p w14:paraId="3199BF04">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货物名称</w:t>
            </w:r>
          </w:p>
        </w:tc>
        <w:tc>
          <w:tcPr>
            <w:tcW w:w="2004" w:type="dxa"/>
            <w:vAlign w:val="center"/>
          </w:tcPr>
          <w:p w14:paraId="774C1274">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品牌型号</w:t>
            </w:r>
          </w:p>
        </w:tc>
        <w:tc>
          <w:tcPr>
            <w:tcW w:w="1057" w:type="dxa"/>
            <w:vAlign w:val="center"/>
          </w:tcPr>
          <w:p w14:paraId="206B9A74">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款式</w:t>
            </w:r>
          </w:p>
        </w:tc>
        <w:tc>
          <w:tcPr>
            <w:tcW w:w="687" w:type="dxa"/>
            <w:vAlign w:val="center"/>
          </w:tcPr>
          <w:p w14:paraId="6F69A3C0">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645" w:type="dxa"/>
            <w:vAlign w:val="center"/>
          </w:tcPr>
          <w:p w14:paraId="332DE1ED">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924" w:type="dxa"/>
            <w:vAlign w:val="center"/>
          </w:tcPr>
          <w:p w14:paraId="092D8795">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单价</w:t>
            </w:r>
          </w:p>
        </w:tc>
        <w:tc>
          <w:tcPr>
            <w:tcW w:w="1088" w:type="dxa"/>
            <w:vAlign w:val="center"/>
          </w:tcPr>
          <w:p w14:paraId="77F036BB">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r>
      <w:tr w14:paraId="44C87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644" w:type="dxa"/>
          </w:tcPr>
          <w:p w14:paraId="686B473A">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073" w:type="dxa"/>
          </w:tcPr>
          <w:p w14:paraId="54D94569">
            <w:pPr>
              <w:rPr>
                <w:rFonts w:ascii="宋体" w:hAnsi="宋体" w:eastAsia="宋体" w:cs="宋体"/>
                <w:color w:val="auto"/>
                <w:sz w:val="21"/>
                <w:szCs w:val="21"/>
                <w:highlight w:val="none"/>
              </w:rPr>
            </w:pPr>
          </w:p>
        </w:tc>
        <w:tc>
          <w:tcPr>
            <w:tcW w:w="2004" w:type="dxa"/>
          </w:tcPr>
          <w:p w14:paraId="6AD45236">
            <w:pPr>
              <w:rPr>
                <w:rFonts w:ascii="宋体" w:hAnsi="宋体" w:eastAsia="宋体" w:cs="宋体"/>
                <w:color w:val="auto"/>
                <w:sz w:val="21"/>
                <w:szCs w:val="21"/>
                <w:highlight w:val="none"/>
              </w:rPr>
            </w:pPr>
          </w:p>
        </w:tc>
        <w:tc>
          <w:tcPr>
            <w:tcW w:w="1057" w:type="dxa"/>
          </w:tcPr>
          <w:p w14:paraId="2B62B60B">
            <w:pPr>
              <w:rPr>
                <w:rFonts w:ascii="宋体" w:hAnsi="宋体" w:eastAsia="宋体" w:cs="宋体"/>
                <w:color w:val="auto"/>
                <w:sz w:val="21"/>
                <w:szCs w:val="21"/>
                <w:highlight w:val="none"/>
              </w:rPr>
            </w:pPr>
          </w:p>
        </w:tc>
        <w:tc>
          <w:tcPr>
            <w:tcW w:w="687" w:type="dxa"/>
          </w:tcPr>
          <w:p w14:paraId="0AC32AD7">
            <w:pPr>
              <w:rPr>
                <w:rFonts w:ascii="宋体" w:hAnsi="宋体" w:eastAsia="宋体" w:cs="宋体"/>
                <w:color w:val="auto"/>
                <w:sz w:val="21"/>
                <w:szCs w:val="21"/>
                <w:highlight w:val="none"/>
              </w:rPr>
            </w:pPr>
          </w:p>
        </w:tc>
        <w:tc>
          <w:tcPr>
            <w:tcW w:w="645" w:type="dxa"/>
          </w:tcPr>
          <w:p w14:paraId="78DB3CCE">
            <w:pPr>
              <w:rPr>
                <w:rFonts w:ascii="宋体" w:hAnsi="宋体" w:eastAsia="宋体" w:cs="宋体"/>
                <w:color w:val="auto"/>
                <w:sz w:val="21"/>
                <w:szCs w:val="21"/>
                <w:highlight w:val="none"/>
              </w:rPr>
            </w:pPr>
          </w:p>
        </w:tc>
        <w:tc>
          <w:tcPr>
            <w:tcW w:w="924" w:type="dxa"/>
          </w:tcPr>
          <w:p w14:paraId="2E73D7D3">
            <w:pPr>
              <w:rPr>
                <w:rFonts w:ascii="宋体" w:hAnsi="宋体" w:eastAsia="宋体" w:cs="宋体"/>
                <w:color w:val="auto"/>
                <w:sz w:val="21"/>
                <w:szCs w:val="21"/>
                <w:highlight w:val="none"/>
              </w:rPr>
            </w:pPr>
          </w:p>
        </w:tc>
        <w:tc>
          <w:tcPr>
            <w:tcW w:w="1088" w:type="dxa"/>
          </w:tcPr>
          <w:p w14:paraId="76BBE600">
            <w:pPr>
              <w:rPr>
                <w:rFonts w:ascii="宋体" w:hAnsi="宋体" w:eastAsia="宋体" w:cs="宋体"/>
                <w:color w:val="auto"/>
                <w:sz w:val="21"/>
                <w:szCs w:val="21"/>
                <w:highlight w:val="none"/>
              </w:rPr>
            </w:pPr>
          </w:p>
        </w:tc>
      </w:tr>
      <w:tr w14:paraId="22462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644" w:type="dxa"/>
          </w:tcPr>
          <w:p w14:paraId="7A59DD85">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073" w:type="dxa"/>
          </w:tcPr>
          <w:p w14:paraId="60005CCC">
            <w:pPr>
              <w:rPr>
                <w:rFonts w:ascii="宋体" w:hAnsi="宋体" w:eastAsia="宋体" w:cs="宋体"/>
                <w:color w:val="auto"/>
                <w:sz w:val="21"/>
                <w:szCs w:val="21"/>
                <w:highlight w:val="none"/>
              </w:rPr>
            </w:pPr>
          </w:p>
        </w:tc>
        <w:tc>
          <w:tcPr>
            <w:tcW w:w="2004" w:type="dxa"/>
          </w:tcPr>
          <w:p w14:paraId="04F63398">
            <w:pPr>
              <w:rPr>
                <w:rFonts w:ascii="宋体" w:hAnsi="宋体" w:eastAsia="宋体" w:cs="宋体"/>
                <w:color w:val="auto"/>
                <w:sz w:val="21"/>
                <w:szCs w:val="21"/>
                <w:highlight w:val="none"/>
              </w:rPr>
            </w:pPr>
          </w:p>
        </w:tc>
        <w:tc>
          <w:tcPr>
            <w:tcW w:w="1057" w:type="dxa"/>
          </w:tcPr>
          <w:p w14:paraId="4BAF842C">
            <w:pPr>
              <w:rPr>
                <w:rFonts w:ascii="宋体" w:hAnsi="宋体" w:eastAsia="宋体" w:cs="宋体"/>
                <w:color w:val="auto"/>
                <w:sz w:val="21"/>
                <w:szCs w:val="21"/>
                <w:highlight w:val="none"/>
              </w:rPr>
            </w:pPr>
          </w:p>
        </w:tc>
        <w:tc>
          <w:tcPr>
            <w:tcW w:w="687" w:type="dxa"/>
          </w:tcPr>
          <w:p w14:paraId="72322A4A">
            <w:pPr>
              <w:rPr>
                <w:rFonts w:ascii="宋体" w:hAnsi="宋体" w:eastAsia="宋体" w:cs="宋体"/>
                <w:color w:val="auto"/>
                <w:sz w:val="21"/>
                <w:szCs w:val="21"/>
                <w:highlight w:val="none"/>
              </w:rPr>
            </w:pPr>
          </w:p>
        </w:tc>
        <w:tc>
          <w:tcPr>
            <w:tcW w:w="645" w:type="dxa"/>
          </w:tcPr>
          <w:p w14:paraId="6600D955">
            <w:pPr>
              <w:rPr>
                <w:rFonts w:ascii="宋体" w:hAnsi="宋体" w:eastAsia="宋体" w:cs="宋体"/>
                <w:color w:val="auto"/>
                <w:sz w:val="21"/>
                <w:szCs w:val="21"/>
                <w:highlight w:val="none"/>
              </w:rPr>
            </w:pPr>
          </w:p>
        </w:tc>
        <w:tc>
          <w:tcPr>
            <w:tcW w:w="924" w:type="dxa"/>
          </w:tcPr>
          <w:p w14:paraId="23B659FD">
            <w:pPr>
              <w:rPr>
                <w:rFonts w:ascii="宋体" w:hAnsi="宋体" w:eastAsia="宋体" w:cs="宋体"/>
                <w:color w:val="auto"/>
                <w:sz w:val="21"/>
                <w:szCs w:val="21"/>
                <w:highlight w:val="none"/>
              </w:rPr>
            </w:pPr>
          </w:p>
        </w:tc>
        <w:tc>
          <w:tcPr>
            <w:tcW w:w="1088" w:type="dxa"/>
          </w:tcPr>
          <w:p w14:paraId="4E7F0E27">
            <w:pPr>
              <w:rPr>
                <w:rFonts w:ascii="宋体" w:hAnsi="宋体" w:eastAsia="宋体" w:cs="宋体"/>
                <w:color w:val="auto"/>
                <w:sz w:val="21"/>
                <w:szCs w:val="21"/>
                <w:highlight w:val="none"/>
              </w:rPr>
            </w:pPr>
          </w:p>
        </w:tc>
      </w:tr>
      <w:tr w14:paraId="6E7D4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644" w:type="dxa"/>
          </w:tcPr>
          <w:p w14:paraId="4E58E7BF">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073" w:type="dxa"/>
          </w:tcPr>
          <w:p w14:paraId="61BE89E9">
            <w:pPr>
              <w:rPr>
                <w:rFonts w:ascii="宋体" w:hAnsi="宋体" w:eastAsia="宋体" w:cs="宋体"/>
                <w:color w:val="auto"/>
                <w:sz w:val="21"/>
                <w:szCs w:val="21"/>
                <w:highlight w:val="none"/>
              </w:rPr>
            </w:pPr>
          </w:p>
        </w:tc>
        <w:tc>
          <w:tcPr>
            <w:tcW w:w="2004" w:type="dxa"/>
          </w:tcPr>
          <w:p w14:paraId="5F8DBD24">
            <w:pPr>
              <w:rPr>
                <w:rFonts w:ascii="宋体" w:hAnsi="宋体" w:eastAsia="宋体" w:cs="宋体"/>
                <w:color w:val="auto"/>
                <w:sz w:val="21"/>
                <w:szCs w:val="21"/>
                <w:highlight w:val="none"/>
              </w:rPr>
            </w:pPr>
          </w:p>
        </w:tc>
        <w:tc>
          <w:tcPr>
            <w:tcW w:w="1057" w:type="dxa"/>
          </w:tcPr>
          <w:p w14:paraId="6382DAA6">
            <w:pPr>
              <w:rPr>
                <w:rFonts w:ascii="宋体" w:hAnsi="宋体" w:eastAsia="宋体" w:cs="宋体"/>
                <w:color w:val="auto"/>
                <w:sz w:val="21"/>
                <w:szCs w:val="21"/>
                <w:highlight w:val="none"/>
              </w:rPr>
            </w:pPr>
          </w:p>
        </w:tc>
        <w:tc>
          <w:tcPr>
            <w:tcW w:w="687" w:type="dxa"/>
          </w:tcPr>
          <w:p w14:paraId="3806E1EB">
            <w:pPr>
              <w:rPr>
                <w:rFonts w:ascii="宋体" w:hAnsi="宋体" w:eastAsia="宋体" w:cs="宋体"/>
                <w:color w:val="auto"/>
                <w:sz w:val="21"/>
                <w:szCs w:val="21"/>
                <w:highlight w:val="none"/>
              </w:rPr>
            </w:pPr>
          </w:p>
        </w:tc>
        <w:tc>
          <w:tcPr>
            <w:tcW w:w="645" w:type="dxa"/>
          </w:tcPr>
          <w:p w14:paraId="615EA226">
            <w:pPr>
              <w:rPr>
                <w:rFonts w:ascii="宋体" w:hAnsi="宋体" w:eastAsia="宋体" w:cs="宋体"/>
                <w:color w:val="auto"/>
                <w:sz w:val="21"/>
                <w:szCs w:val="21"/>
                <w:highlight w:val="none"/>
              </w:rPr>
            </w:pPr>
          </w:p>
        </w:tc>
        <w:tc>
          <w:tcPr>
            <w:tcW w:w="924" w:type="dxa"/>
          </w:tcPr>
          <w:p w14:paraId="099060D9">
            <w:pPr>
              <w:rPr>
                <w:rFonts w:ascii="宋体" w:hAnsi="宋体" w:eastAsia="宋体" w:cs="宋体"/>
                <w:color w:val="auto"/>
                <w:sz w:val="21"/>
                <w:szCs w:val="21"/>
                <w:highlight w:val="none"/>
              </w:rPr>
            </w:pPr>
          </w:p>
        </w:tc>
        <w:tc>
          <w:tcPr>
            <w:tcW w:w="1088" w:type="dxa"/>
          </w:tcPr>
          <w:p w14:paraId="73BFC1DB">
            <w:pPr>
              <w:rPr>
                <w:rFonts w:ascii="宋体" w:hAnsi="宋体" w:eastAsia="宋体" w:cs="宋体"/>
                <w:color w:val="auto"/>
                <w:sz w:val="21"/>
                <w:szCs w:val="21"/>
                <w:highlight w:val="none"/>
              </w:rPr>
            </w:pPr>
          </w:p>
        </w:tc>
      </w:tr>
      <w:tr w14:paraId="44E2E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644" w:type="dxa"/>
          </w:tcPr>
          <w:p w14:paraId="7371AAA5">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073" w:type="dxa"/>
          </w:tcPr>
          <w:p w14:paraId="1FDC6F39">
            <w:pPr>
              <w:rPr>
                <w:rFonts w:ascii="宋体" w:hAnsi="宋体" w:eastAsia="宋体" w:cs="宋体"/>
                <w:color w:val="auto"/>
                <w:sz w:val="21"/>
                <w:szCs w:val="21"/>
                <w:highlight w:val="none"/>
              </w:rPr>
            </w:pPr>
          </w:p>
        </w:tc>
        <w:tc>
          <w:tcPr>
            <w:tcW w:w="2004" w:type="dxa"/>
          </w:tcPr>
          <w:p w14:paraId="4A17FDE1">
            <w:pPr>
              <w:rPr>
                <w:rFonts w:ascii="宋体" w:hAnsi="宋体" w:eastAsia="宋体" w:cs="宋体"/>
                <w:color w:val="auto"/>
                <w:sz w:val="21"/>
                <w:szCs w:val="21"/>
                <w:highlight w:val="none"/>
              </w:rPr>
            </w:pPr>
          </w:p>
        </w:tc>
        <w:tc>
          <w:tcPr>
            <w:tcW w:w="1057" w:type="dxa"/>
          </w:tcPr>
          <w:p w14:paraId="13FEC55A">
            <w:pPr>
              <w:rPr>
                <w:rFonts w:ascii="宋体" w:hAnsi="宋体" w:eastAsia="宋体" w:cs="宋体"/>
                <w:color w:val="auto"/>
                <w:sz w:val="21"/>
                <w:szCs w:val="21"/>
                <w:highlight w:val="none"/>
              </w:rPr>
            </w:pPr>
          </w:p>
        </w:tc>
        <w:tc>
          <w:tcPr>
            <w:tcW w:w="687" w:type="dxa"/>
          </w:tcPr>
          <w:p w14:paraId="5FC89C9B">
            <w:pPr>
              <w:rPr>
                <w:rFonts w:ascii="宋体" w:hAnsi="宋体" w:eastAsia="宋体" w:cs="宋体"/>
                <w:color w:val="auto"/>
                <w:sz w:val="21"/>
                <w:szCs w:val="21"/>
                <w:highlight w:val="none"/>
              </w:rPr>
            </w:pPr>
          </w:p>
        </w:tc>
        <w:tc>
          <w:tcPr>
            <w:tcW w:w="645" w:type="dxa"/>
          </w:tcPr>
          <w:p w14:paraId="13E0BC70">
            <w:pPr>
              <w:rPr>
                <w:rFonts w:ascii="宋体" w:hAnsi="宋体" w:eastAsia="宋体" w:cs="宋体"/>
                <w:color w:val="auto"/>
                <w:sz w:val="21"/>
                <w:szCs w:val="21"/>
                <w:highlight w:val="none"/>
              </w:rPr>
            </w:pPr>
          </w:p>
        </w:tc>
        <w:tc>
          <w:tcPr>
            <w:tcW w:w="924" w:type="dxa"/>
          </w:tcPr>
          <w:p w14:paraId="701B6575">
            <w:pPr>
              <w:rPr>
                <w:rFonts w:ascii="宋体" w:hAnsi="宋体" w:eastAsia="宋体" w:cs="宋体"/>
                <w:color w:val="auto"/>
                <w:sz w:val="21"/>
                <w:szCs w:val="21"/>
                <w:highlight w:val="none"/>
              </w:rPr>
            </w:pPr>
          </w:p>
        </w:tc>
        <w:tc>
          <w:tcPr>
            <w:tcW w:w="1088" w:type="dxa"/>
          </w:tcPr>
          <w:p w14:paraId="150993D4">
            <w:pPr>
              <w:rPr>
                <w:rFonts w:ascii="宋体" w:hAnsi="宋体" w:eastAsia="宋体" w:cs="宋体"/>
                <w:color w:val="auto"/>
                <w:sz w:val="21"/>
                <w:szCs w:val="21"/>
                <w:highlight w:val="none"/>
              </w:rPr>
            </w:pPr>
          </w:p>
        </w:tc>
      </w:tr>
      <w:tr w14:paraId="14486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644" w:type="dxa"/>
          </w:tcPr>
          <w:p w14:paraId="03AE1990">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073" w:type="dxa"/>
          </w:tcPr>
          <w:p w14:paraId="7B111741">
            <w:pPr>
              <w:rPr>
                <w:rFonts w:ascii="宋体" w:hAnsi="宋体" w:eastAsia="宋体" w:cs="宋体"/>
                <w:color w:val="auto"/>
                <w:sz w:val="21"/>
                <w:szCs w:val="21"/>
                <w:highlight w:val="none"/>
              </w:rPr>
            </w:pPr>
          </w:p>
        </w:tc>
        <w:tc>
          <w:tcPr>
            <w:tcW w:w="2004" w:type="dxa"/>
          </w:tcPr>
          <w:p w14:paraId="7C7157C5">
            <w:pPr>
              <w:rPr>
                <w:rFonts w:ascii="宋体" w:hAnsi="宋体" w:eastAsia="宋体" w:cs="宋体"/>
                <w:color w:val="auto"/>
                <w:sz w:val="21"/>
                <w:szCs w:val="21"/>
                <w:highlight w:val="none"/>
              </w:rPr>
            </w:pPr>
          </w:p>
        </w:tc>
        <w:tc>
          <w:tcPr>
            <w:tcW w:w="1057" w:type="dxa"/>
          </w:tcPr>
          <w:p w14:paraId="11C4A776">
            <w:pPr>
              <w:rPr>
                <w:rFonts w:ascii="宋体" w:hAnsi="宋体" w:eastAsia="宋体" w:cs="宋体"/>
                <w:color w:val="auto"/>
                <w:sz w:val="21"/>
                <w:szCs w:val="21"/>
                <w:highlight w:val="none"/>
              </w:rPr>
            </w:pPr>
          </w:p>
        </w:tc>
        <w:tc>
          <w:tcPr>
            <w:tcW w:w="687" w:type="dxa"/>
          </w:tcPr>
          <w:p w14:paraId="42FA7638">
            <w:pPr>
              <w:rPr>
                <w:rFonts w:ascii="宋体" w:hAnsi="宋体" w:eastAsia="宋体" w:cs="宋体"/>
                <w:color w:val="auto"/>
                <w:sz w:val="21"/>
                <w:szCs w:val="21"/>
                <w:highlight w:val="none"/>
              </w:rPr>
            </w:pPr>
          </w:p>
        </w:tc>
        <w:tc>
          <w:tcPr>
            <w:tcW w:w="645" w:type="dxa"/>
          </w:tcPr>
          <w:p w14:paraId="11BE5D68">
            <w:pPr>
              <w:rPr>
                <w:rFonts w:ascii="宋体" w:hAnsi="宋体" w:eastAsia="宋体" w:cs="宋体"/>
                <w:color w:val="auto"/>
                <w:sz w:val="21"/>
                <w:szCs w:val="21"/>
                <w:highlight w:val="none"/>
              </w:rPr>
            </w:pPr>
          </w:p>
        </w:tc>
        <w:tc>
          <w:tcPr>
            <w:tcW w:w="924" w:type="dxa"/>
          </w:tcPr>
          <w:p w14:paraId="04600FF6">
            <w:pPr>
              <w:rPr>
                <w:rFonts w:ascii="宋体" w:hAnsi="宋体" w:eastAsia="宋体" w:cs="宋体"/>
                <w:color w:val="auto"/>
                <w:sz w:val="21"/>
                <w:szCs w:val="21"/>
                <w:highlight w:val="none"/>
              </w:rPr>
            </w:pPr>
          </w:p>
        </w:tc>
        <w:tc>
          <w:tcPr>
            <w:tcW w:w="1088" w:type="dxa"/>
          </w:tcPr>
          <w:p w14:paraId="03391B84">
            <w:pPr>
              <w:rPr>
                <w:rFonts w:ascii="宋体" w:hAnsi="宋体" w:eastAsia="宋体" w:cs="宋体"/>
                <w:color w:val="auto"/>
                <w:sz w:val="21"/>
                <w:szCs w:val="21"/>
                <w:highlight w:val="none"/>
              </w:rPr>
            </w:pPr>
          </w:p>
        </w:tc>
      </w:tr>
      <w:tr w14:paraId="2A5F3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644" w:type="dxa"/>
          </w:tcPr>
          <w:p w14:paraId="14D01396">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2073" w:type="dxa"/>
          </w:tcPr>
          <w:p w14:paraId="09FA48C6">
            <w:pPr>
              <w:rPr>
                <w:rFonts w:ascii="宋体" w:hAnsi="宋体" w:eastAsia="宋体" w:cs="宋体"/>
                <w:color w:val="auto"/>
                <w:sz w:val="21"/>
                <w:szCs w:val="21"/>
                <w:highlight w:val="none"/>
              </w:rPr>
            </w:pPr>
          </w:p>
        </w:tc>
        <w:tc>
          <w:tcPr>
            <w:tcW w:w="2004" w:type="dxa"/>
          </w:tcPr>
          <w:p w14:paraId="73443C12">
            <w:pPr>
              <w:rPr>
                <w:rFonts w:ascii="宋体" w:hAnsi="宋体" w:eastAsia="宋体" w:cs="宋体"/>
                <w:color w:val="auto"/>
                <w:sz w:val="21"/>
                <w:szCs w:val="21"/>
                <w:highlight w:val="none"/>
              </w:rPr>
            </w:pPr>
          </w:p>
        </w:tc>
        <w:tc>
          <w:tcPr>
            <w:tcW w:w="1057" w:type="dxa"/>
          </w:tcPr>
          <w:p w14:paraId="5F2C053F">
            <w:pPr>
              <w:rPr>
                <w:rFonts w:ascii="宋体" w:hAnsi="宋体" w:eastAsia="宋体" w:cs="宋体"/>
                <w:color w:val="auto"/>
                <w:sz w:val="21"/>
                <w:szCs w:val="21"/>
                <w:highlight w:val="none"/>
              </w:rPr>
            </w:pPr>
          </w:p>
        </w:tc>
        <w:tc>
          <w:tcPr>
            <w:tcW w:w="687" w:type="dxa"/>
          </w:tcPr>
          <w:p w14:paraId="5F639943">
            <w:pPr>
              <w:rPr>
                <w:rFonts w:ascii="宋体" w:hAnsi="宋体" w:eastAsia="宋体" w:cs="宋体"/>
                <w:color w:val="auto"/>
                <w:sz w:val="21"/>
                <w:szCs w:val="21"/>
                <w:highlight w:val="none"/>
              </w:rPr>
            </w:pPr>
          </w:p>
        </w:tc>
        <w:tc>
          <w:tcPr>
            <w:tcW w:w="645" w:type="dxa"/>
          </w:tcPr>
          <w:p w14:paraId="120D46BC">
            <w:pPr>
              <w:rPr>
                <w:rFonts w:ascii="宋体" w:hAnsi="宋体" w:eastAsia="宋体" w:cs="宋体"/>
                <w:color w:val="auto"/>
                <w:sz w:val="21"/>
                <w:szCs w:val="21"/>
                <w:highlight w:val="none"/>
              </w:rPr>
            </w:pPr>
          </w:p>
        </w:tc>
        <w:tc>
          <w:tcPr>
            <w:tcW w:w="924" w:type="dxa"/>
          </w:tcPr>
          <w:p w14:paraId="236D426F">
            <w:pPr>
              <w:rPr>
                <w:rFonts w:ascii="宋体" w:hAnsi="宋体" w:eastAsia="宋体" w:cs="宋体"/>
                <w:color w:val="auto"/>
                <w:sz w:val="21"/>
                <w:szCs w:val="21"/>
                <w:highlight w:val="none"/>
              </w:rPr>
            </w:pPr>
          </w:p>
        </w:tc>
        <w:tc>
          <w:tcPr>
            <w:tcW w:w="1088" w:type="dxa"/>
          </w:tcPr>
          <w:p w14:paraId="6DFA3A0B">
            <w:pPr>
              <w:rPr>
                <w:rFonts w:ascii="宋体" w:hAnsi="宋体" w:eastAsia="宋体" w:cs="宋体"/>
                <w:color w:val="auto"/>
                <w:sz w:val="21"/>
                <w:szCs w:val="21"/>
                <w:highlight w:val="none"/>
              </w:rPr>
            </w:pPr>
          </w:p>
        </w:tc>
      </w:tr>
      <w:tr w14:paraId="725B7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644" w:type="dxa"/>
          </w:tcPr>
          <w:p w14:paraId="2DE5A466">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2073" w:type="dxa"/>
          </w:tcPr>
          <w:p w14:paraId="55156174">
            <w:pPr>
              <w:rPr>
                <w:rFonts w:ascii="宋体" w:hAnsi="宋体" w:eastAsia="宋体" w:cs="宋体"/>
                <w:color w:val="auto"/>
                <w:sz w:val="21"/>
                <w:szCs w:val="21"/>
                <w:highlight w:val="none"/>
              </w:rPr>
            </w:pPr>
          </w:p>
        </w:tc>
        <w:tc>
          <w:tcPr>
            <w:tcW w:w="2004" w:type="dxa"/>
          </w:tcPr>
          <w:p w14:paraId="5B71E4E4">
            <w:pPr>
              <w:rPr>
                <w:rFonts w:ascii="宋体" w:hAnsi="宋体" w:eastAsia="宋体" w:cs="宋体"/>
                <w:color w:val="auto"/>
                <w:sz w:val="21"/>
                <w:szCs w:val="21"/>
                <w:highlight w:val="none"/>
              </w:rPr>
            </w:pPr>
          </w:p>
        </w:tc>
        <w:tc>
          <w:tcPr>
            <w:tcW w:w="1057" w:type="dxa"/>
          </w:tcPr>
          <w:p w14:paraId="19E13E8A">
            <w:pPr>
              <w:rPr>
                <w:rFonts w:ascii="宋体" w:hAnsi="宋体" w:eastAsia="宋体" w:cs="宋体"/>
                <w:color w:val="auto"/>
                <w:sz w:val="21"/>
                <w:szCs w:val="21"/>
                <w:highlight w:val="none"/>
              </w:rPr>
            </w:pPr>
          </w:p>
        </w:tc>
        <w:tc>
          <w:tcPr>
            <w:tcW w:w="687" w:type="dxa"/>
          </w:tcPr>
          <w:p w14:paraId="186AFB5F">
            <w:pPr>
              <w:rPr>
                <w:rFonts w:ascii="宋体" w:hAnsi="宋体" w:eastAsia="宋体" w:cs="宋体"/>
                <w:color w:val="auto"/>
                <w:sz w:val="21"/>
                <w:szCs w:val="21"/>
                <w:highlight w:val="none"/>
              </w:rPr>
            </w:pPr>
          </w:p>
        </w:tc>
        <w:tc>
          <w:tcPr>
            <w:tcW w:w="645" w:type="dxa"/>
          </w:tcPr>
          <w:p w14:paraId="4212085A">
            <w:pPr>
              <w:rPr>
                <w:rFonts w:ascii="宋体" w:hAnsi="宋体" w:eastAsia="宋体" w:cs="宋体"/>
                <w:color w:val="auto"/>
                <w:sz w:val="21"/>
                <w:szCs w:val="21"/>
                <w:highlight w:val="none"/>
              </w:rPr>
            </w:pPr>
          </w:p>
        </w:tc>
        <w:tc>
          <w:tcPr>
            <w:tcW w:w="924" w:type="dxa"/>
          </w:tcPr>
          <w:p w14:paraId="0002AD3C">
            <w:pPr>
              <w:rPr>
                <w:rFonts w:ascii="宋体" w:hAnsi="宋体" w:eastAsia="宋体" w:cs="宋体"/>
                <w:color w:val="auto"/>
                <w:sz w:val="21"/>
                <w:szCs w:val="21"/>
                <w:highlight w:val="none"/>
              </w:rPr>
            </w:pPr>
          </w:p>
        </w:tc>
        <w:tc>
          <w:tcPr>
            <w:tcW w:w="1088" w:type="dxa"/>
          </w:tcPr>
          <w:p w14:paraId="709C6D2F">
            <w:pPr>
              <w:rPr>
                <w:rFonts w:ascii="宋体" w:hAnsi="宋体" w:eastAsia="宋体" w:cs="宋体"/>
                <w:color w:val="auto"/>
                <w:sz w:val="21"/>
                <w:szCs w:val="21"/>
                <w:highlight w:val="none"/>
              </w:rPr>
            </w:pPr>
          </w:p>
        </w:tc>
      </w:tr>
      <w:tr w14:paraId="59AA5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644" w:type="dxa"/>
          </w:tcPr>
          <w:p w14:paraId="127EF61F">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2073" w:type="dxa"/>
          </w:tcPr>
          <w:p w14:paraId="7D6C2EB1">
            <w:pPr>
              <w:rPr>
                <w:rFonts w:ascii="宋体" w:hAnsi="宋体" w:eastAsia="宋体" w:cs="宋体"/>
                <w:color w:val="auto"/>
                <w:sz w:val="21"/>
                <w:szCs w:val="21"/>
                <w:highlight w:val="none"/>
              </w:rPr>
            </w:pPr>
          </w:p>
        </w:tc>
        <w:tc>
          <w:tcPr>
            <w:tcW w:w="2004" w:type="dxa"/>
          </w:tcPr>
          <w:p w14:paraId="2ADCBC80">
            <w:pPr>
              <w:rPr>
                <w:rFonts w:ascii="宋体" w:hAnsi="宋体" w:eastAsia="宋体" w:cs="宋体"/>
                <w:color w:val="auto"/>
                <w:sz w:val="21"/>
                <w:szCs w:val="21"/>
                <w:highlight w:val="none"/>
              </w:rPr>
            </w:pPr>
          </w:p>
        </w:tc>
        <w:tc>
          <w:tcPr>
            <w:tcW w:w="1057" w:type="dxa"/>
          </w:tcPr>
          <w:p w14:paraId="1C445BD3">
            <w:pPr>
              <w:rPr>
                <w:rFonts w:ascii="宋体" w:hAnsi="宋体" w:eastAsia="宋体" w:cs="宋体"/>
                <w:color w:val="auto"/>
                <w:sz w:val="21"/>
                <w:szCs w:val="21"/>
                <w:highlight w:val="none"/>
              </w:rPr>
            </w:pPr>
          </w:p>
        </w:tc>
        <w:tc>
          <w:tcPr>
            <w:tcW w:w="687" w:type="dxa"/>
          </w:tcPr>
          <w:p w14:paraId="40EE6447">
            <w:pPr>
              <w:rPr>
                <w:rFonts w:ascii="宋体" w:hAnsi="宋体" w:eastAsia="宋体" w:cs="宋体"/>
                <w:color w:val="auto"/>
                <w:sz w:val="21"/>
                <w:szCs w:val="21"/>
                <w:highlight w:val="none"/>
              </w:rPr>
            </w:pPr>
          </w:p>
        </w:tc>
        <w:tc>
          <w:tcPr>
            <w:tcW w:w="645" w:type="dxa"/>
          </w:tcPr>
          <w:p w14:paraId="6CC4E881">
            <w:pPr>
              <w:rPr>
                <w:rFonts w:ascii="宋体" w:hAnsi="宋体" w:eastAsia="宋体" w:cs="宋体"/>
                <w:color w:val="auto"/>
                <w:sz w:val="21"/>
                <w:szCs w:val="21"/>
                <w:highlight w:val="none"/>
              </w:rPr>
            </w:pPr>
          </w:p>
        </w:tc>
        <w:tc>
          <w:tcPr>
            <w:tcW w:w="924" w:type="dxa"/>
          </w:tcPr>
          <w:p w14:paraId="2E7A0F02">
            <w:pPr>
              <w:rPr>
                <w:rFonts w:ascii="宋体" w:hAnsi="宋体" w:eastAsia="宋体" w:cs="宋体"/>
                <w:color w:val="auto"/>
                <w:sz w:val="21"/>
                <w:szCs w:val="21"/>
                <w:highlight w:val="none"/>
              </w:rPr>
            </w:pPr>
          </w:p>
        </w:tc>
        <w:tc>
          <w:tcPr>
            <w:tcW w:w="1088" w:type="dxa"/>
          </w:tcPr>
          <w:p w14:paraId="5F7D364F">
            <w:pPr>
              <w:rPr>
                <w:rFonts w:ascii="宋体" w:hAnsi="宋体" w:eastAsia="宋体" w:cs="宋体"/>
                <w:color w:val="auto"/>
                <w:sz w:val="21"/>
                <w:szCs w:val="21"/>
                <w:highlight w:val="none"/>
              </w:rPr>
            </w:pPr>
          </w:p>
        </w:tc>
      </w:tr>
      <w:tr w14:paraId="2B7DA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644" w:type="dxa"/>
          </w:tcPr>
          <w:p w14:paraId="3B53FA20">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073" w:type="dxa"/>
          </w:tcPr>
          <w:p w14:paraId="4A56A0E5">
            <w:pPr>
              <w:rPr>
                <w:rFonts w:ascii="宋体" w:hAnsi="宋体" w:eastAsia="宋体" w:cs="宋体"/>
                <w:color w:val="auto"/>
                <w:sz w:val="21"/>
                <w:szCs w:val="21"/>
                <w:highlight w:val="none"/>
              </w:rPr>
            </w:pPr>
          </w:p>
        </w:tc>
        <w:tc>
          <w:tcPr>
            <w:tcW w:w="2004" w:type="dxa"/>
          </w:tcPr>
          <w:p w14:paraId="69602857">
            <w:pPr>
              <w:rPr>
                <w:rFonts w:ascii="宋体" w:hAnsi="宋体" w:eastAsia="宋体" w:cs="宋体"/>
                <w:color w:val="auto"/>
                <w:sz w:val="21"/>
                <w:szCs w:val="21"/>
                <w:highlight w:val="none"/>
              </w:rPr>
            </w:pPr>
          </w:p>
        </w:tc>
        <w:tc>
          <w:tcPr>
            <w:tcW w:w="1057" w:type="dxa"/>
          </w:tcPr>
          <w:p w14:paraId="6994063A">
            <w:pPr>
              <w:rPr>
                <w:rFonts w:ascii="宋体" w:hAnsi="宋体" w:eastAsia="宋体" w:cs="宋体"/>
                <w:color w:val="auto"/>
                <w:sz w:val="21"/>
                <w:szCs w:val="21"/>
                <w:highlight w:val="none"/>
              </w:rPr>
            </w:pPr>
          </w:p>
        </w:tc>
        <w:tc>
          <w:tcPr>
            <w:tcW w:w="687" w:type="dxa"/>
          </w:tcPr>
          <w:p w14:paraId="634AED11">
            <w:pPr>
              <w:rPr>
                <w:rFonts w:ascii="宋体" w:hAnsi="宋体" w:eastAsia="宋体" w:cs="宋体"/>
                <w:color w:val="auto"/>
                <w:sz w:val="21"/>
                <w:szCs w:val="21"/>
                <w:highlight w:val="none"/>
              </w:rPr>
            </w:pPr>
          </w:p>
        </w:tc>
        <w:tc>
          <w:tcPr>
            <w:tcW w:w="645" w:type="dxa"/>
          </w:tcPr>
          <w:p w14:paraId="3C7FA737">
            <w:pPr>
              <w:rPr>
                <w:rFonts w:ascii="宋体" w:hAnsi="宋体" w:eastAsia="宋体" w:cs="宋体"/>
                <w:color w:val="auto"/>
                <w:sz w:val="21"/>
                <w:szCs w:val="21"/>
                <w:highlight w:val="none"/>
              </w:rPr>
            </w:pPr>
          </w:p>
        </w:tc>
        <w:tc>
          <w:tcPr>
            <w:tcW w:w="924" w:type="dxa"/>
          </w:tcPr>
          <w:p w14:paraId="490E0436">
            <w:pPr>
              <w:rPr>
                <w:rFonts w:ascii="宋体" w:hAnsi="宋体" w:eastAsia="宋体" w:cs="宋体"/>
                <w:color w:val="auto"/>
                <w:sz w:val="21"/>
                <w:szCs w:val="21"/>
                <w:highlight w:val="none"/>
              </w:rPr>
            </w:pPr>
          </w:p>
        </w:tc>
        <w:tc>
          <w:tcPr>
            <w:tcW w:w="1088" w:type="dxa"/>
          </w:tcPr>
          <w:p w14:paraId="117FEC29">
            <w:pPr>
              <w:rPr>
                <w:rFonts w:ascii="宋体" w:hAnsi="宋体" w:eastAsia="宋体" w:cs="宋体"/>
                <w:color w:val="auto"/>
                <w:sz w:val="21"/>
                <w:szCs w:val="21"/>
                <w:highlight w:val="none"/>
              </w:rPr>
            </w:pPr>
          </w:p>
        </w:tc>
      </w:tr>
      <w:tr w14:paraId="541E0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644" w:type="dxa"/>
          </w:tcPr>
          <w:p w14:paraId="050BFBC5">
            <w:pP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总计</w:t>
            </w:r>
          </w:p>
        </w:tc>
        <w:tc>
          <w:tcPr>
            <w:tcW w:w="2073" w:type="dxa"/>
          </w:tcPr>
          <w:p w14:paraId="060B0467">
            <w:pPr>
              <w:rPr>
                <w:rFonts w:ascii="宋体" w:hAnsi="宋体" w:eastAsia="宋体" w:cs="宋体"/>
                <w:color w:val="auto"/>
                <w:sz w:val="21"/>
                <w:szCs w:val="21"/>
                <w:highlight w:val="none"/>
              </w:rPr>
            </w:pPr>
          </w:p>
        </w:tc>
        <w:tc>
          <w:tcPr>
            <w:tcW w:w="2004" w:type="dxa"/>
          </w:tcPr>
          <w:p w14:paraId="79C26ADE">
            <w:pPr>
              <w:rPr>
                <w:rFonts w:ascii="宋体" w:hAnsi="宋体" w:eastAsia="宋体" w:cs="宋体"/>
                <w:color w:val="auto"/>
                <w:sz w:val="21"/>
                <w:szCs w:val="21"/>
                <w:highlight w:val="none"/>
              </w:rPr>
            </w:pPr>
          </w:p>
        </w:tc>
        <w:tc>
          <w:tcPr>
            <w:tcW w:w="1057" w:type="dxa"/>
          </w:tcPr>
          <w:p w14:paraId="720C43D9">
            <w:pPr>
              <w:rPr>
                <w:rFonts w:ascii="宋体" w:hAnsi="宋体" w:eastAsia="宋体" w:cs="宋体"/>
                <w:color w:val="auto"/>
                <w:sz w:val="21"/>
                <w:szCs w:val="21"/>
                <w:highlight w:val="none"/>
              </w:rPr>
            </w:pPr>
          </w:p>
        </w:tc>
        <w:tc>
          <w:tcPr>
            <w:tcW w:w="687" w:type="dxa"/>
          </w:tcPr>
          <w:p w14:paraId="09D5FB2B">
            <w:pPr>
              <w:rPr>
                <w:rFonts w:ascii="宋体" w:hAnsi="宋体" w:eastAsia="宋体" w:cs="宋体"/>
                <w:color w:val="auto"/>
                <w:sz w:val="21"/>
                <w:szCs w:val="21"/>
                <w:highlight w:val="none"/>
              </w:rPr>
            </w:pPr>
          </w:p>
        </w:tc>
        <w:tc>
          <w:tcPr>
            <w:tcW w:w="645" w:type="dxa"/>
          </w:tcPr>
          <w:p w14:paraId="31397992">
            <w:pPr>
              <w:rPr>
                <w:rFonts w:ascii="宋体" w:hAnsi="宋体" w:eastAsia="宋体" w:cs="宋体"/>
                <w:color w:val="auto"/>
                <w:sz w:val="21"/>
                <w:szCs w:val="21"/>
                <w:highlight w:val="none"/>
              </w:rPr>
            </w:pPr>
          </w:p>
        </w:tc>
        <w:tc>
          <w:tcPr>
            <w:tcW w:w="924" w:type="dxa"/>
          </w:tcPr>
          <w:p w14:paraId="5AAB2C46">
            <w:pPr>
              <w:rPr>
                <w:rFonts w:ascii="宋体" w:hAnsi="宋体" w:eastAsia="宋体" w:cs="宋体"/>
                <w:color w:val="auto"/>
                <w:sz w:val="21"/>
                <w:szCs w:val="21"/>
                <w:highlight w:val="none"/>
              </w:rPr>
            </w:pPr>
          </w:p>
        </w:tc>
        <w:tc>
          <w:tcPr>
            <w:tcW w:w="1088" w:type="dxa"/>
          </w:tcPr>
          <w:p w14:paraId="08FDA1E5">
            <w:pPr>
              <w:rPr>
                <w:rFonts w:ascii="宋体" w:hAnsi="宋体" w:eastAsia="宋体" w:cs="宋体"/>
                <w:color w:val="auto"/>
                <w:sz w:val="21"/>
                <w:szCs w:val="21"/>
                <w:highlight w:val="none"/>
              </w:rPr>
            </w:pPr>
          </w:p>
        </w:tc>
      </w:tr>
    </w:tbl>
    <w:p w14:paraId="6B26FC11">
      <w:pPr>
        <w:rPr>
          <w:rFonts w:ascii="宋体" w:hAnsi="宋体" w:eastAsia="宋体" w:cs="宋体"/>
          <w:color w:val="auto"/>
          <w:sz w:val="21"/>
          <w:szCs w:val="21"/>
          <w:highlight w:val="none"/>
        </w:rPr>
      </w:pPr>
    </w:p>
    <w:p w14:paraId="73DDC1E6">
      <w:pPr>
        <w:rPr>
          <w:rFonts w:ascii="宋体" w:hAnsi="宋体" w:eastAsia="宋体" w:cs="宋体"/>
          <w:color w:val="auto"/>
          <w:sz w:val="21"/>
          <w:szCs w:val="21"/>
          <w:highlight w:val="none"/>
        </w:rPr>
      </w:pPr>
    </w:p>
    <w:p w14:paraId="05D661A9">
      <w:pP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p w14:paraId="0F1B00A7">
      <w:pPr>
        <w:numPr>
          <w:ilvl w:val="0"/>
          <w:numId w:val="8"/>
        </w:numP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采购货物报价指目的地交货价，含税费、运杂费、保险费、技术服务费、专用工具、</w:t>
      </w:r>
      <w:r>
        <w:rPr>
          <w:rFonts w:hint="eastAsia" w:ascii="宋体" w:hAnsi="宋体" w:eastAsia="宋体" w:cs="宋体"/>
          <w:color w:val="auto"/>
          <w:sz w:val="21"/>
          <w:szCs w:val="21"/>
          <w:highlight w:val="none"/>
          <w:lang w:eastAsia="zh-CN"/>
        </w:rPr>
        <w:t>质量保证期</w:t>
      </w:r>
      <w:r>
        <w:rPr>
          <w:rFonts w:hint="eastAsia" w:ascii="宋体" w:hAnsi="宋体" w:eastAsia="宋体" w:cs="宋体"/>
          <w:color w:val="auto"/>
          <w:sz w:val="21"/>
          <w:szCs w:val="21"/>
          <w:highlight w:val="none"/>
        </w:rPr>
        <w:t>内的易损件等费用。</w:t>
      </w:r>
    </w:p>
    <w:p w14:paraId="5F47F32C">
      <w:pPr>
        <w:rPr>
          <w:rFonts w:ascii="宋体" w:hAnsi="宋体" w:eastAsia="宋体" w:cs="宋体"/>
          <w:color w:val="auto"/>
          <w:sz w:val="21"/>
          <w:szCs w:val="21"/>
          <w:highlight w:val="none"/>
        </w:rPr>
      </w:pPr>
    </w:p>
    <w:p w14:paraId="31EA1524">
      <w:pPr>
        <w:rPr>
          <w:rFonts w:ascii="宋体" w:hAnsi="宋体" w:eastAsia="宋体" w:cs="宋体"/>
          <w:color w:val="auto"/>
          <w:sz w:val="21"/>
          <w:szCs w:val="21"/>
          <w:highlight w:val="none"/>
        </w:rPr>
      </w:pPr>
    </w:p>
    <w:p w14:paraId="0EEE2A38">
      <w:pPr>
        <w:snapToGrid w:val="0"/>
        <w:spacing w:line="48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供应商名称（盖章）：_________________</w:t>
      </w:r>
    </w:p>
    <w:p w14:paraId="3042DECC">
      <w:pPr>
        <w:snapToGrid w:val="0"/>
        <w:spacing w:line="48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法定代表人（单位负责人）或委托代理人（签字或盖章）：</w:t>
      </w:r>
    </w:p>
    <w:p w14:paraId="15AD137B">
      <w:pPr>
        <w:snapToGrid w:val="0"/>
        <w:spacing w:line="48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p>
    <w:p w14:paraId="70822BC5">
      <w:pPr>
        <w:rPr>
          <w:rFonts w:ascii="宋体" w:hAnsi="宋体" w:eastAsia="宋体" w:cs="宋体"/>
          <w:b/>
          <w:bCs/>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bCs/>
          <w:color w:val="auto"/>
          <w:sz w:val="21"/>
          <w:szCs w:val="21"/>
          <w:highlight w:val="none"/>
        </w:rPr>
        <w:t>附件1.3</w:t>
      </w:r>
    </w:p>
    <w:p w14:paraId="6778AA93">
      <w:pPr>
        <w:jc w:val="center"/>
        <w:outlineLvl w:val="0"/>
        <w:rPr>
          <w:rFonts w:asciiTheme="minorEastAsia" w:hAnsiTheme="minorEastAsia" w:eastAsiaTheme="minorEastAsia" w:cstheme="minorEastAsia"/>
          <w:b/>
          <w:bCs/>
          <w:color w:val="auto"/>
          <w:szCs w:val="21"/>
          <w:highlight w:val="none"/>
        </w:rPr>
      </w:pPr>
      <w:bookmarkStart w:id="264" w:name="_Toc8550"/>
      <w:r>
        <w:rPr>
          <w:rFonts w:hint="eastAsia" w:asciiTheme="minorEastAsia" w:hAnsiTheme="minorEastAsia" w:eastAsiaTheme="minorEastAsia" w:cstheme="minorEastAsia"/>
          <w:b/>
          <w:bCs/>
          <w:color w:val="auto"/>
          <w:szCs w:val="21"/>
          <w:highlight w:val="none"/>
        </w:rPr>
        <w:t>技术规格和商务条款偏差表</w:t>
      </w:r>
      <w:bookmarkEnd w:id="264"/>
    </w:p>
    <w:p w14:paraId="72F5DB0B">
      <w:pPr>
        <w:rPr>
          <w:rFonts w:asciiTheme="minorEastAsia" w:hAnsiTheme="minorEastAsia" w:eastAsiaTheme="minorEastAsia" w:cstheme="minorEastAsia"/>
          <w:color w:val="auto"/>
          <w:szCs w:val="21"/>
          <w:highlight w:val="none"/>
        </w:rPr>
      </w:pPr>
    </w:p>
    <w:p w14:paraId="10D0ACCE">
      <w:pPr>
        <w:rPr>
          <w:rFonts w:asciiTheme="minorEastAsia" w:hAnsiTheme="minorEastAsia" w:eastAsiaTheme="minorEastAsia" w:cstheme="minorEastAsia"/>
          <w:bCs/>
          <w:color w:val="auto"/>
          <w:sz w:val="21"/>
          <w:szCs w:val="18"/>
          <w:highlight w:val="none"/>
        </w:rPr>
      </w:pPr>
      <w:r>
        <w:rPr>
          <w:rFonts w:hint="eastAsia" w:asciiTheme="minorEastAsia" w:hAnsiTheme="minorEastAsia" w:eastAsiaTheme="minorEastAsia" w:cstheme="minorEastAsia"/>
          <w:bCs/>
          <w:color w:val="auto"/>
          <w:sz w:val="21"/>
          <w:szCs w:val="18"/>
          <w:highlight w:val="none"/>
        </w:rPr>
        <w:t>项目名称：</w:t>
      </w:r>
    </w:p>
    <w:p w14:paraId="1A66FA05">
      <w:pPr>
        <w:rPr>
          <w:rFonts w:asciiTheme="minorEastAsia" w:hAnsiTheme="minorEastAsia" w:eastAsiaTheme="minorEastAsia" w:cstheme="minorEastAsia"/>
          <w:bCs/>
          <w:color w:val="auto"/>
          <w:sz w:val="21"/>
          <w:szCs w:val="18"/>
          <w:highlight w:val="none"/>
        </w:rPr>
      </w:pPr>
      <w:r>
        <w:rPr>
          <w:rFonts w:hint="eastAsia" w:asciiTheme="minorEastAsia" w:hAnsiTheme="minorEastAsia" w:eastAsiaTheme="minorEastAsia" w:cstheme="minorEastAsia"/>
          <w:bCs/>
          <w:color w:val="auto"/>
          <w:sz w:val="21"/>
          <w:szCs w:val="18"/>
          <w:highlight w:val="none"/>
        </w:rPr>
        <w:t>项目编号：</w:t>
      </w:r>
    </w:p>
    <w:tbl>
      <w:tblPr>
        <w:tblStyle w:val="27"/>
        <w:tblW w:w="9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279"/>
        <w:gridCol w:w="1340"/>
        <w:gridCol w:w="1341"/>
        <w:gridCol w:w="1341"/>
        <w:gridCol w:w="1341"/>
        <w:gridCol w:w="1101"/>
      </w:tblGrid>
      <w:tr w14:paraId="08349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742" w:type="dxa"/>
            <w:vMerge w:val="restart"/>
            <w:vAlign w:val="center"/>
          </w:tcPr>
          <w:p w14:paraId="0767733B">
            <w:pPr>
              <w:jc w:val="center"/>
              <w:rPr>
                <w:rFonts w:asciiTheme="minorEastAsia" w:hAnsiTheme="minorEastAsia" w:eastAsiaTheme="minorEastAsia" w:cstheme="minorEastAsia"/>
                <w:b/>
                <w:bCs/>
                <w:color w:val="auto"/>
                <w:sz w:val="20"/>
                <w:szCs w:val="16"/>
                <w:highlight w:val="none"/>
              </w:rPr>
            </w:pPr>
            <w:r>
              <w:rPr>
                <w:rFonts w:hint="eastAsia" w:asciiTheme="minorEastAsia" w:hAnsiTheme="minorEastAsia" w:eastAsiaTheme="minorEastAsia" w:cstheme="minorEastAsia"/>
                <w:b/>
                <w:bCs/>
                <w:color w:val="auto"/>
                <w:sz w:val="20"/>
                <w:szCs w:val="16"/>
                <w:highlight w:val="none"/>
              </w:rPr>
              <w:t>序号</w:t>
            </w:r>
          </w:p>
        </w:tc>
        <w:tc>
          <w:tcPr>
            <w:tcW w:w="2279" w:type="dxa"/>
            <w:vMerge w:val="restart"/>
            <w:vAlign w:val="center"/>
          </w:tcPr>
          <w:p w14:paraId="4CF2F003">
            <w:pPr>
              <w:jc w:val="center"/>
              <w:rPr>
                <w:rFonts w:asciiTheme="minorEastAsia" w:hAnsiTheme="minorEastAsia" w:eastAsiaTheme="minorEastAsia" w:cstheme="minorEastAsia"/>
                <w:b/>
                <w:bCs/>
                <w:color w:val="auto"/>
                <w:sz w:val="20"/>
                <w:szCs w:val="16"/>
                <w:highlight w:val="none"/>
              </w:rPr>
            </w:pPr>
            <w:r>
              <w:rPr>
                <w:rFonts w:hint="eastAsia" w:asciiTheme="minorEastAsia" w:hAnsiTheme="minorEastAsia" w:eastAsiaTheme="minorEastAsia" w:cstheme="minorEastAsia"/>
                <w:b/>
                <w:bCs/>
                <w:color w:val="auto"/>
                <w:sz w:val="20"/>
                <w:szCs w:val="16"/>
                <w:highlight w:val="none"/>
              </w:rPr>
              <w:t>功能名称</w:t>
            </w:r>
          </w:p>
        </w:tc>
        <w:tc>
          <w:tcPr>
            <w:tcW w:w="2681" w:type="dxa"/>
            <w:gridSpan w:val="2"/>
            <w:vAlign w:val="center"/>
          </w:tcPr>
          <w:p w14:paraId="4EE90EC5">
            <w:pPr>
              <w:jc w:val="center"/>
              <w:rPr>
                <w:rFonts w:asciiTheme="minorEastAsia" w:hAnsiTheme="minorEastAsia" w:eastAsiaTheme="minorEastAsia" w:cstheme="minorEastAsia"/>
                <w:b/>
                <w:bCs/>
                <w:color w:val="auto"/>
                <w:sz w:val="20"/>
                <w:szCs w:val="16"/>
                <w:highlight w:val="none"/>
              </w:rPr>
            </w:pPr>
            <w:r>
              <w:rPr>
                <w:rFonts w:hint="eastAsia" w:asciiTheme="minorEastAsia" w:hAnsiTheme="minorEastAsia" w:eastAsiaTheme="minorEastAsia" w:cstheme="minorEastAsia"/>
                <w:b/>
                <w:bCs/>
                <w:color w:val="auto"/>
                <w:sz w:val="20"/>
                <w:szCs w:val="16"/>
                <w:highlight w:val="none"/>
              </w:rPr>
              <w:t>技术参数及要求</w:t>
            </w:r>
          </w:p>
        </w:tc>
        <w:tc>
          <w:tcPr>
            <w:tcW w:w="1341" w:type="dxa"/>
            <w:vMerge w:val="restart"/>
            <w:vAlign w:val="center"/>
          </w:tcPr>
          <w:p w14:paraId="7B5D7D9A">
            <w:pPr>
              <w:jc w:val="center"/>
              <w:rPr>
                <w:rFonts w:asciiTheme="minorEastAsia" w:hAnsiTheme="minorEastAsia" w:eastAsiaTheme="minorEastAsia" w:cstheme="minorEastAsia"/>
                <w:b/>
                <w:bCs/>
                <w:color w:val="auto"/>
                <w:sz w:val="20"/>
                <w:szCs w:val="16"/>
                <w:highlight w:val="none"/>
              </w:rPr>
            </w:pPr>
            <w:r>
              <w:rPr>
                <w:rFonts w:hint="eastAsia" w:asciiTheme="minorEastAsia" w:hAnsiTheme="minorEastAsia" w:eastAsiaTheme="minorEastAsia" w:cstheme="minorEastAsia"/>
                <w:b/>
                <w:bCs/>
                <w:color w:val="auto"/>
                <w:sz w:val="21"/>
                <w:szCs w:val="21"/>
                <w:highlight w:val="none"/>
              </w:rPr>
              <w:t>对竞争性磋商文件偏差</w:t>
            </w:r>
          </w:p>
        </w:tc>
        <w:tc>
          <w:tcPr>
            <w:tcW w:w="1341" w:type="dxa"/>
            <w:vMerge w:val="restart"/>
            <w:vAlign w:val="center"/>
          </w:tcPr>
          <w:p w14:paraId="46E8ED64">
            <w:pPr>
              <w:jc w:val="center"/>
              <w:rPr>
                <w:rFonts w:asciiTheme="minorEastAsia" w:hAnsiTheme="minorEastAsia" w:eastAsiaTheme="minorEastAsia" w:cstheme="minorEastAsia"/>
                <w:b/>
                <w:bCs/>
                <w:color w:val="auto"/>
                <w:sz w:val="20"/>
                <w:szCs w:val="16"/>
                <w:highlight w:val="none"/>
              </w:rPr>
            </w:pPr>
            <w:r>
              <w:rPr>
                <w:rFonts w:hint="eastAsia" w:asciiTheme="minorEastAsia" w:hAnsiTheme="minorEastAsia" w:eastAsiaTheme="minorEastAsia" w:cstheme="minorEastAsia"/>
                <w:b/>
                <w:bCs/>
                <w:color w:val="auto"/>
                <w:sz w:val="20"/>
                <w:szCs w:val="16"/>
                <w:highlight w:val="none"/>
              </w:rPr>
              <w:t>描述</w:t>
            </w:r>
          </w:p>
        </w:tc>
        <w:tc>
          <w:tcPr>
            <w:tcW w:w="1101" w:type="dxa"/>
            <w:vMerge w:val="restart"/>
            <w:vAlign w:val="center"/>
          </w:tcPr>
          <w:p w14:paraId="2F388305">
            <w:pPr>
              <w:jc w:val="center"/>
              <w:rPr>
                <w:rFonts w:asciiTheme="minorEastAsia" w:hAnsiTheme="minorEastAsia" w:eastAsiaTheme="minorEastAsia" w:cstheme="minorEastAsia"/>
                <w:b/>
                <w:bCs/>
                <w:color w:val="auto"/>
                <w:sz w:val="20"/>
                <w:szCs w:val="16"/>
                <w:highlight w:val="none"/>
              </w:rPr>
            </w:pPr>
            <w:r>
              <w:rPr>
                <w:rFonts w:hint="eastAsia" w:asciiTheme="minorEastAsia" w:hAnsiTheme="minorEastAsia" w:eastAsiaTheme="minorEastAsia" w:cstheme="minorEastAsia"/>
                <w:b/>
                <w:bCs/>
                <w:color w:val="auto"/>
                <w:sz w:val="20"/>
                <w:szCs w:val="16"/>
                <w:highlight w:val="none"/>
              </w:rPr>
              <w:t>备注</w:t>
            </w:r>
          </w:p>
        </w:tc>
      </w:tr>
      <w:tr w14:paraId="20C06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742" w:type="dxa"/>
            <w:vMerge w:val="continue"/>
            <w:vAlign w:val="center"/>
          </w:tcPr>
          <w:p w14:paraId="713690E9">
            <w:pPr>
              <w:rPr>
                <w:rFonts w:asciiTheme="minorEastAsia" w:hAnsiTheme="minorEastAsia" w:eastAsiaTheme="minorEastAsia" w:cstheme="minorEastAsia"/>
                <w:bCs/>
                <w:color w:val="auto"/>
                <w:szCs w:val="21"/>
                <w:highlight w:val="none"/>
              </w:rPr>
            </w:pPr>
          </w:p>
        </w:tc>
        <w:tc>
          <w:tcPr>
            <w:tcW w:w="2279" w:type="dxa"/>
            <w:vMerge w:val="continue"/>
            <w:vAlign w:val="center"/>
          </w:tcPr>
          <w:p w14:paraId="2A54C018">
            <w:pPr>
              <w:rPr>
                <w:rFonts w:asciiTheme="minorEastAsia" w:hAnsiTheme="minorEastAsia" w:eastAsiaTheme="minorEastAsia" w:cstheme="minorEastAsia"/>
                <w:bCs/>
                <w:color w:val="auto"/>
                <w:szCs w:val="21"/>
                <w:highlight w:val="none"/>
              </w:rPr>
            </w:pPr>
          </w:p>
        </w:tc>
        <w:tc>
          <w:tcPr>
            <w:tcW w:w="1340" w:type="dxa"/>
            <w:vAlign w:val="center"/>
          </w:tcPr>
          <w:p w14:paraId="3F551EB1">
            <w:pPr>
              <w:jc w:val="center"/>
              <w:rPr>
                <w:rFonts w:asciiTheme="minorEastAsia" w:hAnsiTheme="minorEastAsia" w:eastAsiaTheme="minorEastAsia" w:cstheme="minorEastAsia"/>
                <w:b/>
                <w:bCs/>
                <w:color w:val="auto"/>
                <w:sz w:val="21"/>
                <w:szCs w:val="18"/>
                <w:highlight w:val="none"/>
              </w:rPr>
            </w:pPr>
            <w:r>
              <w:rPr>
                <w:rFonts w:hint="eastAsia" w:asciiTheme="minorEastAsia" w:hAnsiTheme="minorEastAsia" w:eastAsiaTheme="minorEastAsia" w:cstheme="minorEastAsia"/>
                <w:b/>
                <w:bCs/>
                <w:color w:val="auto"/>
                <w:sz w:val="21"/>
                <w:szCs w:val="18"/>
                <w:highlight w:val="none"/>
              </w:rPr>
              <w:t>磋商文件</w:t>
            </w:r>
          </w:p>
        </w:tc>
        <w:tc>
          <w:tcPr>
            <w:tcW w:w="1341" w:type="dxa"/>
            <w:vAlign w:val="center"/>
          </w:tcPr>
          <w:p w14:paraId="2A13504C">
            <w:pPr>
              <w:jc w:val="center"/>
              <w:rPr>
                <w:rFonts w:asciiTheme="minorEastAsia" w:hAnsiTheme="minorEastAsia" w:eastAsiaTheme="minorEastAsia" w:cstheme="minorEastAsia"/>
                <w:b/>
                <w:bCs/>
                <w:color w:val="auto"/>
                <w:sz w:val="21"/>
                <w:szCs w:val="18"/>
                <w:highlight w:val="none"/>
              </w:rPr>
            </w:pPr>
            <w:r>
              <w:rPr>
                <w:rFonts w:hint="eastAsia" w:asciiTheme="minorEastAsia" w:hAnsiTheme="minorEastAsia" w:eastAsiaTheme="minorEastAsia" w:cstheme="minorEastAsia"/>
                <w:b/>
                <w:bCs/>
                <w:color w:val="auto"/>
                <w:sz w:val="21"/>
                <w:szCs w:val="18"/>
                <w:highlight w:val="none"/>
              </w:rPr>
              <w:t>响应文件</w:t>
            </w:r>
          </w:p>
        </w:tc>
        <w:tc>
          <w:tcPr>
            <w:tcW w:w="1341" w:type="dxa"/>
            <w:vMerge w:val="continue"/>
            <w:vAlign w:val="center"/>
          </w:tcPr>
          <w:p w14:paraId="24F4BA83">
            <w:pPr>
              <w:rPr>
                <w:rFonts w:asciiTheme="minorEastAsia" w:hAnsiTheme="minorEastAsia" w:eastAsiaTheme="minorEastAsia" w:cstheme="minorEastAsia"/>
                <w:bCs/>
                <w:color w:val="auto"/>
                <w:szCs w:val="21"/>
                <w:highlight w:val="none"/>
              </w:rPr>
            </w:pPr>
          </w:p>
        </w:tc>
        <w:tc>
          <w:tcPr>
            <w:tcW w:w="1341" w:type="dxa"/>
            <w:vMerge w:val="continue"/>
            <w:vAlign w:val="center"/>
          </w:tcPr>
          <w:p w14:paraId="3AC9C9AE">
            <w:pPr>
              <w:rPr>
                <w:rFonts w:asciiTheme="minorEastAsia" w:hAnsiTheme="minorEastAsia" w:eastAsiaTheme="minorEastAsia" w:cstheme="minorEastAsia"/>
                <w:bCs/>
                <w:color w:val="auto"/>
                <w:szCs w:val="21"/>
                <w:highlight w:val="none"/>
              </w:rPr>
            </w:pPr>
          </w:p>
        </w:tc>
        <w:tc>
          <w:tcPr>
            <w:tcW w:w="1101" w:type="dxa"/>
            <w:vMerge w:val="continue"/>
            <w:vAlign w:val="center"/>
          </w:tcPr>
          <w:p w14:paraId="30B79593">
            <w:pPr>
              <w:rPr>
                <w:rFonts w:asciiTheme="minorEastAsia" w:hAnsiTheme="minorEastAsia" w:eastAsiaTheme="minorEastAsia" w:cstheme="minorEastAsia"/>
                <w:bCs/>
                <w:color w:val="auto"/>
                <w:szCs w:val="21"/>
                <w:highlight w:val="none"/>
              </w:rPr>
            </w:pPr>
          </w:p>
        </w:tc>
      </w:tr>
      <w:tr w14:paraId="48CA7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742" w:type="dxa"/>
            <w:vMerge w:val="restart"/>
            <w:vAlign w:val="center"/>
          </w:tcPr>
          <w:p w14:paraId="7AFF3A65">
            <w:pPr>
              <w:jc w:val="center"/>
              <w:rPr>
                <w:rFonts w:asciiTheme="minorEastAsia" w:hAnsiTheme="minorEastAsia" w:eastAsiaTheme="minorEastAsia" w:cstheme="minorEastAsia"/>
                <w:bCs/>
                <w:color w:val="auto"/>
                <w:sz w:val="18"/>
                <w:szCs w:val="15"/>
                <w:highlight w:val="none"/>
              </w:rPr>
            </w:pPr>
            <w:r>
              <w:rPr>
                <w:rFonts w:hint="eastAsia" w:asciiTheme="minorEastAsia" w:hAnsiTheme="minorEastAsia" w:eastAsiaTheme="minorEastAsia" w:cstheme="minorEastAsia"/>
                <w:bCs/>
                <w:color w:val="auto"/>
                <w:sz w:val="18"/>
                <w:szCs w:val="15"/>
                <w:highlight w:val="none"/>
              </w:rPr>
              <w:t>1</w:t>
            </w:r>
          </w:p>
        </w:tc>
        <w:tc>
          <w:tcPr>
            <w:tcW w:w="2279" w:type="dxa"/>
            <w:vAlign w:val="center"/>
          </w:tcPr>
          <w:p w14:paraId="140A3341">
            <w:pPr>
              <w:spacing w:line="360" w:lineRule="auto"/>
              <w:jc w:val="center"/>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货物或配置名称1</w:t>
            </w:r>
          </w:p>
        </w:tc>
        <w:tc>
          <w:tcPr>
            <w:tcW w:w="1340" w:type="dxa"/>
            <w:vAlign w:val="center"/>
          </w:tcPr>
          <w:p w14:paraId="02FBCCA2">
            <w:pPr>
              <w:rPr>
                <w:rFonts w:asciiTheme="minorEastAsia" w:hAnsiTheme="minorEastAsia" w:eastAsiaTheme="minorEastAsia" w:cstheme="minorEastAsia"/>
                <w:bCs/>
                <w:color w:val="auto"/>
                <w:szCs w:val="21"/>
                <w:highlight w:val="none"/>
              </w:rPr>
            </w:pPr>
          </w:p>
        </w:tc>
        <w:tc>
          <w:tcPr>
            <w:tcW w:w="1341" w:type="dxa"/>
            <w:vAlign w:val="center"/>
          </w:tcPr>
          <w:p w14:paraId="2F31FEB1">
            <w:pPr>
              <w:rPr>
                <w:rFonts w:asciiTheme="minorEastAsia" w:hAnsiTheme="minorEastAsia" w:eastAsiaTheme="minorEastAsia" w:cstheme="minorEastAsia"/>
                <w:bCs/>
                <w:color w:val="auto"/>
                <w:szCs w:val="21"/>
                <w:highlight w:val="none"/>
              </w:rPr>
            </w:pPr>
          </w:p>
        </w:tc>
        <w:tc>
          <w:tcPr>
            <w:tcW w:w="1341" w:type="dxa"/>
            <w:vAlign w:val="center"/>
          </w:tcPr>
          <w:p w14:paraId="646CEE63">
            <w:pPr>
              <w:rPr>
                <w:rFonts w:asciiTheme="minorEastAsia" w:hAnsiTheme="minorEastAsia" w:eastAsiaTheme="minorEastAsia" w:cstheme="minorEastAsia"/>
                <w:bCs/>
                <w:color w:val="auto"/>
                <w:szCs w:val="21"/>
                <w:highlight w:val="none"/>
              </w:rPr>
            </w:pPr>
          </w:p>
        </w:tc>
        <w:tc>
          <w:tcPr>
            <w:tcW w:w="1341" w:type="dxa"/>
            <w:vAlign w:val="center"/>
          </w:tcPr>
          <w:p w14:paraId="304A0A71">
            <w:pPr>
              <w:rPr>
                <w:rFonts w:asciiTheme="minorEastAsia" w:hAnsiTheme="minorEastAsia" w:eastAsiaTheme="minorEastAsia" w:cstheme="minorEastAsia"/>
                <w:bCs/>
                <w:color w:val="auto"/>
                <w:szCs w:val="21"/>
                <w:highlight w:val="none"/>
              </w:rPr>
            </w:pPr>
          </w:p>
        </w:tc>
        <w:tc>
          <w:tcPr>
            <w:tcW w:w="1101" w:type="dxa"/>
            <w:vAlign w:val="center"/>
          </w:tcPr>
          <w:p w14:paraId="43F10593">
            <w:pPr>
              <w:rPr>
                <w:rFonts w:asciiTheme="minorEastAsia" w:hAnsiTheme="minorEastAsia" w:eastAsiaTheme="minorEastAsia" w:cstheme="minorEastAsia"/>
                <w:bCs/>
                <w:color w:val="auto"/>
                <w:szCs w:val="21"/>
                <w:highlight w:val="none"/>
              </w:rPr>
            </w:pPr>
          </w:p>
        </w:tc>
      </w:tr>
      <w:tr w14:paraId="6A911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 w:hRule="atLeast"/>
          <w:jc w:val="center"/>
        </w:trPr>
        <w:tc>
          <w:tcPr>
            <w:tcW w:w="742" w:type="dxa"/>
            <w:vMerge w:val="continue"/>
            <w:vAlign w:val="center"/>
          </w:tcPr>
          <w:p w14:paraId="2051DC06">
            <w:pPr>
              <w:jc w:val="center"/>
              <w:rPr>
                <w:rFonts w:asciiTheme="minorEastAsia" w:hAnsiTheme="minorEastAsia" w:eastAsiaTheme="minorEastAsia" w:cstheme="minorEastAsia"/>
                <w:bCs/>
                <w:color w:val="auto"/>
                <w:sz w:val="18"/>
                <w:szCs w:val="15"/>
                <w:highlight w:val="none"/>
              </w:rPr>
            </w:pPr>
          </w:p>
        </w:tc>
        <w:tc>
          <w:tcPr>
            <w:tcW w:w="2279" w:type="dxa"/>
            <w:vAlign w:val="center"/>
          </w:tcPr>
          <w:p w14:paraId="2595511C">
            <w:pPr>
              <w:spacing w:line="360" w:lineRule="auto"/>
              <w:jc w:val="center"/>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参数名称1</w:t>
            </w:r>
          </w:p>
        </w:tc>
        <w:tc>
          <w:tcPr>
            <w:tcW w:w="1340" w:type="dxa"/>
            <w:vAlign w:val="center"/>
          </w:tcPr>
          <w:p w14:paraId="2E917D89">
            <w:pPr>
              <w:rPr>
                <w:rFonts w:asciiTheme="minorEastAsia" w:hAnsiTheme="minorEastAsia" w:eastAsiaTheme="minorEastAsia" w:cstheme="minorEastAsia"/>
                <w:bCs/>
                <w:color w:val="auto"/>
                <w:szCs w:val="21"/>
                <w:highlight w:val="none"/>
              </w:rPr>
            </w:pPr>
          </w:p>
        </w:tc>
        <w:tc>
          <w:tcPr>
            <w:tcW w:w="1341" w:type="dxa"/>
            <w:vAlign w:val="center"/>
          </w:tcPr>
          <w:p w14:paraId="27151419">
            <w:pPr>
              <w:rPr>
                <w:rFonts w:asciiTheme="minorEastAsia" w:hAnsiTheme="minorEastAsia" w:eastAsiaTheme="minorEastAsia" w:cstheme="minorEastAsia"/>
                <w:bCs/>
                <w:color w:val="auto"/>
                <w:szCs w:val="21"/>
                <w:highlight w:val="none"/>
              </w:rPr>
            </w:pPr>
          </w:p>
        </w:tc>
        <w:tc>
          <w:tcPr>
            <w:tcW w:w="1341" w:type="dxa"/>
            <w:vAlign w:val="center"/>
          </w:tcPr>
          <w:p w14:paraId="2AC15CA1">
            <w:pPr>
              <w:rPr>
                <w:rFonts w:asciiTheme="minorEastAsia" w:hAnsiTheme="minorEastAsia" w:eastAsiaTheme="minorEastAsia" w:cstheme="minorEastAsia"/>
                <w:bCs/>
                <w:color w:val="auto"/>
                <w:szCs w:val="21"/>
                <w:highlight w:val="none"/>
              </w:rPr>
            </w:pPr>
          </w:p>
        </w:tc>
        <w:tc>
          <w:tcPr>
            <w:tcW w:w="1341" w:type="dxa"/>
            <w:vAlign w:val="center"/>
          </w:tcPr>
          <w:p w14:paraId="69DF1109">
            <w:pPr>
              <w:rPr>
                <w:rFonts w:asciiTheme="minorEastAsia" w:hAnsiTheme="minorEastAsia" w:eastAsiaTheme="minorEastAsia" w:cstheme="minorEastAsia"/>
                <w:bCs/>
                <w:color w:val="auto"/>
                <w:szCs w:val="21"/>
                <w:highlight w:val="none"/>
              </w:rPr>
            </w:pPr>
          </w:p>
        </w:tc>
        <w:tc>
          <w:tcPr>
            <w:tcW w:w="1101" w:type="dxa"/>
            <w:vAlign w:val="center"/>
          </w:tcPr>
          <w:p w14:paraId="00D442ED">
            <w:pPr>
              <w:rPr>
                <w:rFonts w:asciiTheme="minorEastAsia" w:hAnsiTheme="minorEastAsia" w:eastAsiaTheme="minorEastAsia" w:cstheme="minorEastAsia"/>
                <w:bCs/>
                <w:color w:val="auto"/>
                <w:szCs w:val="21"/>
                <w:highlight w:val="none"/>
              </w:rPr>
            </w:pPr>
          </w:p>
        </w:tc>
      </w:tr>
      <w:tr w14:paraId="714E6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 w:hRule="atLeast"/>
          <w:jc w:val="center"/>
        </w:trPr>
        <w:tc>
          <w:tcPr>
            <w:tcW w:w="742" w:type="dxa"/>
            <w:vMerge w:val="continue"/>
            <w:vAlign w:val="center"/>
          </w:tcPr>
          <w:p w14:paraId="69A80324">
            <w:pPr>
              <w:jc w:val="center"/>
              <w:rPr>
                <w:rFonts w:asciiTheme="minorEastAsia" w:hAnsiTheme="minorEastAsia" w:eastAsiaTheme="minorEastAsia" w:cstheme="minorEastAsia"/>
                <w:bCs/>
                <w:color w:val="auto"/>
                <w:sz w:val="18"/>
                <w:szCs w:val="15"/>
                <w:highlight w:val="none"/>
              </w:rPr>
            </w:pPr>
          </w:p>
        </w:tc>
        <w:tc>
          <w:tcPr>
            <w:tcW w:w="2279" w:type="dxa"/>
            <w:vAlign w:val="center"/>
          </w:tcPr>
          <w:p w14:paraId="4AF1AB6D">
            <w:pPr>
              <w:spacing w:line="360" w:lineRule="auto"/>
              <w:jc w:val="center"/>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参数名称2</w:t>
            </w:r>
          </w:p>
        </w:tc>
        <w:tc>
          <w:tcPr>
            <w:tcW w:w="1340" w:type="dxa"/>
            <w:vAlign w:val="center"/>
          </w:tcPr>
          <w:p w14:paraId="2F5E7FF5">
            <w:pPr>
              <w:rPr>
                <w:rFonts w:asciiTheme="minorEastAsia" w:hAnsiTheme="minorEastAsia" w:eastAsiaTheme="minorEastAsia" w:cstheme="minorEastAsia"/>
                <w:bCs/>
                <w:color w:val="auto"/>
                <w:szCs w:val="21"/>
                <w:highlight w:val="none"/>
              </w:rPr>
            </w:pPr>
          </w:p>
        </w:tc>
        <w:tc>
          <w:tcPr>
            <w:tcW w:w="1341" w:type="dxa"/>
            <w:vAlign w:val="center"/>
          </w:tcPr>
          <w:p w14:paraId="3F5DAEAF">
            <w:pPr>
              <w:rPr>
                <w:rFonts w:asciiTheme="minorEastAsia" w:hAnsiTheme="minorEastAsia" w:eastAsiaTheme="minorEastAsia" w:cstheme="minorEastAsia"/>
                <w:bCs/>
                <w:color w:val="auto"/>
                <w:szCs w:val="21"/>
                <w:highlight w:val="none"/>
              </w:rPr>
            </w:pPr>
          </w:p>
        </w:tc>
        <w:tc>
          <w:tcPr>
            <w:tcW w:w="1341" w:type="dxa"/>
            <w:vAlign w:val="center"/>
          </w:tcPr>
          <w:p w14:paraId="18C7261E">
            <w:pPr>
              <w:rPr>
                <w:rFonts w:asciiTheme="minorEastAsia" w:hAnsiTheme="minorEastAsia" w:eastAsiaTheme="minorEastAsia" w:cstheme="minorEastAsia"/>
                <w:bCs/>
                <w:color w:val="auto"/>
                <w:szCs w:val="21"/>
                <w:highlight w:val="none"/>
              </w:rPr>
            </w:pPr>
          </w:p>
        </w:tc>
        <w:tc>
          <w:tcPr>
            <w:tcW w:w="1341" w:type="dxa"/>
            <w:vAlign w:val="center"/>
          </w:tcPr>
          <w:p w14:paraId="67BD3FE6">
            <w:pPr>
              <w:rPr>
                <w:rFonts w:asciiTheme="minorEastAsia" w:hAnsiTheme="minorEastAsia" w:eastAsiaTheme="minorEastAsia" w:cstheme="minorEastAsia"/>
                <w:bCs/>
                <w:color w:val="auto"/>
                <w:szCs w:val="21"/>
                <w:highlight w:val="none"/>
              </w:rPr>
            </w:pPr>
          </w:p>
        </w:tc>
        <w:tc>
          <w:tcPr>
            <w:tcW w:w="1101" w:type="dxa"/>
            <w:vAlign w:val="center"/>
          </w:tcPr>
          <w:p w14:paraId="30E3D9A4">
            <w:pPr>
              <w:rPr>
                <w:rFonts w:asciiTheme="minorEastAsia" w:hAnsiTheme="minorEastAsia" w:eastAsiaTheme="minorEastAsia" w:cstheme="minorEastAsia"/>
                <w:bCs/>
                <w:color w:val="auto"/>
                <w:szCs w:val="21"/>
                <w:highlight w:val="none"/>
              </w:rPr>
            </w:pPr>
          </w:p>
        </w:tc>
      </w:tr>
      <w:tr w14:paraId="57B1B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42" w:type="dxa"/>
            <w:vAlign w:val="center"/>
          </w:tcPr>
          <w:p w14:paraId="5995D9A4">
            <w:pPr>
              <w:jc w:val="center"/>
              <w:rPr>
                <w:rFonts w:asciiTheme="minorEastAsia" w:hAnsiTheme="minorEastAsia" w:eastAsiaTheme="minorEastAsia" w:cstheme="minorEastAsia"/>
                <w:bCs/>
                <w:color w:val="auto"/>
                <w:sz w:val="18"/>
                <w:szCs w:val="15"/>
                <w:highlight w:val="none"/>
              </w:rPr>
            </w:pPr>
          </w:p>
        </w:tc>
        <w:tc>
          <w:tcPr>
            <w:tcW w:w="2279" w:type="dxa"/>
            <w:vAlign w:val="center"/>
          </w:tcPr>
          <w:p w14:paraId="2CEC4702">
            <w:pPr>
              <w:spacing w:line="360" w:lineRule="auto"/>
              <w:jc w:val="center"/>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p>
        </w:tc>
        <w:tc>
          <w:tcPr>
            <w:tcW w:w="1340" w:type="dxa"/>
            <w:vAlign w:val="center"/>
          </w:tcPr>
          <w:p w14:paraId="1E2414E3">
            <w:pPr>
              <w:rPr>
                <w:rFonts w:asciiTheme="minorEastAsia" w:hAnsiTheme="minorEastAsia" w:eastAsiaTheme="minorEastAsia" w:cstheme="minorEastAsia"/>
                <w:bCs/>
                <w:color w:val="auto"/>
                <w:szCs w:val="21"/>
                <w:highlight w:val="none"/>
              </w:rPr>
            </w:pPr>
          </w:p>
        </w:tc>
        <w:tc>
          <w:tcPr>
            <w:tcW w:w="1341" w:type="dxa"/>
            <w:vAlign w:val="center"/>
          </w:tcPr>
          <w:p w14:paraId="7A165B51">
            <w:pPr>
              <w:rPr>
                <w:rFonts w:asciiTheme="minorEastAsia" w:hAnsiTheme="minorEastAsia" w:eastAsiaTheme="minorEastAsia" w:cstheme="minorEastAsia"/>
                <w:bCs/>
                <w:color w:val="auto"/>
                <w:szCs w:val="21"/>
                <w:highlight w:val="none"/>
              </w:rPr>
            </w:pPr>
          </w:p>
        </w:tc>
        <w:tc>
          <w:tcPr>
            <w:tcW w:w="1341" w:type="dxa"/>
            <w:vAlign w:val="center"/>
          </w:tcPr>
          <w:p w14:paraId="2A1A8D1C">
            <w:pPr>
              <w:rPr>
                <w:rFonts w:asciiTheme="minorEastAsia" w:hAnsiTheme="minorEastAsia" w:eastAsiaTheme="minorEastAsia" w:cstheme="minorEastAsia"/>
                <w:bCs/>
                <w:color w:val="auto"/>
                <w:szCs w:val="21"/>
                <w:highlight w:val="none"/>
              </w:rPr>
            </w:pPr>
          </w:p>
        </w:tc>
        <w:tc>
          <w:tcPr>
            <w:tcW w:w="1341" w:type="dxa"/>
            <w:vAlign w:val="center"/>
          </w:tcPr>
          <w:p w14:paraId="4848F506">
            <w:pPr>
              <w:rPr>
                <w:rFonts w:asciiTheme="minorEastAsia" w:hAnsiTheme="minorEastAsia" w:eastAsiaTheme="minorEastAsia" w:cstheme="minorEastAsia"/>
                <w:bCs/>
                <w:color w:val="auto"/>
                <w:szCs w:val="21"/>
                <w:highlight w:val="none"/>
              </w:rPr>
            </w:pPr>
          </w:p>
        </w:tc>
        <w:tc>
          <w:tcPr>
            <w:tcW w:w="1101" w:type="dxa"/>
            <w:vAlign w:val="center"/>
          </w:tcPr>
          <w:p w14:paraId="526F78BD">
            <w:pPr>
              <w:rPr>
                <w:rFonts w:asciiTheme="minorEastAsia" w:hAnsiTheme="minorEastAsia" w:eastAsiaTheme="minorEastAsia" w:cstheme="minorEastAsia"/>
                <w:bCs/>
                <w:color w:val="auto"/>
                <w:szCs w:val="21"/>
                <w:highlight w:val="none"/>
              </w:rPr>
            </w:pPr>
          </w:p>
        </w:tc>
      </w:tr>
      <w:tr w14:paraId="7663A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742" w:type="dxa"/>
            <w:vMerge w:val="restart"/>
            <w:vAlign w:val="center"/>
          </w:tcPr>
          <w:p w14:paraId="7CBB072E">
            <w:pPr>
              <w:jc w:val="center"/>
              <w:rPr>
                <w:rFonts w:asciiTheme="minorEastAsia" w:hAnsiTheme="minorEastAsia" w:eastAsiaTheme="minorEastAsia" w:cstheme="minorEastAsia"/>
                <w:bCs/>
                <w:color w:val="auto"/>
                <w:sz w:val="18"/>
                <w:szCs w:val="15"/>
                <w:highlight w:val="none"/>
              </w:rPr>
            </w:pPr>
            <w:r>
              <w:rPr>
                <w:rFonts w:hint="eastAsia" w:asciiTheme="minorEastAsia" w:hAnsiTheme="minorEastAsia" w:eastAsiaTheme="minorEastAsia" w:cstheme="minorEastAsia"/>
                <w:bCs/>
                <w:color w:val="auto"/>
                <w:sz w:val="18"/>
                <w:szCs w:val="15"/>
                <w:highlight w:val="none"/>
              </w:rPr>
              <w:t>2</w:t>
            </w:r>
          </w:p>
        </w:tc>
        <w:tc>
          <w:tcPr>
            <w:tcW w:w="2279" w:type="dxa"/>
            <w:vAlign w:val="center"/>
          </w:tcPr>
          <w:p w14:paraId="05A30483">
            <w:pPr>
              <w:spacing w:line="360" w:lineRule="auto"/>
              <w:jc w:val="center"/>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货物或配置名称1</w:t>
            </w:r>
          </w:p>
        </w:tc>
        <w:tc>
          <w:tcPr>
            <w:tcW w:w="1340" w:type="dxa"/>
            <w:vAlign w:val="center"/>
          </w:tcPr>
          <w:p w14:paraId="3E26D16A">
            <w:pPr>
              <w:rPr>
                <w:rFonts w:asciiTheme="minorEastAsia" w:hAnsiTheme="minorEastAsia" w:eastAsiaTheme="minorEastAsia" w:cstheme="minorEastAsia"/>
                <w:bCs/>
                <w:color w:val="auto"/>
                <w:szCs w:val="21"/>
                <w:highlight w:val="none"/>
              </w:rPr>
            </w:pPr>
          </w:p>
        </w:tc>
        <w:tc>
          <w:tcPr>
            <w:tcW w:w="1341" w:type="dxa"/>
            <w:vAlign w:val="center"/>
          </w:tcPr>
          <w:p w14:paraId="5B64CC59">
            <w:pPr>
              <w:rPr>
                <w:rFonts w:asciiTheme="minorEastAsia" w:hAnsiTheme="minorEastAsia" w:eastAsiaTheme="minorEastAsia" w:cstheme="minorEastAsia"/>
                <w:bCs/>
                <w:color w:val="auto"/>
                <w:szCs w:val="21"/>
                <w:highlight w:val="none"/>
              </w:rPr>
            </w:pPr>
          </w:p>
        </w:tc>
        <w:tc>
          <w:tcPr>
            <w:tcW w:w="1341" w:type="dxa"/>
            <w:vAlign w:val="center"/>
          </w:tcPr>
          <w:p w14:paraId="16B8B02A">
            <w:pPr>
              <w:rPr>
                <w:rFonts w:asciiTheme="minorEastAsia" w:hAnsiTheme="minorEastAsia" w:eastAsiaTheme="minorEastAsia" w:cstheme="minorEastAsia"/>
                <w:bCs/>
                <w:color w:val="auto"/>
                <w:szCs w:val="21"/>
                <w:highlight w:val="none"/>
              </w:rPr>
            </w:pPr>
          </w:p>
        </w:tc>
        <w:tc>
          <w:tcPr>
            <w:tcW w:w="1341" w:type="dxa"/>
            <w:vAlign w:val="center"/>
          </w:tcPr>
          <w:p w14:paraId="37E2957B">
            <w:pPr>
              <w:rPr>
                <w:rFonts w:asciiTheme="minorEastAsia" w:hAnsiTheme="minorEastAsia" w:eastAsiaTheme="minorEastAsia" w:cstheme="minorEastAsia"/>
                <w:bCs/>
                <w:color w:val="auto"/>
                <w:szCs w:val="21"/>
                <w:highlight w:val="none"/>
              </w:rPr>
            </w:pPr>
          </w:p>
        </w:tc>
        <w:tc>
          <w:tcPr>
            <w:tcW w:w="1101" w:type="dxa"/>
            <w:vAlign w:val="center"/>
          </w:tcPr>
          <w:p w14:paraId="633D047F">
            <w:pPr>
              <w:rPr>
                <w:rFonts w:asciiTheme="minorEastAsia" w:hAnsiTheme="minorEastAsia" w:eastAsiaTheme="minorEastAsia" w:cstheme="minorEastAsia"/>
                <w:bCs/>
                <w:color w:val="auto"/>
                <w:szCs w:val="21"/>
                <w:highlight w:val="none"/>
              </w:rPr>
            </w:pPr>
          </w:p>
        </w:tc>
      </w:tr>
      <w:tr w14:paraId="34ECB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 w:hRule="atLeast"/>
          <w:jc w:val="center"/>
        </w:trPr>
        <w:tc>
          <w:tcPr>
            <w:tcW w:w="742" w:type="dxa"/>
            <w:vMerge w:val="continue"/>
            <w:vAlign w:val="center"/>
          </w:tcPr>
          <w:p w14:paraId="0456AF8B">
            <w:pPr>
              <w:jc w:val="center"/>
              <w:rPr>
                <w:rFonts w:asciiTheme="minorEastAsia" w:hAnsiTheme="minorEastAsia" w:eastAsiaTheme="minorEastAsia" w:cstheme="minorEastAsia"/>
                <w:bCs/>
                <w:color w:val="auto"/>
                <w:sz w:val="18"/>
                <w:szCs w:val="15"/>
                <w:highlight w:val="none"/>
              </w:rPr>
            </w:pPr>
          </w:p>
        </w:tc>
        <w:tc>
          <w:tcPr>
            <w:tcW w:w="2279" w:type="dxa"/>
            <w:vAlign w:val="center"/>
          </w:tcPr>
          <w:p w14:paraId="02A5F77B">
            <w:pPr>
              <w:spacing w:line="360" w:lineRule="auto"/>
              <w:jc w:val="center"/>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参数名称1</w:t>
            </w:r>
          </w:p>
        </w:tc>
        <w:tc>
          <w:tcPr>
            <w:tcW w:w="1340" w:type="dxa"/>
            <w:vAlign w:val="center"/>
          </w:tcPr>
          <w:p w14:paraId="67E22B46">
            <w:pPr>
              <w:rPr>
                <w:rFonts w:asciiTheme="minorEastAsia" w:hAnsiTheme="minorEastAsia" w:eastAsiaTheme="minorEastAsia" w:cstheme="minorEastAsia"/>
                <w:bCs/>
                <w:color w:val="auto"/>
                <w:szCs w:val="21"/>
                <w:highlight w:val="none"/>
              </w:rPr>
            </w:pPr>
          </w:p>
        </w:tc>
        <w:tc>
          <w:tcPr>
            <w:tcW w:w="1341" w:type="dxa"/>
            <w:vAlign w:val="center"/>
          </w:tcPr>
          <w:p w14:paraId="374B5261">
            <w:pPr>
              <w:rPr>
                <w:rFonts w:asciiTheme="minorEastAsia" w:hAnsiTheme="minorEastAsia" w:eastAsiaTheme="minorEastAsia" w:cstheme="minorEastAsia"/>
                <w:bCs/>
                <w:color w:val="auto"/>
                <w:szCs w:val="21"/>
                <w:highlight w:val="none"/>
              </w:rPr>
            </w:pPr>
          </w:p>
        </w:tc>
        <w:tc>
          <w:tcPr>
            <w:tcW w:w="1341" w:type="dxa"/>
            <w:vAlign w:val="center"/>
          </w:tcPr>
          <w:p w14:paraId="5CE1B092">
            <w:pPr>
              <w:rPr>
                <w:rFonts w:asciiTheme="minorEastAsia" w:hAnsiTheme="minorEastAsia" w:eastAsiaTheme="minorEastAsia" w:cstheme="minorEastAsia"/>
                <w:bCs/>
                <w:color w:val="auto"/>
                <w:szCs w:val="21"/>
                <w:highlight w:val="none"/>
              </w:rPr>
            </w:pPr>
          </w:p>
        </w:tc>
        <w:tc>
          <w:tcPr>
            <w:tcW w:w="1341" w:type="dxa"/>
            <w:vAlign w:val="center"/>
          </w:tcPr>
          <w:p w14:paraId="33125953">
            <w:pPr>
              <w:rPr>
                <w:rFonts w:asciiTheme="minorEastAsia" w:hAnsiTheme="minorEastAsia" w:eastAsiaTheme="minorEastAsia" w:cstheme="minorEastAsia"/>
                <w:bCs/>
                <w:color w:val="auto"/>
                <w:szCs w:val="21"/>
                <w:highlight w:val="none"/>
              </w:rPr>
            </w:pPr>
          </w:p>
        </w:tc>
        <w:tc>
          <w:tcPr>
            <w:tcW w:w="1101" w:type="dxa"/>
            <w:vAlign w:val="center"/>
          </w:tcPr>
          <w:p w14:paraId="271970A2">
            <w:pPr>
              <w:rPr>
                <w:rFonts w:asciiTheme="minorEastAsia" w:hAnsiTheme="minorEastAsia" w:eastAsiaTheme="minorEastAsia" w:cstheme="minorEastAsia"/>
                <w:bCs/>
                <w:color w:val="auto"/>
                <w:szCs w:val="21"/>
                <w:highlight w:val="none"/>
              </w:rPr>
            </w:pPr>
          </w:p>
        </w:tc>
      </w:tr>
      <w:tr w14:paraId="18772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 w:hRule="atLeast"/>
          <w:jc w:val="center"/>
        </w:trPr>
        <w:tc>
          <w:tcPr>
            <w:tcW w:w="742" w:type="dxa"/>
            <w:vMerge w:val="continue"/>
            <w:vAlign w:val="center"/>
          </w:tcPr>
          <w:p w14:paraId="0FED92A5">
            <w:pPr>
              <w:jc w:val="center"/>
              <w:rPr>
                <w:rFonts w:asciiTheme="minorEastAsia" w:hAnsiTheme="minorEastAsia" w:eastAsiaTheme="minorEastAsia" w:cstheme="minorEastAsia"/>
                <w:bCs/>
                <w:color w:val="auto"/>
                <w:sz w:val="18"/>
                <w:szCs w:val="15"/>
                <w:highlight w:val="none"/>
              </w:rPr>
            </w:pPr>
          </w:p>
        </w:tc>
        <w:tc>
          <w:tcPr>
            <w:tcW w:w="2279" w:type="dxa"/>
            <w:vAlign w:val="center"/>
          </w:tcPr>
          <w:p w14:paraId="3489E8FB">
            <w:pPr>
              <w:spacing w:line="360" w:lineRule="auto"/>
              <w:jc w:val="center"/>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参数名称2</w:t>
            </w:r>
          </w:p>
        </w:tc>
        <w:tc>
          <w:tcPr>
            <w:tcW w:w="1340" w:type="dxa"/>
            <w:vAlign w:val="center"/>
          </w:tcPr>
          <w:p w14:paraId="7ECCA3A2">
            <w:pPr>
              <w:rPr>
                <w:rFonts w:asciiTheme="minorEastAsia" w:hAnsiTheme="minorEastAsia" w:eastAsiaTheme="minorEastAsia" w:cstheme="minorEastAsia"/>
                <w:bCs/>
                <w:color w:val="auto"/>
                <w:szCs w:val="21"/>
                <w:highlight w:val="none"/>
              </w:rPr>
            </w:pPr>
          </w:p>
        </w:tc>
        <w:tc>
          <w:tcPr>
            <w:tcW w:w="1341" w:type="dxa"/>
            <w:vAlign w:val="center"/>
          </w:tcPr>
          <w:p w14:paraId="3F9BB908">
            <w:pPr>
              <w:rPr>
                <w:rFonts w:asciiTheme="minorEastAsia" w:hAnsiTheme="minorEastAsia" w:eastAsiaTheme="minorEastAsia" w:cstheme="minorEastAsia"/>
                <w:bCs/>
                <w:color w:val="auto"/>
                <w:szCs w:val="21"/>
                <w:highlight w:val="none"/>
              </w:rPr>
            </w:pPr>
          </w:p>
        </w:tc>
        <w:tc>
          <w:tcPr>
            <w:tcW w:w="1341" w:type="dxa"/>
            <w:vAlign w:val="center"/>
          </w:tcPr>
          <w:p w14:paraId="4EC714C4">
            <w:pPr>
              <w:rPr>
                <w:rFonts w:asciiTheme="minorEastAsia" w:hAnsiTheme="minorEastAsia" w:eastAsiaTheme="minorEastAsia" w:cstheme="minorEastAsia"/>
                <w:bCs/>
                <w:color w:val="auto"/>
                <w:szCs w:val="21"/>
                <w:highlight w:val="none"/>
              </w:rPr>
            </w:pPr>
          </w:p>
        </w:tc>
        <w:tc>
          <w:tcPr>
            <w:tcW w:w="1341" w:type="dxa"/>
            <w:vAlign w:val="center"/>
          </w:tcPr>
          <w:p w14:paraId="28C17648">
            <w:pPr>
              <w:rPr>
                <w:rFonts w:asciiTheme="minorEastAsia" w:hAnsiTheme="minorEastAsia" w:eastAsiaTheme="minorEastAsia" w:cstheme="minorEastAsia"/>
                <w:bCs/>
                <w:color w:val="auto"/>
                <w:szCs w:val="21"/>
                <w:highlight w:val="none"/>
              </w:rPr>
            </w:pPr>
          </w:p>
        </w:tc>
        <w:tc>
          <w:tcPr>
            <w:tcW w:w="1101" w:type="dxa"/>
            <w:vAlign w:val="center"/>
          </w:tcPr>
          <w:p w14:paraId="412B8AF7">
            <w:pPr>
              <w:rPr>
                <w:rFonts w:asciiTheme="minorEastAsia" w:hAnsiTheme="minorEastAsia" w:eastAsiaTheme="minorEastAsia" w:cstheme="minorEastAsia"/>
                <w:bCs/>
                <w:color w:val="auto"/>
                <w:szCs w:val="21"/>
                <w:highlight w:val="none"/>
              </w:rPr>
            </w:pPr>
          </w:p>
        </w:tc>
      </w:tr>
      <w:tr w14:paraId="4CC5C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42" w:type="dxa"/>
            <w:vAlign w:val="center"/>
          </w:tcPr>
          <w:p w14:paraId="4ED67449">
            <w:pPr>
              <w:jc w:val="center"/>
              <w:rPr>
                <w:rFonts w:asciiTheme="minorEastAsia" w:hAnsiTheme="minorEastAsia" w:eastAsiaTheme="minorEastAsia" w:cstheme="minorEastAsia"/>
                <w:bCs/>
                <w:color w:val="auto"/>
                <w:sz w:val="18"/>
                <w:szCs w:val="15"/>
                <w:highlight w:val="none"/>
              </w:rPr>
            </w:pPr>
            <w:r>
              <w:rPr>
                <w:rFonts w:hint="eastAsia" w:asciiTheme="minorEastAsia" w:hAnsiTheme="minorEastAsia" w:eastAsiaTheme="minorEastAsia" w:cstheme="minorEastAsia"/>
                <w:bCs/>
                <w:color w:val="auto"/>
                <w:sz w:val="18"/>
                <w:szCs w:val="15"/>
                <w:highlight w:val="none"/>
              </w:rPr>
              <w:t>3</w:t>
            </w:r>
          </w:p>
        </w:tc>
        <w:tc>
          <w:tcPr>
            <w:tcW w:w="2279" w:type="dxa"/>
            <w:vAlign w:val="center"/>
          </w:tcPr>
          <w:p w14:paraId="1BCB377A">
            <w:pPr>
              <w:spacing w:line="360" w:lineRule="auto"/>
              <w:jc w:val="center"/>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商务条款号1</w:t>
            </w:r>
          </w:p>
        </w:tc>
        <w:tc>
          <w:tcPr>
            <w:tcW w:w="1340" w:type="dxa"/>
            <w:vAlign w:val="center"/>
          </w:tcPr>
          <w:p w14:paraId="5AF14A17">
            <w:pPr>
              <w:rPr>
                <w:rFonts w:asciiTheme="minorEastAsia" w:hAnsiTheme="minorEastAsia" w:eastAsiaTheme="minorEastAsia" w:cstheme="minorEastAsia"/>
                <w:bCs/>
                <w:color w:val="auto"/>
                <w:szCs w:val="21"/>
                <w:highlight w:val="none"/>
              </w:rPr>
            </w:pPr>
          </w:p>
        </w:tc>
        <w:tc>
          <w:tcPr>
            <w:tcW w:w="1341" w:type="dxa"/>
            <w:vAlign w:val="center"/>
          </w:tcPr>
          <w:p w14:paraId="192827B2">
            <w:pPr>
              <w:rPr>
                <w:rFonts w:asciiTheme="minorEastAsia" w:hAnsiTheme="minorEastAsia" w:eastAsiaTheme="minorEastAsia" w:cstheme="minorEastAsia"/>
                <w:bCs/>
                <w:color w:val="auto"/>
                <w:szCs w:val="21"/>
                <w:highlight w:val="none"/>
              </w:rPr>
            </w:pPr>
          </w:p>
        </w:tc>
        <w:tc>
          <w:tcPr>
            <w:tcW w:w="1341" w:type="dxa"/>
            <w:vAlign w:val="center"/>
          </w:tcPr>
          <w:p w14:paraId="07CA50B0">
            <w:pPr>
              <w:rPr>
                <w:rFonts w:asciiTheme="minorEastAsia" w:hAnsiTheme="minorEastAsia" w:eastAsiaTheme="minorEastAsia" w:cstheme="minorEastAsia"/>
                <w:bCs/>
                <w:color w:val="auto"/>
                <w:szCs w:val="21"/>
                <w:highlight w:val="none"/>
              </w:rPr>
            </w:pPr>
          </w:p>
        </w:tc>
        <w:tc>
          <w:tcPr>
            <w:tcW w:w="1341" w:type="dxa"/>
            <w:vAlign w:val="center"/>
          </w:tcPr>
          <w:p w14:paraId="0621B3A5">
            <w:pPr>
              <w:rPr>
                <w:rFonts w:asciiTheme="minorEastAsia" w:hAnsiTheme="minorEastAsia" w:eastAsiaTheme="minorEastAsia" w:cstheme="minorEastAsia"/>
                <w:bCs/>
                <w:color w:val="auto"/>
                <w:szCs w:val="21"/>
                <w:highlight w:val="none"/>
              </w:rPr>
            </w:pPr>
          </w:p>
        </w:tc>
        <w:tc>
          <w:tcPr>
            <w:tcW w:w="1101" w:type="dxa"/>
            <w:vAlign w:val="center"/>
          </w:tcPr>
          <w:p w14:paraId="4A2A14F9">
            <w:pPr>
              <w:rPr>
                <w:rFonts w:asciiTheme="minorEastAsia" w:hAnsiTheme="minorEastAsia" w:eastAsiaTheme="minorEastAsia" w:cstheme="minorEastAsia"/>
                <w:bCs/>
                <w:color w:val="auto"/>
                <w:szCs w:val="21"/>
                <w:highlight w:val="none"/>
              </w:rPr>
            </w:pPr>
          </w:p>
        </w:tc>
      </w:tr>
      <w:tr w14:paraId="3EE00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42" w:type="dxa"/>
            <w:vAlign w:val="center"/>
          </w:tcPr>
          <w:p w14:paraId="704C1E76">
            <w:pPr>
              <w:jc w:val="center"/>
              <w:rPr>
                <w:rFonts w:asciiTheme="minorEastAsia" w:hAnsiTheme="minorEastAsia" w:eastAsiaTheme="minorEastAsia" w:cstheme="minorEastAsia"/>
                <w:bCs/>
                <w:color w:val="auto"/>
                <w:sz w:val="18"/>
                <w:szCs w:val="15"/>
                <w:highlight w:val="none"/>
              </w:rPr>
            </w:pPr>
            <w:r>
              <w:rPr>
                <w:rFonts w:hint="eastAsia" w:asciiTheme="minorEastAsia" w:hAnsiTheme="minorEastAsia" w:eastAsiaTheme="minorEastAsia" w:cstheme="minorEastAsia"/>
                <w:bCs/>
                <w:color w:val="auto"/>
                <w:sz w:val="18"/>
                <w:szCs w:val="15"/>
                <w:highlight w:val="none"/>
              </w:rPr>
              <w:t>4</w:t>
            </w:r>
          </w:p>
        </w:tc>
        <w:tc>
          <w:tcPr>
            <w:tcW w:w="2279" w:type="dxa"/>
            <w:vAlign w:val="center"/>
          </w:tcPr>
          <w:p w14:paraId="494278F1">
            <w:pPr>
              <w:spacing w:line="360" w:lineRule="auto"/>
              <w:jc w:val="center"/>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商务条款号2</w:t>
            </w:r>
          </w:p>
        </w:tc>
        <w:tc>
          <w:tcPr>
            <w:tcW w:w="1340" w:type="dxa"/>
            <w:vAlign w:val="center"/>
          </w:tcPr>
          <w:p w14:paraId="5C92FF0D">
            <w:pPr>
              <w:rPr>
                <w:rFonts w:asciiTheme="minorEastAsia" w:hAnsiTheme="minorEastAsia" w:eastAsiaTheme="minorEastAsia" w:cstheme="minorEastAsia"/>
                <w:bCs/>
                <w:color w:val="auto"/>
                <w:szCs w:val="21"/>
                <w:highlight w:val="none"/>
              </w:rPr>
            </w:pPr>
          </w:p>
        </w:tc>
        <w:tc>
          <w:tcPr>
            <w:tcW w:w="1341" w:type="dxa"/>
            <w:vAlign w:val="center"/>
          </w:tcPr>
          <w:p w14:paraId="74E6854B">
            <w:pPr>
              <w:rPr>
                <w:rFonts w:asciiTheme="minorEastAsia" w:hAnsiTheme="minorEastAsia" w:eastAsiaTheme="minorEastAsia" w:cstheme="minorEastAsia"/>
                <w:bCs/>
                <w:color w:val="auto"/>
                <w:szCs w:val="21"/>
                <w:highlight w:val="none"/>
              </w:rPr>
            </w:pPr>
          </w:p>
        </w:tc>
        <w:tc>
          <w:tcPr>
            <w:tcW w:w="1341" w:type="dxa"/>
            <w:vAlign w:val="center"/>
          </w:tcPr>
          <w:p w14:paraId="1A89BA0D">
            <w:pPr>
              <w:rPr>
                <w:rFonts w:asciiTheme="minorEastAsia" w:hAnsiTheme="minorEastAsia" w:eastAsiaTheme="minorEastAsia" w:cstheme="minorEastAsia"/>
                <w:bCs/>
                <w:color w:val="auto"/>
                <w:szCs w:val="21"/>
                <w:highlight w:val="none"/>
              </w:rPr>
            </w:pPr>
          </w:p>
        </w:tc>
        <w:tc>
          <w:tcPr>
            <w:tcW w:w="1341" w:type="dxa"/>
            <w:vAlign w:val="center"/>
          </w:tcPr>
          <w:p w14:paraId="34742EF7">
            <w:pPr>
              <w:rPr>
                <w:rFonts w:asciiTheme="minorEastAsia" w:hAnsiTheme="minorEastAsia" w:eastAsiaTheme="minorEastAsia" w:cstheme="minorEastAsia"/>
                <w:bCs/>
                <w:color w:val="auto"/>
                <w:szCs w:val="21"/>
                <w:highlight w:val="none"/>
              </w:rPr>
            </w:pPr>
          </w:p>
        </w:tc>
        <w:tc>
          <w:tcPr>
            <w:tcW w:w="1101" w:type="dxa"/>
            <w:vAlign w:val="center"/>
          </w:tcPr>
          <w:p w14:paraId="18ADD378">
            <w:pPr>
              <w:rPr>
                <w:rFonts w:asciiTheme="minorEastAsia" w:hAnsiTheme="minorEastAsia" w:eastAsiaTheme="minorEastAsia" w:cstheme="minorEastAsia"/>
                <w:bCs/>
                <w:color w:val="auto"/>
                <w:szCs w:val="21"/>
                <w:highlight w:val="none"/>
              </w:rPr>
            </w:pPr>
          </w:p>
        </w:tc>
      </w:tr>
      <w:tr w14:paraId="50E7E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42" w:type="dxa"/>
            <w:vAlign w:val="center"/>
          </w:tcPr>
          <w:p w14:paraId="551A6FB4">
            <w:pPr>
              <w:rPr>
                <w:rFonts w:asciiTheme="minorEastAsia" w:hAnsiTheme="minorEastAsia" w:eastAsiaTheme="minorEastAsia" w:cstheme="minorEastAsia"/>
                <w:bCs/>
                <w:color w:val="auto"/>
                <w:szCs w:val="21"/>
                <w:highlight w:val="none"/>
              </w:rPr>
            </w:pPr>
          </w:p>
        </w:tc>
        <w:tc>
          <w:tcPr>
            <w:tcW w:w="2279" w:type="dxa"/>
            <w:vAlign w:val="center"/>
          </w:tcPr>
          <w:p w14:paraId="3BEC3FBA">
            <w:pPr>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w:t>
            </w:r>
          </w:p>
        </w:tc>
        <w:tc>
          <w:tcPr>
            <w:tcW w:w="1340" w:type="dxa"/>
            <w:vAlign w:val="center"/>
          </w:tcPr>
          <w:p w14:paraId="47E2238B">
            <w:pPr>
              <w:rPr>
                <w:rFonts w:asciiTheme="minorEastAsia" w:hAnsiTheme="minorEastAsia" w:eastAsiaTheme="minorEastAsia" w:cstheme="minorEastAsia"/>
                <w:bCs/>
                <w:color w:val="auto"/>
                <w:szCs w:val="21"/>
                <w:highlight w:val="none"/>
              </w:rPr>
            </w:pPr>
          </w:p>
        </w:tc>
        <w:tc>
          <w:tcPr>
            <w:tcW w:w="1341" w:type="dxa"/>
            <w:vAlign w:val="center"/>
          </w:tcPr>
          <w:p w14:paraId="2AFCF770">
            <w:pPr>
              <w:rPr>
                <w:rFonts w:asciiTheme="minorEastAsia" w:hAnsiTheme="minorEastAsia" w:eastAsiaTheme="minorEastAsia" w:cstheme="minorEastAsia"/>
                <w:bCs/>
                <w:color w:val="auto"/>
                <w:szCs w:val="21"/>
                <w:highlight w:val="none"/>
              </w:rPr>
            </w:pPr>
          </w:p>
        </w:tc>
        <w:tc>
          <w:tcPr>
            <w:tcW w:w="1341" w:type="dxa"/>
            <w:vAlign w:val="center"/>
          </w:tcPr>
          <w:p w14:paraId="7058B2E6">
            <w:pPr>
              <w:rPr>
                <w:rFonts w:asciiTheme="minorEastAsia" w:hAnsiTheme="minorEastAsia" w:eastAsiaTheme="minorEastAsia" w:cstheme="minorEastAsia"/>
                <w:bCs/>
                <w:color w:val="auto"/>
                <w:szCs w:val="21"/>
                <w:highlight w:val="none"/>
              </w:rPr>
            </w:pPr>
          </w:p>
        </w:tc>
        <w:tc>
          <w:tcPr>
            <w:tcW w:w="1341" w:type="dxa"/>
            <w:vAlign w:val="center"/>
          </w:tcPr>
          <w:p w14:paraId="71F59723">
            <w:pPr>
              <w:rPr>
                <w:rFonts w:asciiTheme="minorEastAsia" w:hAnsiTheme="minorEastAsia" w:eastAsiaTheme="minorEastAsia" w:cstheme="minorEastAsia"/>
                <w:bCs/>
                <w:color w:val="auto"/>
                <w:szCs w:val="21"/>
                <w:highlight w:val="none"/>
              </w:rPr>
            </w:pPr>
          </w:p>
        </w:tc>
        <w:tc>
          <w:tcPr>
            <w:tcW w:w="1101" w:type="dxa"/>
            <w:vAlign w:val="center"/>
          </w:tcPr>
          <w:p w14:paraId="0205EF14">
            <w:pPr>
              <w:rPr>
                <w:rFonts w:asciiTheme="minorEastAsia" w:hAnsiTheme="minorEastAsia" w:eastAsiaTheme="minorEastAsia" w:cstheme="minorEastAsia"/>
                <w:bCs/>
                <w:color w:val="auto"/>
                <w:szCs w:val="21"/>
                <w:highlight w:val="none"/>
              </w:rPr>
            </w:pPr>
          </w:p>
        </w:tc>
      </w:tr>
    </w:tbl>
    <w:p w14:paraId="5F1F14F8">
      <w:pPr>
        <w:adjustRightInd w:val="0"/>
        <w:snapToGrid w:val="0"/>
        <w:spacing w:before="156" w:beforeLines="50" w:line="360" w:lineRule="auto"/>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18"/>
          <w:highlight w:val="none"/>
        </w:rPr>
        <w:t>偏差表内容与响应文件中相关的证明材料不符的，响应文件将被采购人拒绝。</w:t>
      </w:r>
    </w:p>
    <w:p w14:paraId="60C8AD3D">
      <w:pPr>
        <w:rPr>
          <w:rFonts w:asciiTheme="minorEastAsia" w:hAnsiTheme="minorEastAsia" w:eastAsiaTheme="minorEastAsia" w:cstheme="minorEastAsia"/>
          <w:b/>
          <w:color w:val="auto"/>
          <w:szCs w:val="21"/>
          <w:highlight w:val="none"/>
        </w:rPr>
      </w:pPr>
    </w:p>
    <w:p w14:paraId="550128DB">
      <w:pPr>
        <w:rPr>
          <w:rFonts w:asciiTheme="minorEastAsia" w:hAnsiTheme="minorEastAsia" w:eastAsiaTheme="minorEastAsia" w:cstheme="minorEastAsia"/>
          <w:b/>
          <w:color w:val="auto"/>
          <w:szCs w:val="21"/>
          <w:highlight w:val="none"/>
        </w:rPr>
      </w:pPr>
    </w:p>
    <w:p w14:paraId="3EE7785B">
      <w:pPr>
        <w:snapToGrid w:val="0"/>
        <w:spacing w:line="480" w:lineRule="auto"/>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供应商名称（盖章）：_________________</w:t>
      </w:r>
    </w:p>
    <w:p w14:paraId="11575E50">
      <w:pPr>
        <w:snapToGrid w:val="0"/>
        <w:spacing w:line="480" w:lineRule="auto"/>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法定代表人（单位负责人）或</w:t>
      </w:r>
      <w:r>
        <w:rPr>
          <w:rFonts w:hint="eastAsia" w:ascii="宋体" w:hAnsi="宋体" w:eastAsia="宋体" w:cs="宋体"/>
          <w:color w:val="auto"/>
          <w:sz w:val="21"/>
          <w:szCs w:val="21"/>
          <w:highlight w:val="none"/>
        </w:rPr>
        <w:t>委托代理人</w:t>
      </w:r>
      <w:r>
        <w:rPr>
          <w:rFonts w:hint="eastAsia" w:ascii="宋体" w:hAnsi="宋体" w:eastAsia="宋体" w:cs="宋体"/>
          <w:bCs/>
          <w:color w:val="auto"/>
          <w:sz w:val="21"/>
          <w:szCs w:val="21"/>
          <w:highlight w:val="none"/>
        </w:rPr>
        <w:t>（签字或盖章）：_____________</w:t>
      </w:r>
    </w:p>
    <w:p w14:paraId="02681BB0">
      <w:pPr>
        <w:snapToGrid w:val="0"/>
        <w:spacing w:line="480" w:lineRule="auto"/>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日期：</w:t>
      </w:r>
    </w:p>
    <w:p w14:paraId="4AAF96CD">
      <w:pPr>
        <w:spacing w:line="360" w:lineRule="auto"/>
        <w:rPr>
          <w:rFonts w:ascii="宋体" w:hAnsi="宋体" w:eastAsia="宋体" w:cs="宋体"/>
          <w:color w:val="auto"/>
          <w:sz w:val="21"/>
          <w:szCs w:val="21"/>
          <w:highlight w:val="none"/>
        </w:rPr>
      </w:pPr>
    </w:p>
    <w:p w14:paraId="7152907A">
      <w:pPr>
        <w:spacing w:line="480" w:lineRule="auto"/>
        <w:rPr>
          <w:rFonts w:ascii="宋体" w:hAnsi="宋体" w:eastAsia="宋体" w:cs="宋体"/>
          <w:color w:val="auto"/>
          <w:sz w:val="21"/>
          <w:szCs w:val="21"/>
          <w:highlight w:val="none"/>
        </w:rPr>
      </w:pPr>
    </w:p>
    <w:p w14:paraId="3AF71109">
      <w:pPr>
        <w:snapToGrid w:val="0"/>
        <w:spacing w:line="360" w:lineRule="auto"/>
        <w:jc w:val="left"/>
        <w:outlineLvl w:val="0"/>
        <w:rPr>
          <w:rFonts w:ascii="宋体" w:hAnsi="宋体" w:eastAsia="宋体" w:cs="宋体"/>
          <w:b/>
          <w:bCs/>
          <w:color w:val="auto"/>
          <w:sz w:val="21"/>
          <w:szCs w:val="21"/>
          <w:highlight w:val="none"/>
        </w:rPr>
      </w:pPr>
      <w:bookmarkStart w:id="265" w:name="_Toc32835899"/>
      <w:bookmarkEnd w:id="265"/>
      <w:r>
        <w:rPr>
          <w:rFonts w:hint="eastAsia" w:ascii="宋体" w:hAnsi="宋体" w:eastAsia="宋体" w:cs="宋体"/>
          <w:color w:val="auto"/>
          <w:sz w:val="21"/>
          <w:szCs w:val="21"/>
          <w:highlight w:val="none"/>
        </w:rPr>
        <w:br w:type="page"/>
      </w:r>
      <w:bookmarkStart w:id="266" w:name="_Toc12199"/>
      <w:r>
        <w:rPr>
          <w:rFonts w:hint="eastAsia" w:ascii="宋体" w:hAnsi="宋体" w:eastAsia="宋体" w:cs="宋体"/>
          <w:b/>
          <w:bCs/>
          <w:color w:val="auto"/>
          <w:sz w:val="21"/>
          <w:szCs w:val="21"/>
          <w:highlight w:val="none"/>
        </w:rPr>
        <w:t>附件2  法定代表人（单位负责人）身份证明或法定代表人（单位负责人）</w:t>
      </w:r>
      <w:r>
        <w:rPr>
          <w:rFonts w:hint="eastAsia" w:ascii="宋体" w:hAnsi="宋体" w:eastAsia="宋体" w:cs="宋体"/>
          <w:b/>
          <w:color w:val="auto"/>
          <w:sz w:val="21"/>
          <w:szCs w:val="21"/>
          <w:highlight w:val="none"/>
        </w:rPr>
        <w:t>授权书</w:t>
      </w:r>
      <w:bookmarkEnd w:id="266"/>
    </w:p>
    <w:p w14:paraId="16DE76DC">
      <w:pPr>
        <w:snapToGrid w:val="0"/>
        <w:spacing w:line="360" w:lineRule="auto"/>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附件2.1  法定代表人（单位负责人）身份证明（供应商代表为法人代表（单位负责人）时须提供此项）</w:t>
      </w:r>
    </w:p>
    <w:p w14:paraId="69B3A1A2">
      <w:pPr>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法定代表人（单位负责人）身份证明</w:t>
      </w:r>
    </w:p>
    <w:p w14:paraId="12241EA0">
      <w:pPr>
        <w:pStyle w:val="2"/>
        <w:ind w:firstLine="210"/>
        <w:rPr>
          <w:rFonts w:ascii="宋体" w:hAnsi="宋体" w:eastAsia="宋体" w:cs="宋体"/>
          <w:color w:val="auto"/>
          <w:sz w:val="21"/>
          <w:szCs w:val="21"/>
          <w:highlight w:val="none"/>
        </w:rPr>
      </w:pPr>
    </w:p>
    <w:p w14:paraId="37D7C106">
      <w:pPr>
        <w:snapToGrid w:val="0"/>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供应商名称：______________</w:t>
      </w:r>
    </w:p>
    <w:p w14:paraId="27D78F91">
      <w:pPr>
        <w:snapToGrid w:val="0"/>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单位性质：________________</w:t>
      </w:r>
    </w:p>
    <w:p w14:paraId="4F5CC30E">
      <w:pPr>
        <w:snapToGrid w:val="0"/>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地址：____________________</w:t>
      </w:r>
    </w:p>
    <w:p w14:paraId="1BC7F481">
      <w:pPr>
        <w:snapToGrid w:val="0"/>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成立时间：______年__月__日</w:t>
      </w:r>
    </w:p>
    <w:p w14:paraId="58C289C0">
      <w:pPr>
        <w:snapToGrid w:val="0"/>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经营期限：________________</w:t>
      </w:r>
    </w:p>
    <w:p w14:paraId="66BF2F5A">
      <w:pPr>
        <w:snapToGrid w:val="0"/>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姓名：_________性别：_____年龄：______职务：________</w:t>
      </w:r>
    </w:p>
    <w:p w14:paraId="390FD128">
      <w:pPr>
        <w:snapToGrid w:val="0"/>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系________________（供应商名称）的法定代表人（单位负责人）。</w:t>
      </w:r>
    </w:p>
    <w:p w14:paraId="23890DAC">
      <w:pPr>
        <w:snapToGrid w:val="0"/>
        <w:spacing w:line="360" w:lineRule="auto"/>
        <w:ind w:firstLine="315" w:firstLineChars="150"/>
        <w:rPr>
          <w:rFonts w:ascii="宋体" w:hAnsi="宋体" w:eastAsia="宋体" w:cs="宋体"/>
          <w:color w:val="auto"/>
          <w:sz w:val="21"/>
          <w:szCs w:val="21"/>
          <w:highlight w:val="none"/>
        </w:rPr>
      </w:pPr>
    </w:p>
    <w:p w14:paraId="48356796">
      <w:pPr>
        <w:snapToGrid w:val="0"/>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特此证明。</w:t>
      </w:r>
    </w:p>
    <w:p w14:paraId="3DD9EC50">
      <w:pPr>
        <w:snapToGrid w:val="0"/>
        <w:spacing w:line="360" w:lineRule="auto"/>
        <w:rPr>
          <w:rFonts w:ascii="宋体" w:hAnsi="宋体" w:eastAsia="宋体" w:cs="宋体"/>
          <w:color w:val="auto"/>
          <w:sz w:val="21"/>
          <w:szCs w:val="21"/>
          <w:highlight w:val="none"/>
        </w:rPr>
      </w:pPr>
    </w:p>
    <w:p w14:paraId="374A56F5">
      <w:pPr>
        <w:snapToGrid w:val="0"/>
        <w:spacing w:line="360" w:lineRule="auto"/>
        <w:rPr>
          <w:rFonts w:ascii="宋体" w:hAnsi="宋体" w:eastAsia="宋体" w:cs="宋体"/>
          <w:color w:val="auto"/>
          <w:sz w:val="21"/>
          <w:szCs w:val="21"/>
          <w:highlight w:val="none"/>
        </w:rPr>
      </w:pPr>
    </w:p>
    <w:p w14:paraId="44128695">
      <w:pPr>
        <w:snapToGrid w:val="0"/>
        <w:spacing w:line="360" w:lineRule="auto"/>
        <w:rPr>
          <w:rFonts w:ascii="宋体" w:hAnsi="宋体" w:eastAsia="宋体" w:cs="宋体"/>
          <w:color w:val="auto"/>
          <w:sz w:val="21"/>
          <w:szCs w:val="21"/>
          <w:highlight w:val="none"/>
        </w:rPr>
      </w:pPr>
    </w:p>
    <w:p w14:paraId="1AEFB749">
      <w:pPr>
        <w:snapToGrid w:val="0"/>
        <w:spacing w:line="360" w:lineRule="auto"/>
        <w:ind w:firstLine="1260" w:firstLineChars="600"/>
        <w:jc w:val="righ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供应商：________________（盖单位章）</w:t>
      </w:r>
    </w:p>
    <w:p w14:paraId="7AB40A29">
      <w:pPr>
        <w:snapToGrid w:val="0"/>
        <w:spacing w:line="360" w:lineRule="auto"/>
        <w:ind w:firstLine="2520" w:firstLineChars="1200"/>
        <w:jc w:val="right"/>
        <w:rPr>
          <w:rFonts w:ascii="宋体" w:hAnsi="宋体" w:eastAsia="宋体" w:cs="宋体"/>
          <w:color w:val="auto"/>
          <w:sz w:val="21"/>
          <w:szCs w:val="21"/>
          <w:highlight w:val="none"/>
        </w:rPr>
      </w:pPr>
    </w:p>
    <w:p w14:paraId="33EEC9B1">
      <w:pPr>
        <w:snapToGrid w:val="0"/>
        <w:spacing w:line="360" w:lineRule="auto"/>
        <w:ind w:firstLine="1680" w:firstLineChars="800"/>
        <w:jc w:val="righ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________年__月__日</w:t>
      </w:r>
    </w:p>
    <w:p w14:paraId="12B62F3C">
      <w:pPr>
        <w:rPr>
          <w:rFonts w:ascii="宋体" w:hAnsi="宋体" w:eastAsia="宋体" w:cs="宋体"/>
          <w:color w:val="auto"/>
          <w:sz w:val="21"/>
          <w:szCs w:val="21"/>
          <w:highlight w:val="none"/>
        </w:rPr>
      </w:pPr>
    </w:p>
    <w:p w14:paraId="048D3478">
      <w:pPr>
        <w:rPr>
          <w:rFonts w:ascii="宋体" w:hAnsi="宋体" w:eastAsia="宋体" w:cs="宋体"/>
          <w:color w:val="auto"/>
          <w:sz w:val="21"/>
          <w:szCs w:val="21"/>
          <w:highlight w:val="none"/>
        </w:rPr>
      </w:pPr>
    </w:p>
    <w:p w14:paraId="36EA1D10">
      <w:pP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附：法定代表人（单位负责人）身份证明复印件（正反两面）</w:t>
      </w:r>
    </w:p>
    <w:p w14:paraId="49BAE75F">
      <w:pPr>
        <w:spacing w:line="360" w:lineRule="auto"/>
        <w:rPr>
          <w:rFonts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br w:type="page"/>
      </w:r>
      <w:r>
        <w:rPr>
          <w:rFonts w:hint="eastAsia" w:ascii="宋体" w:hAnsi="宋体" w:eastAsia="宋体" w:cs="宋体"/>
          <w:b/>
          <w:bCs/>
          <w:color w:val="auto"/>
          <w:sz w:val="21"/>
          <w:szCs w:val="21"/>
          <w:highlight w:val="none"/>
        </w:rPr>
        <w:t xml:space="preserve">附件2.2  </w:t>
      </w:r>
      <w:r>
        <w:rPr>
          <w:rFonts w:hint="eastAsia" w:ascii="宋体" w:hAnsi="宋体" w:eastAsia="宋体" w:cs="宋体"/>
          <w:b/>
          <w:color w:val="auto"/>
          <w:sz w:val="21"/>
          <w:szCs w:val="21"/>
          <w:highlight w:val="none"/>
        </w:rPr>
        <w:t>法定代表人（单位负责人）授权书（</w:t>
      </w:r>
      <w:r>
        <w:rPr>
          <w:rFonts w:hint="eastAsia" w:ascii="宋体" w:hAnsi="宋体" w:eastAsia="宋体" w:cs="宋体"/>
          <w:b/>
          <w:bCs/>
          <w:color w:val="auto"/>
          <w:sz w:val="21"/>
          <w:szCs w:val="21"/>
          <w:highlight w:val="none"/>
        </w:rPr>
        <w:t>供应商代表为委托代理人时须提供此项</w:t>
      </w:r>
      <w:r>
        <w:rPr>
          <w:rFonts w:hint="eastAsia" w:ascii="宋体" w:hAnsi="宋体" w:eastAsia="宋体" w:cs="宋体"/>
          <w:b/>
          <w:color w:val="auto"/>
          <w:sz w:val="21"/>
          <w:szCs w:val="21"/>
          <w:highlight w:val="none"/>
        </w:rPr>
        <w:t>）</w:t>
      </w:r>
    </w:p>
    <w:p w14:paraId="39E5FF96">
      <w:pPr>
        <w:spacing w:line="360" w:lineRule="auto"/>
        <w:rPr>
          <w:rFonts w:ascii="宋体" w:hAnsi="宋体" w:eastAsia="宋体" w:cs="宋体"/>
          <w:b/>
          <w:bCs/>
          <w:color w:val="auto"/>
          <w:sz w:val="21"/>
          <w:szCs w:val="21"/>
          <w:highlight w:val="none"/>
        </w:rPr>
      </w:pPr>
    </w:p>
    <w:p w14:paraId="2A4E6AB8">
      <w:pPr>
        <w:spacing w:line="360" w:lineRule="auto"/>
        <w:jc w:val="center"/>
        <w:outlineLvl w:val="0"/>
        <w:rPr>
          <w:rFonts w:ascii="宋体" w:hAnsi="宋体" w:eastAsia="宋体" w:cs="宋体"/>
          <w:b/>
          <w:color w:val="auto"/>
          <w:sz w:val="21"/>
          <w:szCs w:val="21"/>
          <w:highlight w:val="none"/>
        </w:rPr>
      </w:pPr>
      <w:bookmarkStart w:id="267" w:name="_Toc6429"/>
      <w:r>
        <w:rPr>
          <w:rFonts w:hint="eastAsia" w:ascii="宋体" w:hAnsi="宋体" w:eastAsia="宋体" w:cs="宋体"/>
          <w:b/>
          <w:color w:val="auto"/>
          <w:sz w:val="21"/>
          <w:szCs w:val="21"/>
          <w:highlight w:val="none"/>
        </w:rPr>
        <w:t>法定代表人（单位负责人）授权书</w:t>
      </w:r>
      <w:bookmarkEnd w:id="267"/>
    </w:p>
    <w:p w14:paraId="3049E1CA">
      <w:pPr>
        <w:jc w:val="center"/>
        <w:rPr>
          <w:rFonts w:ascii="宋体" w:hAnsi="宋体" w:eastAsia="宋体" w:cs="宋体"/>
          <w:b/>
          <w:color w:val="auto"/>
          <w:sz w:val="21"/>
          <w:szCs w:val="21"/>
          <w:highlight w:val="none"/>
        </w:rPr>
      </w:pPr>
    </w:p>
    <w:p w14:paraId="23BF0134">
      <w:pPr>
        <w:rPr>
          <w:rFonts w:ascii="宋体" w:hAnsi="宋体" w:eastAsia="宋体" w:cs="宋体"/>
          <w:b/>
          <w:color w:val="auto"/>
          <w:sz w:val="21"/>
          <w:szCs w:val="21"/>
          <w:highlight w:val="none"/>
        </w:rPr>
      </w:pPr>
    </w:p>
    <w:p w14:paraId="1F393839">
      <w:pPr>
        <w:rPr>
          <w:rFonts w:ascii="宋体" w:hAnsi="宋体" w:eastAsia="宋体" w:cs="宋体"/>
          <w:b/>
          <w:color w:val="auto"/>
          <w:sz w:val="21"/>
          <w:szCs w:val="21"/>
          <w:highlight w:val="none"/>
        </w:rPr>
      </w:pPr>
    </w:p>
    <w:p w14:paraId="7AAE2C1E">
      <w:pPr>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本人________（姓名）系________________（供应商名称）的法定代表人（单位负责人），现委托________（姓名）为我方委托代理人。委托代理人根据授权，以我方名义签署、澄清、说明、补正、递交、撤回、修改________（项目名称）的响应文件、签订合同和处理有关事宜，其法律后果由我方承担。</w:t>
      </w:r>
    </w:p>
    <w:p w14:paraId="5257645E">
      <w:pPr>
        <w:snapToGrid w:val="0"/>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委托期限：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E2A41D3">
      <w:pPr>
        <w:snapToGrid w:val="0"/>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委托代理人无转委托权。</w:t>
      </w:r>
    </w:p>
    <w:p w14:paraId="7F542EDE">
      <w:pPr>
        <w:snapToGrid w:val="0"/>
        <w:spacing w:line="360" w:lineRule="auto"/>
        <w:rPr>
          <w:rFonts w:ascii="宋体" w:hAnsi="宋体" w:eastAsia="宋体" w:cs="宋体"/>
          <w:color w:val="auto"/>
          <w:sz w:val="21"/>
          <w:szCs w:val="21"/>
          <w:highlight w:val="none"/>
        </w:rPr>
      </w:pPr>
    </w:p>
    <w:p w14:paraId="03A3E2DD">
      <w:pPr>
        <w:snapToGrid w:val="0"/>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附：法定代表人（单位负责人）身份证明及委托代理人身份证明复印件（正反两面）</w:t>
      </w:r>
    </w:p>
    <w:p w14:paraId="104504B5">
      <w:pPr>
        <w:snapToGrid w:val="0"/>
        <w:spacing w:line="360" w:lineRule="auto"/>
        <w:rPr>
          <w:rFonts w:ascii="宋体" w:hAnsi="宋体" w:eastAsia="宋体" w:cs="宋体"/>
          <w:color w:val="auto"/>
          <w:sz w:val="21"/>
          <w:szCs w:val="21"/>
          <w:highlight w:val="none"/>
        </w:rPr>
      </w:pPr>
    </w:p>
    <w:p w14:paraId="0B452977">
      <w:pPr>
        <w:spacing w:line="48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供应商：________________（盖单位章）</w:t>
      </w:r>
    </w:p>
    <w:p w14:paraId="72ABA43B">
      <w:pPr>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法定代表人（单位负责人）：________________（签字或盖章）</w:t>
      </w:r>
    </w:p>
    <w:p w14:paraId="5A2DDBF6">
      <w:pPr>
        <w:spacing w:line="48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身份证号码：________________________</w:t>
      </w:r>
    </w:p>
    <w:p w14:paraId="6E757931">
      <w:pPr>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委托代理人：________________（签字或盖章）</w:t>
      </w:r>
    </w:p>
    <w:p w14:paraId="0413C5CC">
      <w:pPr>
        <w:spacing w:line="48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身份证号码：________________________</w:t>
      </w:r>
    </w:p>
    <w:p w14:paraId="642BE9F6">
      <w:pPr>
        <w:snapToGrid w:val="0"/>
        <w:spacing w:line="360" w:lineRule="auto"/>
        <w:rPr>
          <w:rFonts w:ascii="宋体" w:hAnsi="宋体" w:eastAsia="宋体" w:cs="宋体"/>
          <w:color w:val="auto"/>
          <w:sz w:val="21"/>
          <w:szCs w:val="21"/>
          <w:highlight w:val="none"/>
        </w:rPr>
      </w:pPr>
    </w:p>
    <w:p w14:paraId="6CD9BAAB">
      <w:pPr>
        <w:snapToGrid w:val="0"/>
        <w:spacing w:line="360" w:lineRule="auto"/>
        <w:ind w:firstLine="4620" w:firstLineChars="2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________年__月__日</w:t>
      </w:r>
    </w:p>
    <w:p w14:paraId="13BD9C87">
      <w:pPr>
        <w:snapToGrid w:val="0"/>
        <w:spacing w:line="360" w:lineRule="auto"/>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注：委托期限不得少于磋商有效期。</w:t>
      </w:r>
    </w:p>
    <w:p w14:paraId="6FFF8B9B">
      <w:pPr>
        <w:snapToGrid w:val="0"/>
        <w:spacing w:line="360" w:lineRule="auto"/>
        <w:rPr>
          <w:rFonts w:ascii="宋体" w:hAnsi="宋体" w:eastAsia="宋体" w:cs="宋体"/>
          <w:b/>
          <w:bCs/>
          <w:color w:val="auto"/>
          <w:sz w:val="21"/>
          <w:szCs w:val="21"/>
          <w:highlight w:val="none"/>
        </w:rPr>
      </w:pPr>
    </w:p>
    <w:p w14:paraId="2B0416D5">
      <w:pPr>
        <w:rPr>
          <w:rFonts w:ascii="宋体" w:hAnsi="宋体" w:eastAsia="宋体" w:cs="宋体"/>
          <w:b/>
          <w:bCs/>
          <w:color w:val="auto"/>
          <w:sz w:val="21"/>
          <w:szCs w:val="21"/>
          <w:highlight w:val="none"/>
        </w:rPr>
      </w:pPr>
    </w:p>
    <w:p w14:paraId="493E25C8">
      <w:pPr>
        <w:rPr>
          <w:rFonts w:ascii="宋体" w:hAnsi="宋体" w:eastAsia="宋体" w:cs="宋体"/>
          <w:b/>
          <w:bCs/>
          <w:color w:val="auto"/>
          <w:sz w:val="21"/>
          <w:szCs w:val="21"/>
          <w:highlight w:val="none"/>
        </w:rPr>
      </w:pPr>
    </w:p>
    <w:p w14:paraId="49C56654">
      <w:pPr>
        <w:rPr>
          <w:rFonts w:ascii="宋体" w:hAnsi="宋体" w:eastAsia="宋体" w:cs="宋体"/>
          <w:color w:val="auto"/>
          <w:sz w:val="21"/>
          <w:szCs w:val="21"/>
          <w:highlight w:val="none"/>
        </w:rPr>
      </w:pPr>
    </w:p>
    <w:p w14:paraId="67D21227">
      <w:pPr>
        <w:rPr>
          <w:rFonts w:hint="eastAsia" w:ascii="宋体" w:hAnsi="宋体" w:eastAsia="宋体" w:cs="宋体"/>
          <w:b/>
          <w:bCs/>
          <w:color w:val="auto"/>
          <w:sz w:val="21"/>
          <w:szCs w:val="21"/>
          <w:highlight w:val="none"/>
        </w:rPr>
      </w:pPr>
      <w:bookmarkStart w:id="268" w:name="_Toc1479"/>
      <w:bookmarkEnd w:id="268"/>
      <w:bookmarkStart w:id="269" w:name="_Toc32835900"/>
      <w:bookmarkEnd w:id="269"/>
      <w:bookmarkStart w:id="270" w:name="_Toc30367"/>
      <w:r>
        <w:rPr>
          <w:rFonts w:hint="eastAsia" w:ascii="宋体" w:hAnsi="宋体" w:eastAsia="宋体" w:cs="宋体"/>
          <w:b/>
          <w:bCs/>
          <w:color w:val="auto"/>
          <w:sz w:val="21"/>
          <w:szCs w:val="21"/>
          <w:highlight w:val="none"/>
        </w:rPr>
        <w:br w:type="page"/>
      </w:r>
    </w:p>
    <w:p w14:paraId="17ADBDBF">
      <w:pPr>
        <w:spacing w:line="360" w:lineRule="auto"/>
        <w:outlineLvl w:val="0"/>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附件3  资格审查材料（具体要求详见供应商须知前附表）</w:t>
      </w:r>
      <w:bookmarkEnd w:id="270"/>
    </w:p>
    <w:p w14:paraId="624D8F0D">
      <w:pPr>
        <w:wordWrap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color w:val="auto"/>
          <w:sz w:val="21"/>
          <w:szCs w:val="21"/>
          <w:highlight w:val="none"/>
          <w:lang w:val="en-US" w:eastAsia="zh-CN"/>
        </w:rPr>
        <w:t>附件3.1</w:t>
      </w:r>
      <w:r>
        <w:rPr>
          <w:rFonts w:hint="eastAsia" w:ascii="宋体" w:hAnsi="宋体" w:eastAsia="宋体" w:cs="宋体"/>
          <w:b w:val="0"/>
          <w:bCs w:val="0"/>
          <w:color w:val="auto"/>
          <w:sz w:val="21"/>
          <w:szCs w:val="21"/>
          <w:highlight w:val="none"/>
        </w:rPr>
        <w:t xml:space="preserve">  资格承诺声明函</w:t>
      </w:r>
    </w:p>
    <w:p w14:paraId="131B4528">
      <w:pPr>
        <w:spacing w:line="360" w:lineRule="auto"/>
        <w:rPr>
          <w:rFonts w:hint="eastAsia" w:ascii="宋体" w:hAnsi="宋体" w:eastAsia="宋体" w:cs="宋体"/>
          <w:color w:val="auto"/>
          <w:sz w:val="21"/>
          <w:szCs w:val="21"/>
          <w:highlight w:val="none"/>
          <w:u w:val="single"/>
        </w:rPr>
      </w:pPr>
    </w:p>
    <w:p w14:paraId="1D956F65">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致： (本项目采购单位)及（采购代理机构）：</w:t>
      </w:r>
    </w:p>
    <w:p w14:paraId="64AD7DD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我单位自愿参加本次政府采购活动,严格遵守《中华人民共和国政府采购法》及相关法律法规,依法诚信经营,依法遵守本次政府采购活动的各项规定。我单位郑重承诺声明如下:</w:t>
      </w:r>
    </w:p>
    <w:p w14:paraId="749DE04B">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一、我单位全称为             ,注册地点为           ，统一社会信用代码为          ，法定代表人(单位负责人)为          , 联系方式为               。</w:t>
      </w:r>
    </w:p>
    <w:p w14:paraId="56374D46">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二、具有履行合同所必需的设备和专业技术能力。</w:t>
      </w:r>
    </w:p>
    <w:p w14:paraId="11897BA4">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三、参加本次采购活动前三年内，在经营活动中没有重大违法记录。</w:t>
      </w:r>
    </w:p>
    <w:p w14:paraId="2145408B">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四、单位负责人为同一人或存在控股、管理关系的不同单位，不得同时参加本项目。</w:t>
      </w:r>
    </w:p>
    <w:p w14:paraId="59221B6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保证上述声明的事项都是真实的,符合《中华人民共和国政府采购法》规定的供应商资格条件。如有弄虚作假,我单位愿意按照“提供虚假材料谋取中标、成交”承担相应的法律责任,同意将违背承诺行为作为失信行为记录到社会信用信息平台,并承担因此所造成的一切损失。</w:t>
      </w:r>
    </w:p>
    <w:p w14:paraId="2B4E49C2">
      <w:pPr>
        <w:wordWrap w:val="0"/>
        <w:topLinePunct/>
        <w:spacing w:line="360" w:lineRule="auto"/>
        <w:ind w:firstLine="420" w:firstLineChars="200"/>
        <w:rPr>
          <w:rFonts w:hint="eastAsia" w:ascii="宋体" w:hAnsi="宋体" w:eastAsia="宋体" w:cs="宋体"/>
          <w:color w:val="auto"/>
          <w:sz w:val="21"/>
          <w:szCs w:val="21"/>
          <w:highlight w:val="none"/>
          <w:u w:val="single"/>
        </w:rPr>
      </w:pPr>
    </w:p>
    <w:p w14:paraId="1E544C20">
      <w:pPr>
        <w:wordWrap w:val="0"/>
        <w:topLinePunct/>
        <w:spacing w:line="360" w:lineRule="auto"/>
        <w:ind w:firstLine="2730" w:firstLineChars="13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供应商名称(盖章) :</w:t>
      </w:r>
    </w:p>
    <w:p w14:paraId="398BAEFF">
      <w:pPr>
        <w:wordWrap w:val="0"/>
        <w:topLinePunct/>
        <w:spacing w:line="360" w:lineRule="auto"/>
        <w:ind w:firstLine="420" w:firstLineChars="200"/>
        <w:jc w:val="cente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法定代表人或授权代表(签名或盖章):</w:t>
      </w:r>
    </w:p>
    <w:p w14:paraId="3EA3B311">
      <w:pPr>
        <w:spacing w:line="360" w:lineRule="auto"/>
        <w:ind w:firstLine="3990" w:firstLineChars="19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u w:val="single"/>
        </w:rPr>
        <w:t>日期:     年    月   日</w:t>
      </w:r>
    </w:p>
    <w:p w14:paraId="31337254">
      <w:pPr>
        <w:pStyle w:val="2"/>
        <w:ind w:firstLine="210"/>
        <w:rPr>
          <w:rFonts w:ascii="宋体" w:hAnsi="宋体" w:eastAsia="宋体" w:cs="宋体"/>
          <w:color w:val="auto"/>
          <w:sz w:val="21"/>
          <w:szCs w:val="21"/>
          <w:highlight w:val="none"/>
        </w:rPr>
      </w:pPr>
    </w:p>
    <w:p w14:paraId="5D33A1A6">
      <w:pPr>
        <w:rPr>
          <w:rFonts w:ascii="宋体" w:hAnsi="宋体" w:eastAsia="宋体" w:cs="宋体"/>
          <w:b/>
          <w:bCs/>
          <w:color w:val="auto"/>
          <w:sz w:val="21"/>
          <w:szCs w:val="21"/>
          <w:highlight w:val="none"/>
        </w:rPr>
      </w:pPr>
    </w:p>
    <w:p w14:paraId="33642FE6">
      <w:pPr>
        <w:rPr>
          <w:rFonts w:ascii="宋体" w:hAnsi="宋体" w:eastAsia="宋体" w:cs="宋体"/>
          <w:b/>
          <w:color w:val="auto"/>
          <w:sz w:val="21"/>
          <w:szCs w:val="21"/>
          <w:highlight w:val="none"/>
        </w:rPr>
      </w:pPr>
      <w:bookmarkStart w:id="271" w:name="_Toc32835902"/>
      <w:r>
        <w:rPr>
          <w:rFonts w:hint="eastAsia" w:ascii="宋体" w:hAnsi="宋体" w:eastAsia="宋体" w:cs="宋体"/>
          <w:b/>
          <w:color w:val="auto"/>
          <w:sz w:val="21"/>
          <w:szCs w:val="21"/>
          <w:highlight w:val="none"/>
        </w:rPr>
        <w:br w:type="page"/>
      </w:r>
    </w:p>
    <w:bookmarkEnd w:id="271"/>
    <w:p w14:paraId="0660C911">
      <w:pPr>
        <w:rPr>
          <w:rFonts w:ascii="宋体" w:hAnsi="宋体" w:eastAsia="宋体" w:cs="宋体"/>
          <w:b/>
          <w:color w:val="auto"/>
          <w:sz w:val="21"/>
          <w:szCs w:val="21"/>
          <w:highlight w:val="none"/>
        </w:rPr>
      </w:pPr>
      <w:bookmarkStart w:id="272" w:name="_Toc32835903"/>
      <w:bookmarkEnd w:id="272"/>
      <w:r>
        <w:rPr>
          <w:rFonts w:hint="eastAsia" w:ascii="宋体" w:hAnsi="宋体" w:eastAsia="宋体" w:cs="宋体"/>
          <w:b/>
          <w:color w:val="auto"/>
          <w:sz w:val="21"/>
          <w:szCs w:val="21"/>
          <w:highlight w:val="none"/>
        </w:rPr>
        <w:t xml:space="preserve">附件4  中小企业声明函                                    </w:t>
      </w:r>
    </w:p>
    <w:p w14:paraId="73BE0755">
      <w:pPr>
        <w:snapToGrid w:val="0"/>
        <w:spacing w:line="360" w:lineRule="auto"/>
        <w:jc w:val="center"/>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中小企业声明函</w:t>
      </w:r>
    </w:p>
    <w:p w14:paraId="436BD5C4">
      <w:pPr>
        <w:spacing w:line="360" w:lineRule="auto"/>
        <w:ind w:firstLine="420" w:firstLineChars="200"/>
        <w:jc w:val="left"/>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本公司（联合体）郑重声明，根据《政府采购促进中小企业发展管理办法》（财库﹝2020﹞46 号）的规定，本公司（联合体）参加</w:t>
      </w:r>
      <w:r>
        <w:rPr>
          <w:rFonts w:hint="eastAsia" w:ascii="宋体" w:hAnsi="宋体" w:eastAsia="宋体" w:cs="宋体"/>
          <w:bCs/>
          <w:color w:val="auto"/>
          <w:sz w:val="21"/>
          <w:szCs w:val="21"/>
          <w:highlight w:val="none"/>
          <w:u w:val="single"/>
        </w:rPr>
        <w:t>（单位名称）</w:t>
      </w:r>
      <w:r>
        <w:rPr>
          <w:rFonts w:hint="eastAsia" w:ascii="宋体" w:hAnsi="宋体" w:eastAsia="宋体" w:cs="宋体"/>
          <w:bCs/>
          <w:color w:val="auto"/>
          <w:sz w:val="21"/>
          <w:szCs w:val="21"/>
          <w:highlight w:val="none"/>
        </w:rPr>
        <w:t>的</w:t>
      </w:r>
      <w:r>
        <w:rPr>
          <w:rFonts w:hint="eastAsia" w:ascii="宋体" w:hAnsi="宋体" w:eastAsia="宋体" w:cs="宋体"/>
          <w:bCs/>
          <w:color w:val="auto"/>
          <w:sz w:val="21"/>
          <w:szCs w:val="21"/>
          <w:highlight w:val="none"/>
          <w:u w:val="single"/>
        </w:rPr>
        <w:t>（项目名称）</w:t>
      </w:r>
      <w:r>
        <w:rPr>
          <w:rFonts w:hint="eastAsia" w:ascii="宋体" w:hAnsi="宋体" w:eastAsia="宋体" w:cs="宋体"/>
          <w:bCs/>
          <w:color w:val="auto"/>
          <w:sz w:val="21"/>
          <w:szCs w:val="21"/>
          <w:highlight w:val="none"/>
        </w:rPr>
        <w:t>采购活动，提供的货物全部由符合政策要求的中小企业制造。相关企业（含联合体中的中小企业、签订分包意向协议的中小企业） 的具体情况如下：</w:t>
      </w:r>
    </w:p>
    <w:p w14:paraId="5534CEB8">
      <w:pPr>
        <w:spacing w:line="360" w:lineRule="auto"/>
        <w:ind w:firstLine="420" w:firstLineChars="200"/>
        <w:jc w:val="left"/>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（标的名称），属于 </w:t>
      </w:r>
      <w:r>
        <w:rPr>
          <w:rFonts w:hint="eastAsia" w:ascii="宋体" w:hAnsi="宋体" w:eastAsia="宋体" w:cs="宋体"/>
          <w:bCs/>
          <w:color w:val="auto"/>
          <w:sz w:val="21"/>
          <w:szCs w:val="21"/>
          <w:highlight w:val="none"/>
          <w:u w:val="single"/>
        </w:rPr>
        <w:t xml:space="preserve"> 工业  </w:t>
      </w:r>
      <w:r>
        <w:rPr>
          <w:rFonts w:hint="eastAsia" w:ascii="宋体" w:hAnsi="宋体" w:eastAsia="宋体" w:cs="宋体"/>
          <w:bCs/>
          <w:color w:val="auto"/>
          <w:sz w:val="21"/>
          <w:szCs w:val="21"/>
          <w:highlight w:val="none"/>
        </w:rPr>
        <w:t>（采购文件中明确的所属行业）行业；制造商为（企业名称），从业人员</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rPr>
        <w:tab/>
      </w:r>
      <w:r>
        <w:rPr>
          <w:rFonts w:hint="eastAsia" w:ascii="宋体" w:hAnsi="宋体" w:eastAsia="宋体" w:cs="宋体"/>
          <w:bCs/>
          <w:color w:val="auto"/>
          <w:sz w:val="21"/>
          <w:szCs w:val="21"/>
          <w:highlight w:val="none"/>
        </w:rPr>
        <w:t>人，营业收入为</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rPr>
        <w:tab/>
      </w:r>
      <w:r>
        <w:rPr>
          <w:rFonts w:hint="eastAsia" w:ascii="宋体" w:hAnsi="宋体" w:eastAsia="宋体" w:cs="宋体"/>
          <w:bCs/>
          <w:color w:val="auto"/>
          <w:sz w:val="21"/>
          <w:szCs w:val="21"/>
          <w:highlight w:val="none"/>
        </w:rPr>
        <w:t>万元，资产总额为</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万元，属于</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（中型企业、小型企业、微型企业）；</w:t>
      </w:r>
    </w:p>
    <w:p w14:paraId="36D70412">
      <w:pPr>
        <w:spacing w:line="360" w:lineRule="auto"/>
        <w:ind w:firstLine="420" w:firstLineChars="200"/>
        <w:jc w:val="left"/>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（标的名称），属于 </w:t>
      </w:r>
      <w:r>
        <w:rPr>
          <w:rFonts w:hint="eastAsia" w:ascii="宋体" w:hAnsi="宋体" w:eastAsia="宋体" w:cs="宋体"/>
          <w:bCs/>
          <w:color w:val="auto"/>
          <w:sz w:val="21"/>
          <w:szCs w:val="21"/>
          <w:highlight w:val="none"/>
          <w:u w:val="single"/>
        </w:rPr>
        <w:t xml:space="preserve">  工业   </w:t>
      </w:r>
      <w:r>
        <w:rPr>
          <w:rFonts w:hint="eastAsia" w:ascii="宋体" w:hAnsi="宋体" w:eastAsia="宋体" w:cs="宋体"/>
          <w:bCs/>
          <w:color w:val="auto"/>
          <w:sz w:val="21"/>
          <w:szCs w:val="21"/>
          <w:highlight w:val="none"/>
        </w:rPr>
        <w:t>（采购文件中明确的所属行业）行业；制造商为（企业名称），从业人员</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rPr>
        <w:tab/>
      </w:r>
      <w:r>
        <w:rPr>
          <w:rFonts w:hint="eastAsia" w:ascii="宋体" w:hAnsi="宋体" w:eastAsia="宋体" w:cs="宋体"/>
          <w:bCs/>
          <w:color w:val="auto"/>
          <w:sz w:val="21"/>
          <w:szCs w:val="21"/>
          <w:highlight w:val="none"/>
        </w:rPr>
        <w:t>人，营业收入为</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rPr>
        <w:tab/>
      </w:r>
      <w:r>
        <w:rPr>
          <w:rFonts w:hint="eastAsia" w:ascii="宋体" w:hAnsi="宋体" w:eastAsia="宋体" w:cs="宋体"/>
          <w:bCs/>
          <w:color w:val="auto"/>
          <w:sz w:val="21"/>
          <w:szCs w:val="21"/>
          <w:highlight w:val="none"/>
        </w:rPr>
        <w:t>万元，资产总额为</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万元，属于</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（中型企业、小型企业、微型企业）；</w:t>
      </w:r>
    </w:p>
    <w:p w14:paraId="37C46459">
      <w:pPr>
        <w:spacing w:line="360" w:lineRule="auto"/>
        <w:ind w:firstLine="420" w:firstLineChars="200"/>
        <w:jc w:val="left"/>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p>
    <w:p w14:paraId="3E638246">
      <w:pPr>
        <w:spacing w:line="360" w:lineRule="auto"/>
        <w:ind w:firstLine="422" w:firstLineChars="200"/>
        <w:jc w:val="left"/>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以上企业，不属于大企业的分支机构，不存在控股股东为大企业的情形，也不存在与大企业的负责人为同一人的情形。</w:t>
      </w:r>
    </w:p>
    <w:p w14:paraId="08E32A73">
      <w:pPr>
        <w:spacing w:line="360" w:lineRule="auto"/>
        <w:ind w:firstLine="422" w:firstLineChars="200"/>
        <w:jc w:val="left"/>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本企业对上述声明内容的真实性负责。如有虚假，将依法承担相应责任。</w:t>
      </w:r>
    </w:p>
    <w:p w14:paraId="0DA12125">
      <w:pPr>
        <w:spacing w:line="360" w:lineRule="auto"/>
        <w:ind w:firstLine="3854" w:firstLineChars="1828"/>
        <w:jc w:val="left"/>
        <w:rPr>
          <w:rFonts w:ascii="宋体" w:hAnsi="宋体" w:eastAsia="宋体" w:cs="宋体"/>
          <w:b/>
          <w:color w:val="auto"/>
          <w:sz w:val="21"/>
          <w:szCs w:val="21"/>
          <w:highlight w:val="none"/>
        </w:rPr>
      </w:pPr>
    </w:p>
    <w:p w14:paraId="3F58E9C7">
      <w:pPr>
        <w:spacing w:line="360" w:lineRule="auto"/>
        <w:ind w:firstLine="3838" w:firstLineChars="1828"/>
        <w:jc w:val="left"/>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企业名称（盖章）：</w:t>
      </w:r>
    </w:p>
    <w:p w14:paraId="3E811D43">
      <w:pPr>
        <w:spacing w:line="360" w:lineRule="auto"/>
        <w:ind w:firstLine="3838" w:firstLineChars="1828"/>
        <w:jc w:val="left"/>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日期：</w:t>
      </w:r>
    </w:p>
    <w:p w14:paraId="7BDF0170">
      <w:pPr>
        <w:spacing w:line="360" w:lineRule="auto"/>
        <w:ind w:firstLine="482"/>
        <w:rPr>
          <w:rFonts w:ascii="宋体" w:hAnsi="宋体" w:eastAsia="宋体" w:cs="宋体"/>
          <w:b/>
          <w:color w:val="auto"/>
          <w:sz w:val="21"/>
          <w:szCs w:val="21"/>
          <w:highlight w:val="none"/>
        </w:rPr>
      </w:pPr>
    </w:p>
    <w:p w14:paraId="7978B73B">
      <w:pPr>
        <w:pStyle w:val="8"/>
        <w:spacing w:line="360" w:lineRule="auto"/>
        <w:ind w:firstLine="422"/>
        <w:jc w:val="left"/>
        <w:rPr>
          <w:rFonts w:ascii="宋体" w:hAnsi="宋体" w:eastAsia="宋体" w:cs="宋体"/>
          <w:b/>
          <w:color w:val="auto"/>
          <w:sz w:val="21"/>
          <w:szCs w:val="21"/>
          <w:highlight w:val="none"/>
        </w:rPr>
      </w:pPr>
    </w:p>
    <w:p w14:paraId="675F1A3F">
      <w:pPr>
        <w:pStyle w:val="8"/>
        <w:spacing w:line="360" w:lineRule="auto"/>
        <w:ind w:firstLine="422"/>
        <w:jc w:val="left"/>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w:t>
      </w:r>
      <w:r>
        <w:rPr>
          <w:rFonts w:hint="eastAsia" w:ascii="宋体" w:hAnsi="宋体" w:eastAsia="宋体" w:cs="宋体"/>
          <w:color w:val="auto"/>
          <w:sz w:val="21"/>
          <w:szCs w:val="21"/>
          <w:highlight w:val="none"/>
        </w:rPr>
        <w:t>从业人员、营业收入、资产总额填报上一年度数据，无上一年度数据的新成立企业可不填报。</w:t>
      </w:r>
    </w:p>
    <w:p w14:paraId="16C30FBF">
      <w:pPr>
        <w:pStyle w:val="8"/>
        <w:spacing w:line="36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注：依据财库〔2020〕46号文的相关规定，在货物采购项目中，供应商提供的货物既有小微企业制造货物，也有中型企业制造货物的，不享受小微企业扶持政策。</w:t>
      </w:r>
    </w:p>
    <w:p w14:paraId="78B3D0CB">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br w:type="page"/>
      </w:r>
    </w:p>
    <w:p w14:paraId="0BA3462C">
      <w:pPr>
        <w:pStyle w:val="25"/>
        <w:keepLines w:val="0"/>
        <w:pageBreakBefore w:val="0"/>
        <w:widowControl w:val="0"/>
        <w:kinsoku w:val="0"/>
        <w:wordWrap w:val="0"/>
        <w:overflowPunct/>
        <w:topLinePunct w:val="0"/>
        <w:autoSpaceDE w:val="0"/>
        <w:autoSpaceDN w:val="0"/>
        <w:bidi w:val="0"/>
        <w:snapToGrid w:val="0"/>
        <w:spacing w:before="0" w:beforeAutospacing="0" w:after="0" w:afterAutospacing="0"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中小企业划型标准规定</w:t>
      </w:r>
    </w:p>
    <w:p w14:paraId="048D9885">
      <w:pPr>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一、根据《中华人民共和国中小企业促进法》和《</w:t>
      </w: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"http://www.shui5.cn/article/47/26142.html"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rPr>
        <w:t>国务院关于进一步促进中小企业发展的若干意见</w:t>
      </w:r>
      <w:r>
        <w:rPr>
          <w:rFonts w:hint="eastAsia" w:ascii="宋体" w:hAnsi="宋体" w:eastAsia="宋体" w:cs="宋体"/>
          <w:bCs/>
          <w:color w:val="auto"/>
          <w:sz w:val="21"/>
          <w:szCs w:val="21"/>
          <w:highlight w:val="none"/>
        </w:rPr>
        <w:fldChar w:fldCharType="end"/>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"http://www.shui5.cn/article/47/26142.html"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rPr>
        <w:t>国发〔2009〕36号</w:t>
      </w:r>
      <w:r>
        <w:rPr>
          <w:rFonts w:hint="eastAsia" w:ascii="宋体" w:hAnsi="宋体" w:eastAsia="宋体" w:cs="宋体"/>
          <w:bCs/>
          <w:color w:val="auto"/>
          <w:sz w:val="21"/>
          <w:szCs w:val="21"/>
          <w:highlight w:val="none"/>
        </w:rPr>
        <w:fldChar w:fldCharType="end"/>
      </w:r>
      <w:r>
        <w:rPr>
          <w:rFonts w:hint="eastAsia" w:ascii="宋体" w:hAnsi="宋体" w:eastAsia="宋体" w:cs="宋体"/>
          <w:bCs/>
          <w:color w:val="auto"/>
          <w:sz w:val="21"/>
          <w:szCs w:val="21"/>
          <w:highlight w:val="none"/>
        </w:rPr>
        <w:t>)，制定本规定。</w:t>
      </w:r>
    </w:p>
    <w:p w14:paraId="34DD3DC7">
      <w:pPr>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二、中小企业划分为中型、小型、微型三种类型，具体标准根据企业从业人员、营业收入、资产总额等指标，结合行业特点制定。</w:t>
      </w:r>
    </w:p>
    <w:p w14:paraId="2B4E8455">
      <w:pPr>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3986E79">
      <w:pPr>
        <w:spacing w:line="360" w:lineRule="auto"/>
        <w:ind w:left="418" w:leftChars="174" w:firstLine="0" w:firstLineChars="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四、各行业划型标准为：</w:t>
      </w:r>
      <w:r>
        <w:rPr>
          <w:rFonts w:hint="eastAsia" w:ascii="宋体" w:hAnsi="宋体" w:eastAsia="宋体" w:cs="宋体"/>
          <w:bCs/>
          <w:color w:val="auto"/>
          <w:sz w:val="21"/>
          <w:szCs w:val="21"/>
          <w:highlight w:val="none"/>
        </w:rPr>
        <w:br w:type="textWrapping"/>
      </w:r>
      <w:r>
        <w:rPr>
          <w:rFonts w:hint="eastAsia" w:ascii="宋体" w:hAnsi="宋体" w:eastAsia="宋体" w:cs="宋体"/>
          <w:bCs/>
          <w:color w:val="auto"/>
          <w:sz w:val="21"/>
          <w:szCs w:val="21"/>
          <w:highlight w:val="none"/>
        </w:rPr>
        <w:t>（一）农、林、牧、渔业。营业收入20000万元以下的为中小微型企业。其中，营业收入500万元及以上的为中型企业，营业收入50万元及以上的为小型企业，营业收入50万元以下的为微型企业。</w:t>
      </w:r>
    </w:p>
    <w:p w14:paraId="7A406228">
      <w:pPr>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4F24D7B">
      <w:pPr>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CEFFF6C">
      <w:pPr>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D73BC92">
      <w:pPr>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7BA34FC">
      <w:pPr>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597F9BF">
      <w:pPr>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33F9185">
      <w:pPr>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C7D26E4">
      <w:pPr>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DB3CCB7">
      <w:pPr>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E8B6551">
      <w:pPr>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6EBC259F">
      <w:pPr>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DF6F8FA">
      <w:pPr>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CEC82E7">
      <w:pPr>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6F181F6">
      <w:pPr>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1106941">
      <w:pPr>
        <w:pStyle w:val="8"/>
        <w:spacing w:line="36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（十六）其他未列明行业。从业人员300人以下的为中小微型企业。其中，从业人员100人及以上的为中型企业；从业人员10人及以上的为小型企业；从业人员10人以下的为微型企业。</w:t>
      </w:r>
    </w:p>
    <w:p w14:paraId="15EE512A">
      <w:pPr>
        <w:spacing w:line="360" w:lineRule="auto"/>
        <w:ind w:firstLine="482"/>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br w:type="page"/>
      </w:r>
    </w:p>
    <w:p w14:paraId="71362331">
      <w:pPr>
        <w:outlineLvl w:val="0"/>
        <w:rPr>
          <w:rFonts w:ascii="宋体" w:hAnsi="宋体" w:eastAsia="宋体" w:cs="宋体"/>
          <w:b/>
          <w:color w:val="auto"/>
          <w:sz w:val="21"/>
          <w:szCs w:val="21"/>
          <w:highlight w:val="none"/>
        </w:rPr>
      </w:pPr>
      <w:bookmarkStart w:id="273" w:name="_Toc32835904"/>
      <w:bookmarkEnd w:id="273"/>
      <w:bookmarkStart w:id="274" w:name="_Toc32835905"/>
      <w:bookmarkEnd w:id="274"/>
      <w:bookmarkStart w:id="275" w:name="_Toc3614"/>
      <w:r>
        <w:rPr>
          <w:rFonts w:hint="eastAsia" w:ascii="宋体" w:hAnsi="宋体" w:eastAsia="宋体" w:cs="宋体"/>
          <w:b/>
          <w:color w:val="auto"/>
          <w:sz w:val="21"/>
          <w:szCs w:val="21"/>
          <w:highlight w:val="none"/>
        </w:rPr>
        <w:t xml:space="preserve">附件5  </w:t>
      </w:r>
      <w:r>
        <w:rPr>
          <w:rFonts w:hint="eastAsia" w:ascii="宋体" w:hAnsi="宋体" w:eastAsia="宋体" w:cs="宋体"/>
          <w:color w:val="auto"/>
          <w:sz w:val="21"/>
          <w:szCs w:val="21"/>
          <w:highlight w:val="none"/>
        </w:rPr>
        <w:t xml:space="preserve"> </w:t>
      </w:r>
      <w:r>
        <w:rPr>
          <w:rFonts w:hint="eastAsia" w:ascii="宋体" w:hAnsi="宋体" w:eastAsia="宋体" w:cs="宋体"/>
          <w:b/>
          <w:color w:val="auto"/>
          <w:sz w:val="21"/>
          <w:szCs w:val="21"/>
          <w:highlight w:val="none"/>
        </w:rPr>
        <w:t>残疾人福利性单位声明函（非残疾人福利性单位可不附此表）</w:t>
      </w:r>
      <w:bookmarkEnd w:id="275"/>
    </w:p>
    <w:p w14:paraId="6387561E">
      <w:pPr>
        <w:rPr>
          <w:rFonts w:ascii="宋体" w:hAnsi="宋体" w:eastAsia="宋体" w:cs="宋体"/>
          <w:b/>
          <w:color w:val="auto"/>
          <w:sz w:val="21"/>
          <w:szCs w:val="21"/>
          <w:highlight w:val="none"/>
        </w:rPr>
      </w:pPr>
      <w:bookmarkStart w:id="276" w:name="OLE_LINK13"/>
      <w:r>
        <w:rPr>
          <w:rFonts w:hint="eastAsia" w:ascii="宋体" w:hAnsi="宋体" w:eastAsia="宋体" w:cs="宋体"/>
          <w:color w:val="auto"/>
          <w:sz w:val="21"/>
          <w:szCs w:val="21"/>
          <w:highlight w:val="none"/>
        </w:rPr>
        <w:t xml:space="preserve">         </w:t>
      </w:r>
      <w:r>
        <w:rPr>
          <w:rFonts w:hint="eastAsia" w:ascii="宋体" w:hAnsi="宋体" w:eastAsia="宋体" w:cs="宋体"/>
          <w:b/>
          <w:color w:val="auto"/>
          <w:sz w:val="21"/>
          <w:szCs w:val="21"/>
          <w:highlight w:val="none"/>
        </w:rPr>
        <w:t xml:space="preserve">                         </w:t>
      </w:r>
    </w:p>
    <w:bookmarkEnd w:id="276"/>
    <w:p w14:paraId="5C7CAEEE">
      <w:pPr>
        <w:jc w:val="center"/>
        <w:outlineLvl w:val="0"/>
        <w:rPr>
          <w:rFonts w:ascii="宋体" w:hAnsi="宋体" w:eastAsia="宋体" w:cs="宋体"/>
          <w:b/>
          <w:color w:val="auto"/>
          <w:sz w:val="21"/>
          <w:szCs w:val="21"/>
          <w:highlight w:val="none"/>
        </w:rPr>
      </w:pPr>
      <w:bookmarkStart w:id="277" w:name="_Toc32385"/>
      <w:r>
        <w:rPr>
          <w:rFonts w:hint="eastAsia" w:ascii="宋体" w:hAnsi="宋体" w:eastAsia="宋体" w:cs="宋体"/>
          <w:b/>
          <w:color w:val="auto"/>
          <w:sz w:val="21"/>
          <w:szCs w:val="21"/>
          <w:highlight w:val="none"/>
        </w:rPr>
        <w:t>残疾人福利性单位声明函</w:t>
      </w:r>
      <w:bookmarkEnd w:id="277"/>
    </w:p>
    <w:p w14:paraId="7AD91939">
      <w:pPr>
        <w:rPr>
          <w:rFonts w:ascii="宋体" w:hAnsi="宋体" w:eastAsia="宋体" w:cs="宋体"/>
          <w:b/>
          <w:color w:val="auto"/>
          <w:sz w:val="21"/>
          <w:szCs w:val="21"/>
          <w:highlight w:val="none"/>
        </w:rPr>
      </w:pPr>
    </w:p>
    <w:p w14:paraId="01635C9B">
      <w:pPr>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0D48691">
      <w:pPr>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本单位对上述声明的真实性负责。如有虚假，将依法承担相应责任。</w:t>
      </w:r>
    </w:p>
    <w:p w14:paraId="3A0BE4B4">
      <w:pPr>
        <w:snapToGrid w:val="0"/>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p w14:paraId="7FFABDAC">
      <w:pPr>
        <w:snapToGrid w:val="0"/>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单位名称（盖章）：</w:t>
      </w:r>
    </w:p>
    <w:p w14:paraId="0F1D7BB3">
      <w:pPr>
        <w:snapToGrid w:val="0"/>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日  期：</w:t>
      </w:r>
    </w:p>
    <w:p w14:paraId="41575887">
      <w:pPr>
        <w:rPr>
          <w:rFonts w:ascii="宋体" w:hAnsi="宋体" w:eastAsia="宋体" w:cs="宋体"/>
          <w:color w:val="auto"/>
          <w:sz w:val="21"/>
          <w:szCs w:val="21"/>
          <w:highlight w:val="none"/>
        </w:rPr>
      </w:pPr>
    </w:p>
    <w:p w14:paraId="64870979">
      <w:pPr>
        <w:pStyle w:val="8"/>
        <w:spacing w:line="360" w:lineRule="auto"/>
        <w:ind w:firstLine="422"/>
        <w:jc w:val="left"/>
        <w:outlineLvl w:val="0"/>
        <w:rPr>
          <w:rFonts w:ascii="宋体" w:hAnsi="宋体" w:eastAsia="宋体" w:cs="宋体"/>
          <w:b/>
          <w:color w:val="auto"/>
          <w:sz w:val="21"/>
          <w:szCs w:val="21"/>
          <w:highlight w:val="none"/>
        </w:rPr>
      </w:pPr>
      <w:bookmarkStart w:id="278" w:name="_Toc29668"/>
      <w:r>
        <w:rPr>
          <w:rFonts w:hint="eastAsia" w:ascii="宋体" w:hAnsi="宋体" w:eastAsia="宋体" w:cs="宋体"/>
          <w:b/>
          <w:color w:val="auto"/>
          <w:sz w:val="21"/>
          <w:szCs w:val="21"/>
          <w:highlight w:val="none"/>
        </w:rPr>
        <w:t>注：非残疾人福利性单位可不附此表</w:t>
      </w:r>
      <w:bookmarkEnd w:id="278"/>
    </w:p>
    <w:p w14:paraId="20057822">
      <w:pPr>
        <w:rPr>
          <w:rFonts w:ascii="宋体" w:hAnsi="宋体" w:eastAsia="宋体" w:cs="宋体"/>
          <w:b/>
          <w:color w:val="auto"/>
          <w:sz w:val="21"/>
          <w:szCs w:val="21"/>
          <w:highlight w:val="none"/>
        </w:rPr>
      </w:pPr>
    </w:p>
    <w:p w14:paraId="6ACE2E02">
      <w:pPr>
        <w:rPr>
          <w:rFonts w:ascii="宋体" w:hAnsi="宋体" w:eastAsia="宋体" w:cs="宋体"/>
          <w:b/>
          <w:color w:val="auto"/>
          <w:sz w:val="21"/>
          <w:szCs w:val="21"/>
          <w:highlight w:val="none"/>
        </w:rPr>
      </w:pPr>
    </w:p>
    <w:p w14:paraId="337F3204">
      <w:pPr>
        <w:rPr>
          <w:rFonts w:ascii="宋体" w:hAnsi="宋体" w:eastAsia="宋体" w:cs="宋体"/>
          <w:b/>
          <w:color w:val="auto"/>
          <w:sz w:val="21"/>
          <w:szCs w:val="21"/>
          <w:highlight w:val="none"/>
        </w:rPr>
      </w:pPr>
    </w:p>
    <w:p w14:paraId="0E9EB58B">
      <w:pPr>
        <w:rPr>
          <w:rFonts w:ascii="宋体" w:hAnsi="宋体" w:eastAsia="宋体" w:cs="宋体"/>
          <w:b/>
          <w:color w:val="auto"/>
          <w:sz w:val="21"/>
          <w:szCs w:val="21"/>
          <w:highlight w:val="none"/>
        </w:rPr>
      </w:pPr>
    </w:p>
    <w:p w14:paraId="7FC556AF">
      <w:pPr>
        <w:rPr>
          <w:rFonts w:ascii="宋体" w:hAnsi="宋体" w:eastAsia="宋体" w:cs="宋体"/>
          <w:b/>
          <w:color w:val="auto"/>
          <w:sz w:val="21"/>
          <w:szCs w:val="21"/>
          <w:highlight w:val="none"/>
        </w:rPr>
      </w:pPr>
    </w:p>
    <w:p w14:paraId="561F5E2E">
      <w:pPr>
        <w:rPr>
          <w:rFonts w:ascii="宋体" w:hAnsi="宋体" w:eastAsia="宋体" w:cs="宋体"/>
          <w:b/>
          <w:color w:val="auto"/>
          <w:sz w:val="21"/>
          <w:szCs w:val="21"/>
          <w:highlight w:val="none"/>
        </w:rPr>
      </w:pPr>
    </w:p>
    <w:p w14:paraId="06F71597">
      <w:pPr>
        <w:rPr>
          <w:rFonts w:ascii="宋体" w:hAnsi="宋体" w:eastAsia="宋体" w:cs="宋体"/>
          <w:b/>
          <w:color w:val="auto"/>
          <w:sz w:val="21"/>
          <w:szCs w:val="21"/>
          <w:highlight w:val="none"/>
        </w:rPr>
      </w:pPr>
    </w:p>
    <w:p w14:paraId="728512B0">
      <w:pPr>
        <w:rPr>
          <w:rFonts w:ascii="宋体" w:hAnsi="宋体" w:eastAsia="宋体" w:cs="宋体"/>
          <w:b/>
          <w:color w:val="auto"/>
          <w:sz w:val="21"/>
          <w:szCs w:val="21"/>
          <w:highlight w:val="none"/>
        </w:rPr>
      </w:pPr>
    </w:p>
    <w:p w14:paraId="20769ECA">
      <w:pPr>
        <w:rPr>
          <w:rFonts w:ascii="宋体" w:hAnsi="宋体" w:eastAsia="宋体" w:cs="宋体"/>
          <w:b/>
          <w:color w:val="auto"/>
          <w:sz w:val="21"/>
          <w:szCs w:val="21"/>
          <w:highlight w:val="none"/>
        </w:rPr>
      </w:pPr>
    </w:p>
    <w:p w14:paraId="319D7C1C">
      <w:pPr>
        <w:rPr>
          <w:rFonts w:ascii="宋体" w:hAnsi="宋体" w:eastAsia="宋体" w:cs="宋体"/>
          <w:b/>
          <w:color w:val="auto"/>
          <w:sz w:val="21"/>
          <w:szCs w:val="21"/>
          <w:highlight w:val="none"/>
        </w:rPr>
      </w:pPr>
    </w:p>
    <w:p w14:paraId="48BF7A70">
      <w:pPr>
        <w:outlineLvl w:val="0"/>
        <w:rPr>
          <w:rFonts w:ascii="宋体" w:hAnsi="宋体" w:eastAsia="宋体" w:cs="宋体"/>
          <w:b/>
          <w:color w:val="auto"/>
          <w:sz w:val="21"/>
          <w:szCs w:val="21"/>
          <w:highlight w:val="none"/>
        </w:rPr>
      </w:pPr>
      <w:bookmarkStart w:id="279" w:name="_Toc32835908"/>
      <w:bookmarkEnd w:id="279"/>
      <w:bookmarkStart w:id="280" w:name="_Toc16004"/>
      <w:r>
        <w:rPr>
          <w:rFonts w:hint="eastAsia" w:ascii="宋体" w:hAnsi="宋体" w:eastAsia="宋体" w:cs="宋体"/>
          <w:b/>
          <w:color w:val="auto"/>
          <w:sz w:val="21"/>
          <w:szCs w:val="21"/>
          <w:highlight w:val="none"/>
        </w:rPr>
        <w:t>附件6</w:t>
      </w:r>
      <w:bookmarkEnd w:id="280"/>
    </w:p>
    <w:p w14:paraId="4434FBAF">
      <w:pPr>
        <w:rPr>
          <w:rFonts w:ascii="宋体" w:hAnsi="宋体" w:eastAsia="宋体" w:cs="宋体"/>
          <w:b/>
          <w:color w:val="auto"/>
          <w:sz w:val="21"/>
          <w:szCs w:val="21"/>
          <w:highlight w:val="none"/>
        </w:rPr>
      </w:pPr>
      <w:bookmarkStart w:id="281" w:name="_Toc32835909"/>
      <w:bookmarkEnd w:id="281"/>
      <w:r>
        <w:rPr>
          <w:rFonts w:hint="eastAsia" w:ascii="宋体" w:hAnsi="宋体" w:eastAsia="宋体" w:cs="宋体"/>
          <w:b/>
          <w:color w:val="auto"/>
          <w:sz w:val="21"/>
          <w:szCs w:val="21"/>
          <w:highlight w:val="none"/>
        </w:rPr>
        <w:t>供应商认为需要提交的其他证明材料</w:t>
      </w:r>
    </w:p>
    <w:p w14:paraId="630AE1B8">
      <w:pPr>
        <w:spacing w:line="360" w:lineRule="auto"/>
        <w:rPr>
          <w:rFonts w:ascii="宋体" w:hAnsi="宋体" w:eastAsia="宋体" w:cs="宋体"/>
          <w:color w:val="auto"/>
          <w:sz w:val="21"/>
          <w:szCs w:val="21"/>
          <w:highlight w:val="none"/>
        </w:rPr>
      </w:pPr>
    </w:p>
    <w:p w14:paraId="4AB8466D">
      <w:pPr>
        <w:pStyle w:val="12"/>
        <w:tabs>
          <w:tab w:val="left" w:pos="6400"/>
        </w:tabs>
        <w:adjustRightInd w:val="0"/>
        <w:snapToGrid w:val="0"/>
        <w:spacing w:line="360" w:lineRule="auto"/>
        <w:ind w:left="480"/>
        <w:rPr>
          <w:rFonts w:ascii="宋体" w:hAnsi="宋体" w:eastAsia="宋体" w:cs="宋体"/>
          <w:b/>
          <w:color w:val="auto"/>
          <w:sz w:val="21"/>
          <w:szCs w:val="21"/>
          <w:highlight w:val="none"/>
        </w:rPr>
      </w:pPr>
    </w:p>
    <w:p w14:paraId="2A71132A">
      <w:pPr>
        <w:rPr>
          <w:rFonts w:ascii="宋体" w:hAnsi="宋体" w:eastAsia="宋体" w:cs="宋体"/>
          <w:color w:val="auto"/>
          <w:sz w:val="21"/>
          <w:szCs w:val="21"/>
          <w:highlight w:val="none"/>
        </w:rPr>
      </w:pPr>
    </w:p>
    <w:sectPr>
      <w:headerReference r:id="rId8" w:type="default"/>
      <w:footerReference r:id="rId9" w:type="default"/>
      <w:pgSz w:w="11906" w:h="16838"/>
      <w:pgMar w:top="1417" w:right="1417" w:bottom="1417" w:left="1417" w:header="851"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仿宋"/>
    <w:panose1 w:val="00000000000000000000"/>
    <w:charset w:val="00"/>
    <w:family w:val="auto"/>
    <w:pitch w:val="default"/>
    <w:sig w:usb0="00000000" w:usb1="00000000" w:usb2="00000000" w:usb3="00000000" w:csb0="00000000"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等线">
    <w:panose1 w:val="02010600030101010101"/>
    <w:charset w:val="86"/>
    <w:family w:val="auto"/>
    <w:pitch w:val="default"/>
    <w:sig w:usb0="A00002BF" w:usb1="38CF7CFA" w:usb2="00000016" w:usb3="00000000" w:csb0="0004000F"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3EA23">
    <w:pPr>
      <w:pStyle w:val="17"/>
      <w:pBdr>
        <w:top w:val="single" w:color="auto" w:sz="4" w:space="0"/>
      </w:pBdr>
      <w:rPr>
        <w:rFonts w:ascii="宋体" w:hAnsi="宋体" w:eastAsia="宋体" w:cs="宋体"/>
      </w:rPr>
    </w:pPr>
    <w:r>
      <w:rPr>
        <w:sz w:val="21"/>
      </w:rP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_x0000_s1028"/>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0204B4D7">
                          <w:pPr>
                            <w:pStyle w:val="17"/>
                            <w:jc w:val="center"/>
                          </w:pPr>
                          <w:r>
                            <w:fldChar w:fldCharType="begin"/>
                          </w:r>
                          <w:r>
                            <w:instrText xml:space="preserve"> PAGE  \* MERGEFORMAT </w:instrText>
                          </w:r>
                          <w:r>
                            <w:fldChar w:fldCharType="separate"/>
                          </w:r>
                          <w:r>
                            <w:t>2</w:t>
                          </w:r>
                          <w:r>
                            <w:fldChar w:fldCharType="end"/>
                          </w:r>
                        </w:p>
                      </w:txbxContent>
                    </wps:txbx>
                    <wps:bodyPr rot="0" vert="horz" wrap="square" lIns="91440" tIns="45720" rIns="91440" bIns="45720" anchor="t" anchorCtr="0"/>
                  </wps:wsp>
                </a:graphicData>
              </a:graphic>
            </wp:anchor>
          </w:drawing>
        </mc:Choice>
        <mc:Fallback>
          <w:pict>
            <v:rect id="_x0000_s1028" o:spid="_x0000_s1026" o:spt="1" style="position:absolute;left:0pt;margin-top:0pt;height:144pt;width:144pt;mso-position-horizontal:center;mso-position-horizontal-relative:margin;z-index:251661312;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Yxs8E0wAAAAUBAAAPAAAAAAAAAAEAIAAAACIAAABkcnMvZG93bnJldi54bWxQSwECFAAUAAAA&#10;CACHTuJAsefhlLoBAACGAwAADgAAAAAAAAABACAAAAAiAQAAZHJzL2Uyb0RvYy54bWxQSwUGAAAA&#10;AAYABgBZAQAATgUAAAAA&#10;">
              <v:fill on="f" focussize="0,0"/>
              <v:stroke on="f"/>
              <v:imagedata o:title=""/>
              <o:lock v:ext="edit" aspectratio="f"/>
              <v:textbox>
                <w:txbxContent>
                  <w:p w14:paraId="0204B4D7">
                    <w:pPr>
                      <w:pStyle w:val="17"/>
                      <w:jc w:val="center"/>
                    </w:pPr>
                    <w:r>
                      <w:fldChar w:fldCharType="begin"/>
                    </w:r>
                    <w:r>
                      <w:instrText xml:space="preserve"> PAGE  \* MERGEFORMAT </w:instrText>
                    </w:r>
                    <w:r>
                      <w:fldChar w:fldCharType="separate"/>
                    </w:r>
                    <w:r>
                      <w:t>2</w:t>
                    </w:r>
                    <w:r>
                      <w:fldChar w:fldCharType="end"/>
                    </w:r>
                  </w:p>
                </w:txbxContent>
              </v:textbox>
            </v:rect>
          </w:pict>
        </mc:Fallback>
      </mc:AlternateContent>
    </w:r>
    <w:r>
      <w:rPr>
        <w:rFonts w:hint="eastAsia" w:ascii="宋体" w:hAnsi="宋体" w:eastAsia="宋体" w:cs="宋体"/>
        <w:sz w:val="21"/>
        <w:szCs w:val="21"/>
      </w:rPr>
      <w:t xml:space="preserve">河南省至诚招标采购服务有限公司 </w:t>
    </w:r>
    <w:r>
      <w:rPr>
        <w:rFonts w:hint="eastAsia"/>
      </w:rPr>
      <w:t xml:space="preserve">                                            </w:t>
    </w:r>
    <w:r>
      <w:rPr>
        <w:rFonts w:hint="eastAsia" w:ascii="宋体" w:hAnsi="宋体" w:eastAsia="宋体" w:cs="宋体"/>
        <w:sz w:val="21"/>
        <w:szCs w:val="21"/>
      </w:rPr>
      <w:t>0371-63868876/97</w:t>
    </w:r>
  </w:p>
  <w:p w14:paraId="54DADA3E">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DE65B">
    <w:pPr>
      <w:pStyle w:val="17"/>
      <w:pBdr>
        <w:top w:val="single" w:color="auto" w:sz="4" w:space="0"/>
      </w:pBdr>
      <w:rPr>
        <w:rFonts w:ascii="宋体" w:hAnsi="宋体" w:eastAsia="宋体" w:cs="宋体"/>
      </w:rPr>
    </w:pPr>
    <w:r>
      <w:rPr>
        <w:sz w:val="21"/>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_x0000_s1029"/>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4DAA7183">
                          <w:pPr>
                            <w:pStyle w:val="17"/>
                          </w:pPr>
                          <w:r>
                            <w:fldChar w:fldCharType="begin"/>
                          </w:r>
                          <w:r>
                            <w:instrText xml:space="preserve"> PAGE  \* MERGEFORMAT </w:instrText>
                          </w:r>
                          <w:r>
                            <w:fldChar w:fldCharType="separate"/>
                          </w:r>
                          <w:r>
                            <w:t>40</w:t>
                          </w:r>
                          <w:r>
                            <w:fldChar w:fldCharType="end"/>
                          </w:r>
                        </w:p>
                      </w:txbxContent>
                    </wps:txbx>
                    <wps:bodyPr rot="0" vert="horz" wrap="square" lIns="91440" tIns="45720" rIns="91440" bIns="45720" anchor="t" anchorCtr="0"/>
                  </wps:wsp>
                </a:graphicData>
              </a:graphic>
            </wp:anchor>
          </w:drawing>
        </mc:Choice>
        <mc:Fallback>
          <w:pict>
            <v:rect id="_x0000_s1029" o:spid="_x0000_s1026" o:spt="1"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Yxs8E0wAAAAUBAAAPAAAAAAAAAAEAIAAAACIAAABkcnMvZG93bnJldi54bWxQSwECFAAUAAAA&#10;CACHTuJAm+gmBboBAACGAwAADgAAAAAAAAABACAAAAAiAQAAZHJzL2Uyb0RvYy54bWxQSwUGAAAA&#10;AAYABgBZAQAATgUAAAAA&#10;">
              <v:fill on="f" focussize="0,0"/>
              <v:stroke on="f"/>
              <v:imagedata o:title=""/>
              <o:lock v:ext="edit" aspectratio="f"/>
              <v:textbox>
                <w:txbxContent>
                  <w:p w14:paraId="4DAA7183">
                    <w:pPr>
                      <w:pStyle w:val="17"/>
                    </w:pPr>
                    <w:r>
                      <w:fldChar w:fldCharType="begin"/>
                    </w:r>
                    <w:r>
                      <w:instrText xml:space="preserve"> PAGE  \* MERGEFORMAT </w:instrText>
                    </w:r>
                    <w:r>
                      <w:fldChar w:fldCharType="separate"/>
                    </w:r>
                    <w:r>
                      <w:t>40</w:t>
                    </w:r>
                    <w:r>
                      <w:fldChar w:fldCharType="end"/>
                    </w:r>
                  </w:p>
                </w:txbxContent>
              </v:textbox>
            </v:rect>
          </w:pict>
        </mc:Fallback>
      </mc:AlternateContent>
    </w:r>
    <w:r>
      <w:rPr>
        <w:rFonts w:hint="eastAsia" w:ascii="宋体" w:hAnsi="宋体" w:eastAsia="宋体" w:cs="宋体"/>
        <w:sz w:val="21"/>
        <w:szCs w:val="21"/>
      </w:rPr>
      <w:t xml:space="preserve">河南省至诚招标采购服务有限公司 </w:t>
    </w:r>
    <w:r>
      <w:rPr>
        <w:rFonts w:hint="eastAsia"/>
      </w:rPr>
      <w:t xml:space="preserve">                                            </w:t>
    </w:r>
    <w:r>
      <w:rPr>
        <w:rFonts w:hint="eastAsia" w:ascii="宋体" w:hAnsi="宋体" w:eastAsia="宋体" w:cs="宋体"/>
        <w:sz w:val="21"/>
        <w:szCs w:val="21"/>
      </w:rPr>
      <w:t>0371-63868876/97</w:t>
    </w:r>
  </w:p>
  <w:p w14:paraId="170D3307">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1371B">
    <w:pPr>
      <w:pStyle w:val="1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8DC3103">
                          <w:pPr>
                            <w:pStyle w:val="17"/>
                            <w:jc w:val="center"/>
                          </w:pPr>
                          <w:r>
                            <w:fldChar w:fldCharType="begin"/>
                          </w:r>
                          <w:r>
                            <w:instrText xml:space="preserve">PAGE   \* MERGEFORMAT</w:instrText>
                          </w:r>
                          <w:r>
                            <w:fldChar w:fldCharType="separate"/>
                          </w:r>
                          <w:r>
                            <w:rPr>
                              <w:lang w:val="zh-CN"/>
                            </w:rPr>
                            <w:t>9</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Z3r480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eOBl3mKdHfHiONlCdNHUZYYpgcer/Mddq1tCCP/Vz18H9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6Z3r480BAACnAwAADgAAAAAAAAABACAAAAAeAQAAZHJzL2Uy&#10;b0RvYy54bWxQSwUGAAAAAAYABgBZAQAAXQUAAAAA&#10;">
              <v:fill on="f" focussize="0,0"/>
              <v:stroke on="f"/>
              <v:imagedata o:title=""/>
              <o:lock v:ext="edit" aspectratio="f"/>
              <v:textbox inset="0mm,0mm,0mm,0mm" style="mso-fit-shape-to-text:t;">
                <w:txbxContent>
                  <w:p w14:paraId="48DC3103">
                    <w:pPr>
                      <w:pStyle w:val="17"/>
                      <w:jc w:val="center"/>
                    </w:pPr>
                    <w:r>
                      <w:fldChar w:fldCharType="begin"/>
                    </w:r>
                    <w:r>
                      <w:instrText xml:space="preserve">PAGE   \* MERGEFORMAT</w:instrText>
                    </w:r>
                    <w:r>
                      <w:fldChar w:fldCharType="separate"/>
                    </w:r>
                    <w:r>
                      <w:rPr>
                        <w:lang w:val="zh-CN"/>
                      </w:rPr>
                      <w:t>9</w:t>
                    </w:r>
                    <w:r>
                      <w:rPr>
                        <w:lang w:val="zh-CN"/>
                      </w:rPr>
                      <w:fldChar w:fldCharType="end"/>
                    </w:r>
                  </w:p>
                </w:txbxContent>
              </v:textbox>
            </v:shape>
          </w:pict>
        </mc:Fallback>
      </mc:AlternateContent>
    </w:r>
  </w:p>
  <w:p w14:paraId="4E50D8C3">
    <w:pPr>
      <w:pStyle w:val="17"/>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32C33">
    <w:pPr>
      <w:pStyle w:val="17"/>
      <w:pBdr>
        <w:top w:val="single" w:color="auto" w:sz="4" w:space="0"/>
      </w:pBdr>
      <w:rPr>
        <w:rFonts w:ascii="宋体" w:hAnsi="宋体" w:eastAsia="宋体" w:cs="宋体"/>
      </w:rPr>
    </w:pPr>
    <w:r>
      <w:rPr>
        <w:sz w:val="21"/>
      </w:rPr>
      <mc:AlternateContent>
        <mc:Choice Requires="wps">
          <w:drawing>
            <wp:anchor distT="0" distB="0" distL="0" distR="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_x0000_s1027"/>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799BFC29">
                          <w:pPr>
                            <w:pStyle w:val="17"/>
                            <w:jc w:val="center"/>
                          </w:pPr>
                          <w:r>
                            <w:fldChar w:fldCharType="begin"/>
                          </w:r>
                          <w:r>
                            <w:instrText xml:space="preserve"> PAGE  \* MERGEFORMAT </w:instrText>
                          </w:r>
                          <w:r>
                            <w:fldChar w:fldCharType="separate"/>
                          </w:r>
                          <w:r>
                            <w:t>76</w:t>
                          </w:r>
                          <w:r>
                            <w:fldChar w:fldCharType="end"/>
                          </w:r>
                        </w:p>
                      </w:txbxContent>
                    </wps:txbx>
                    <wps:bodyPr rot="0" vert="horz" wrap="square" lIns="91440" tIns="45720" rIns="91440" bIns="45720" anchor="t" anchorCtr="0"/>
                  </wps:wsp>
                </a:graphicData>
              </a:graphic>
            </wp:anchor>
          </w:drawing>
        </mc:Choice>
        <mc:Fallback>
          <w:pict>
            <v:rect id="_x0000_s1027" o:spid="_x0000_s1026" o:spt="1" style="position:absolute;left:0pt;margin-top:0pt;height:144pt;width:144pt;mso-position-horizontal:center;mso-position-horizontal-relative:margin;z-index:251662336;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Yxs8E0wAAAAUBAAAPAAAAAAAAAAEAIAAAACIAAABkcnMvZG93bnJldi54bWxQSwECFAAUAAAA&#10;CACHTuJAO4LSWLoBAACGAwAADgAAAAAAAAABACAAAAAiAQAAZHJzL2Uyb0RvYy54bWxQSwUGAAAA&#10;AAYABgBZAQAATgUAAAAA&#10;">
              <v:fill on="f" focussize="0,0"/>
              <v:stroke on="f"/>
              <v:imagedata o:title=""/>
              <o:lock v:ext="edit" aspectratio="f"/>
              <v:textbox>
                <w:txbxContent>
                  <w:p w14:paraId="799BFC29">
                    <w:pPr>
                      <w:pStyle w:val="17"/>
                      <w:jc w:val="center"/>
                    </w:pPr>
                    <w:r>
                      <w:fldChar w:fldCharType="begin"/>
                    </w:r>
                    <w:r>
                      <w:instrText xml:space="preserve"> PAGE  \* MERGEFORMAT </w:instrText>
                    </w:r>
                    <w:r>
                      <w:fldChar w:fldCharType="separate"/>
                    </w:r>
                    <w:r>
                      <w:t>76</w:t>
                    </w:r>
                    <w:r>
                      <w:fldChar w:fldCharType="end"/>
                    </w:r>
                  </w:p>
                </w:txbxContent>
              </v:textbox>
            </v:rect>
          </w:pict>
        </mc:Fallback>
      </mc:AlternateContent>
    </w:r>
    <w:r>
      <w:rPr>
        <w:rFonts w:hint="eastAsia" w:ascii="宋体" w:hAnsi="宋体" w:eastAsia="宋体" w:cs="宋体"/>
        <w:sz w:val="21"/>
        <w:szCs w:val="21"/>
      </w:rPr>
      <w:t xml:space="preserve">河南省至诚招标采购服务有限公司 </w:t>
    </w:r>
    <w:r>
      <w:rPr>
        <w:rFonts w:hint="eastAsia"/>
      </w:rPr>
      <w:t xml:space="preserve">                                           </w:t>
    </w:r>
    <w:r>
      <w:rPr>
        <w:rFonts w:hint="eastAsia" w:ascii="宋体" w:hAnsi="宋体" w:eastAsia="宋体" w:cs="宋体"/>
        <w:sz w:val="21"/>
        <w:szCs w:val="21"/>
      </w:rPr>
      <w:t>0371-63868876/97</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2C962">
    <w:pPr>
      <w:pStyle w:val="18"/>
      <w:pBdr>
        <w:bottom w:val="single" w:color="auto" w:sz="4" w:space="1"/>
      </w:pBdr>
      <w:jc w:val="left"/>
      <w:rPr>
        <w:rFonts w:eastAsia="宋体"/>
      </w:rPr>
    </w:pPr>
    <w:r>
      <w:rPr>
        <w:rFonts w:hint="eastAsia" w:ascii="宋体" w:hAnsi="宋体" w:eastAsia="宋体" w:cs="宋体"/>
        <w:sz w:val="21"/>
        <w:szCs w:val="21"/>
        <w:lang w:eastAsia="zh-CN"/>
      </w:rPr>
      <w:t>河南省体育局购置河南省参加第十五届全运会群众赛事代表团装备项目</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竞争性磋商文件</w:t>
    </w:r>
  </w:p>
  <w:p w14:paraId="2E9761FD">
    <w:pPr>
      <w:pStyle w:val="18"/>
      <w:pBdr>
        <w:bottom w:val="none" w:color="auto" w:sz="0" w:space="1"/>
      </w:pBdr>
      <w:tabs>
        <w:tab w:val="left" w:pos="967"/>
        <w:tab w:val="clear" w:pos="4153"/>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BDE52">
    <w:pPr>
      <w:pStyle w:val="18"/>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BBE4C">
    <w:pPr>
      <w:pStyle w:val="18"/>
      <w:pBdr>
        <w:bottom w:val="single" w:color="auto" w:sz="4" w:space="1"/>
      </w:pBdr>
      <w:jc w:val="left"/>
      <w:rPr>
        <w:rFonts w:eastAsia="宋体"/>
      </w:rPr>
    </w:pPr>
    <w:r>
      <w:rPr>
        <w:rFonts w:hint="eastAsia" w:ascii="宋体" w:hAnsi="宋体" w:eastAsia="宋体" w:cs="宋体"/>
        <w:sz w:val="21"/>
        <w:szCs w:val="21"/>
        <w:lang w:eastAsia="zh-CN"/>
      </w:rPr>
      <w:t>河南省体育局购置河南省参加第十五届全运会群众赛事代表团装备项目</w:t>
    </w:r>
    <w:r>
      <w:rPr>
        <w:rFonts w:hint="eastAsia" w:ascii="宋体" w:hAnsi="宋体" w:eastAsia="宋体" w:cs="宋体"/>
        <w:sz w:val="21"/>
        <w:szCs w:val="21"/>
      </w:rPr>
      <w:t xml:space="preserve">      竞争性磋商文件</w:t>
    </w:r>
  </w:p>
  <w:p w14:paraId="2861B8FA">
    <w:pPr>
      <w:pStyle w:val="18"/>
      <w:pBdr>
        <w:bottom w:val="none" w:color="auto" w:sz="0" w:space="1"/>
      </w:pBdr>
      <w:tabs>
        <w:tab w:val="left" w:pos="967"/>
        <w:tab w:val="clear" w:pos="4153"/>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367B3C"/>
    <w:multiLevelType w:val="singleLevel"/>
    <w:tmpl w:val="86367B3C"/>
    <w:lvl w:ilvl="0" w:tentative="0">
      <w:start w:val="1"/>
      <w:numFmt w:val="decimal"/>
      <w:suff w:val="nothing"/>
      <w:lvlText w:val="%1、"/>
      <w:lvlJc w:val="left"/>
    </w:lvl>
  </w:abstractNum>
  <w:abstractNum w:abstractNumId="1">
    <w:nsid w:val="BC5BCE3E"/>
    <w:multiLevelType w:val="singleLevel"/>
    <w:tmpl w:val="BC5BCE3E"/>
    <w:lvl w:ilvl="0" w:tentative="0">
      <w:start w:val="1"/>
      <w:numFmt w:val="decimal"/>
      <w:suff w:val="nothing"/>
      <w:lvlText w:val="%1、"/>
      <w:lvlJc w:val="left"/>
    </w:lvl>
  </w:abstractNum>
  <w:abstractNum w:abstractNumId="2">
    <w:nsid w:val="C1795C6A"/>
    <w:multiLevelType w:val="singleLevel"/>
    <w:tmpl w:val="C1795C6A"/>
    <w:lvl w:ilvl="0" w:tentative="0">
      <w:start w:val="1"/>
      <w:numFmt w:val="decimal"/>
      <w:suff w:val="nothing"/>
      <w:lvlText w:val="%1、"/>
      <w:lvlJc w:val="left"/>
    </w:lvl>
  </w:abstractNum>
  <w:abstractNum w:abstractNumId="3">
    <w:nsid w:val="D54C9360"/>
    <w:multiLevelType w:val="singleLevel"/>
    <w:tmpl w:val="D54C9360"/>
    <w:lvl w:ilvl="0" w:tentative="0">
      <w:start w:val="2"/>
      <w:numFmt w:val="decimal"/>
      <w:suff w:val="nothing"/>
      <w:lvlText w:val="（%1）"/>
      <w:lvlJc w:val="left"/>
    </w:lvl>
  </w:abstractNum>
  <w:abstractNum w:abstractNumId="4">
    <w:nsid w:val="F653C438"/>
    <w:multiLevelType w:val="singleLevel"/>
    <w:tmpl w:val="F653C438"/>
    <w:lvl w:ilvl="0" w:tentative="0">
      <w:start w:val="1"/>
      <w:numFmt w:val="decimal"/>
      <w:suff w:val="nothing"/>
      <w:lvlText w:val="%1、"/>
      <w:lvlJc w:val="left"/>
    </w:lvl>
  </w:abstractNum>
  <w:abstractNum w:abstractNumId="5">
    <w:nsid w:val="219ECD90"/>
    <w:multiLevelType w:val="singleLevel"/>
    <w:tmpl w:val="219ECD90"/>
    <w:lvl w:ilvl="0" w:tentative="0">
      <w:start w:val="3"/>
      <w:numFmt w:val="decimal"/>
      <w:suff w:val="nothing"/>
      <w:lvlText w:val="%1、"/>
      <w:lvlJc w:val="left"/>
    </w:lvl>
  </w:abstractNum>
  <w:abstractNum w:abstractNumId="6">
    <w:nsid w:val="2C7A5F8C"/>
    <w:multiLevelType w:val="singleLevel"/>
    <w:tmpl w:val="2C7A5F8C"/>
    <w:lvl w:ilvl="0" w:tentative="0">
      <w:start w:val="1"/>
      <w:numFmt w:val="decimal"/>
      <w:suff w:val="nothing"/>
      <w:lvlText w:val="%1、"/>
      <w:lvlJc w:val="left"/>
    </w:lvl>
  </w:abstractNum>
  <w:abstractNum w:abstractNumId="7">
    <w:nsid w:val="726177B7"/>
    <w:multiLevelType w:val="singleLevel"/>
    <w:tmpl w:val="726177B7"/>
    <w:lvl w:ilvl="0" w:tentative="0">
      <w:start w:val="1"/>
      <w:numFmt w:val="decimal"/>
      <w:suff w:val="nothing"/>
      <w:lvlText w:val="%1、"/>
      <w:lvlJc w:val="left"/>
    </w:lvl>
  </w:abstractNum>
  <w:num w:numId="1">
    <w:abstractNumId w:val="5"/>
  </w:num>
  <w:num w:numId="2">
    <w:abstractNumId w:val="3"/>
  </w:num>
  <w:num w:numId="3">
    <w:abstractNumId w:val="6"/>
  </w:num>
  <w:num w:numId="4">
    <w:abstractNumId w:val="1"/>
  </w:num>
  <w:num w:numId="5">
    <w:abstractNumId w:val="2"/>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VerticalSpacing w:val="16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UyZGNlNmZhMzVmMDZhMGMwMTQ1N2UwYTYwNzkxYWYifQ=="/>
  </w:docVars>
  <w:rsids>
    <w:rsidRoot w:val="0DBF5581"/>
    <w:rsid w:val="000114BE"/>
    <w:rsid w:val="0004291F"/>
    <w:rsid w:val="0004730F"/>
    <w:rsid w:val="000F461E"/>
    <w:rsid w:val="00104A02"/>
    <w:rsid w:val="00136550"/>
    <w:rsid w:val="00205F2D"/>
    <w:rsid w:val="002130FA"/>
    <w:rsid w:val="00221076"/>
    <w:rsid w:val="00282071"/>
    <w:rsid w:val="002860EE"/>
    <w:rsid w:val="002B3603"/>
    <w:rsid w:val="002C4C2B"/>
    <w:rsid w:val="00305736"/>
    <w:rsid w:val="003B165B"/>
    <w:rsid w:val="00442460"/>
    <w:rsid w:val="0046375D"/>
    <w:rsid w:val="00492D14"/>
    <w:rsid w:val="004A03FF"/>
    <w:rsid w:val="005106AD"/>
    <w:rsid w:val="0069623D"/>
    <w:rsid w:val="006A2D82"/>
    <w:rsid w:val="007737A7"/>
    <w:rsid w:val="00781F36"/>
    <w:rsid w:val="007A2725"/>
    <w:rsid w:val="007A3222"/>
    <w:rsid w:val="007D3E40"/>
    <w:rsid w:val="007F6617"/>
    <w:rsid w:val="0081735A"/>
    <w:rsid w:val="00854599"/>
    <w:rsid w:val="00867958"/>
    <w:rsid w:val="0088459F"/>
    <w:rsid w:val="008B2E6E"/>
    <w:rsid w:val="008B4DDE"/>
    <w:rsid w:val="00905953"/>
    <w:rsid w:val="00926225"/>
    <w:rsid w:val="009F041C"/>
    <w:rsid w:val="00A233DC"/>
    <w:rsid w:val="00A31BED"/>
    <w:rsid w:val="00A564B6"/>
    <w:rsid w:val="00A922FE"/>
    <w:rsid w:val="00AA3804"/>
    <w:rsid w:val="00AD705F"/>
    <w:rsid w:val="00B5420F"/>
    <w:rsid w:val="00B83B11"/>
    <w:rsid w:val="00BA39A8"/>
    <w:rsid w:val="00BA3AA1"/>
    <w:rsid w:val="00BB6499"/>
    <w:rsid w:val="00BD1534"/>
    <w:rsid w:val="00C47663"/>
    <w:rsid w:val="00C47BD3"/>
    <w:rsid w:val="00C83AE2"/>
    <w:rsid w:val="00C909BB"/>
    <w:rsid w:val="00CD1378"/>
    <w:rsid w:val="00CF1417"/>
    <w:rsid w:val="00D45153"/>
    <w:rsid w:val="00D9403D"/>
    <w:rsid w:val="00DE2FCF"/>
    <w:rsid w:val="00DE7170"/>
    <w:rsid w:val="00E33B91"/>
    <w:rsid w:val="00E600BD"/>
    <w:rsid w:val="00E751BB"/>
    <w:rsid w:val="00EF272A"/>
    <w:rsid w:val="00EF417C"/>
    <w:rsid w:val="00F00834"/>
    <w:rsid w:val="00F34695"/>
    <w:rsid w:val="00F46D15"/>
    <w:rsid w:val="00F625AA"/>
    <w:rsid w:val="00F86122"/>
    <w:rsid w:val="01153A53"/>
    <w:rsid w:val="0127533C"/>
    <w:rsid w:val="0132783D"/>
    <w:rsid w:val="01336FF2"/>
    <w:rsid w:val="013B0DE8"/>
    <w:rsid w:val="01407589"/>
    <w:rsid w:val="014A102B"/>
    <w:rsid w:val="014D629C"/>
    <w:rsid w:val="017E6F26"/>
    <w:rsid w:val="018B21AE"/>
    <w:rsid w:val="01924395"/>
    <w:rsid w:val="0199599B"/>
    <w:rsid w:val="01A3073B"/>
    <w:rsid w:val="01AF64BC"/>
    <w:rsid w:val="01B15800"/>
    <w:rsid w:val="01D46165"/>
    <w:rsid w:val="01F4360C"/>
    <w:rsid w:val="01F4561D"/>
    <w:rsid w:val="01F646A9"/>
    <w:rsid w:val="020D13EC"/>
    <w:rsid w:val="02182ED7"/>
    <w:rsid w:val="021B4775"/>
    <w:rsid w:val="02315AA6"/>
    <w:rsid w:val="027F05BD"/>
    <w:rsid w:val="02811B44"/>
    <w:rsid w:val="028247F4"/>
    <w:rsid w:val="028D5DB7"/>
    <w:rsid w:val="02987B74"/>
    <w:rsid w:val="02A00385"/>
    <w:rsid w:val="02C24BF1"/>
    <w:rsid w:val="02DA4630"/>
    <w:rsid w:val="02DA7875"/>
    <w:rsid w:val="02DE6605"/>
    <w:rsid w:val="02F65DB7"/>
    <w:rsid w:val="03127926"/>
    <w:rsid w:val="031C4849"/>
    <w:rsid w:val="03404493"/>
    <w:rsid w:val="03433F84"/>
    <w:rsid w:val="035A0DE8"/>
    <w:rsid w:val="038975FB"/>
    <w:rsid w:val="0398646F"/>
    <w:rsid w:val="039B5B6E"/>
    <w:rsid w:val="03BF0066"/>
    <w:rsid w:val="03E72B61"/>
    <w:rsid w:val="04117BDE"/>
    <w:rsid w:val="041B0491"/>
    <w:rsid w:val="04307BD0"/>
    <w:rsid w:val="0452398B"/>
    <w:rsid w:val="04684391"/>
    <w:rsid w:val="04776088"/>
    <w:rsid w:val="04810F0C"/>
    <w:rsid w:val="049A115C"/>
    <w:rsid w:val="04BF728B"/>
    <w:rsid w:val="04E76AA2"/>
    <w:rsid w:val="04F45A96"/>
    <w:rsid w:val="05654685"/>
    <w:rsid w:val="0580501B"/>
    <w:rsid w:val="05B72A07"/>
    <w:rsid w:val="05D45367"/>
    <w:rsid w:val="05DB66F5"/>
    <w:rsid w:val="05F43401"/>
    <w:rsid w:val="05F652DD"/>
    <w:rsid w:val="063C4AA9"/>
    <w:rsid w:val="065E4C1C"/>
    <w:rsid w:val="06725923"/>
    <w:rsid w:val="067A46BE"/>
    <w:rsid w:val="068872BE"/>
    <w:rsid w:val="06B75798"/>
    <w:rsid w:val="06C71478"/>
    <w:rsid w:val="06C817EE"/>
    <w:rsid w:val="07056CCF"/>
    <w:rsid w:val="07481826"/>
    <w:rsid w:val="0755044F"/>
    <w:rsid w:val="07594A68"/>
    <w:rsid w:val="077864DE"/>
    <w:rsid w:val="077C4A6E"/>
    <w:rsid w:val="07830F22"/>
    <w:rsid w:val="07A82607"/>
    <w:rsid w:val="07B626E4"/>
    <w:rsid w:val="07D75E61"/>
    <w:rsid w:val="07E51AAD"/>
    <w:rsid w:val="08231BEF"/>
    <w:rsid w:val="08285DC2"/>
    <w:rsid w:val="08620C36"/>
    <w:rsid w:val="086A1C95"/>
    <w:rsid w:val="087113C0"/>
    <w:rsid w:val="087123D9"/>
    <w:rsid w:val="088209C9"/>
    <w:rsid w:val="08987BE8"/>
    <w:rsid w:val="08B374B6"/>
    <w:rsid w:val="08BE3EC1"/>
    <w:rsid w:val="08BF496D"/>
    <w:rsid w:val="08C22B89"/>
    <w:rsid w:val="08DD3116"/>
    <w:rsid w:val="08EB0220"/>
    <w:rsid w:val="08EB4EA1"/>
    <w:rsid w:val="091C14FF"/>
    <w:rsid w:val="09237704"/>
    <w:rsid w:val="098E05FF"/>
    <w:rsid w:val="09970B85"/>
    <w:rsid w:val="09BC1112"/>
    <w:rsid w:val="09C674F5"/>
    <w:rsid w:val="09D815E1"/>
    <w:rsid w:val="09F3549E"/>
    <w:rsid w:val="09F45FD8"/>
    <w:rsid w:val="09F549A3"/>
    <w:rsid w:val="09FB3046"/>
    <w:rsid w:val="0A1E042E"/>
    <w:rsid w:val="0A577EA6"/>
    <w:rsid w:val="0A5F3F45"/>
    <w:rsid w:val="0A6425CB"/>
    <w:rsid w:val="0A7669ED"/>
    <w:rsid w:val="0AA15FA7"/>
    <w:rsid w:val="0AA90B70"/>
    <w:rsid w:val="0AB13EC9"/>
    <w:rsid w:val="0AED29A7"/>
    <w:rsid w:val="0AEE5C1A"/>
    <w:rsid w:val="0AEF2557"/>
    <w:rsid w:val="0AF02C43"/>
    <w:rsid w:val="0B163D2C"/>
    <w:rsid w:val="0B226B74"/>
    <w:rsid w:val="0B28084D"/>
    <w:rsid w:val="0B3158D0"/>
    <w:rsid w:val="0B491D70"/>
    <w:rsid w:val="0B592BD4"/>
    <w:rsid w:val="0B5C51C7"/>
    <w:rsid w:val="0B61769D"/>
    <w:rsid w:val="0B7C114D"/>
    <w:rsid w:val="0B810AD6"/>
    <w:rsid w:val="0B8F2F2F"/>
    <w:rsid w:val="0BA10C98"/>
    <w:rsid w:val="0BA81034"/>
    <w:rsid w:val="0BB579E9"/>
    <w:rsid w:val="0BBE4AEF"/>
    <w:rsid w:val="0BC660BE"/>
    <w:rsid w:val="0BE5207C"/>
    <w:rsid w:val="0BF45009"/>
    <w:rsid w:val="0BFF061B"/>
    <w:rsid w:val="0C2A721D"/>
    <w:rsid w:val="0C4747C4"/>
    <w:rsid w:val="0C6C00A7"/>
    <w:rsid w:val="0C7D2880"/>
    <w:rsid w:val="0C821421"/>
    <w:rsid w:val="0C970E9C"/>
    <w:rsid w:val="0CA23AC9"/>
    <w:rsid w:val="0CC779D3"/>
    <w:rsid w:val="0CDC01E2"/>
    <w:rsid w:val="0D6C40D7"/>
    <w:rsid w:val="0D701E19"/>
    <w:rsid w:val="0D7D2C1A"/>
    <w:rsid w:val="0D8E6E75"/>
    <w:rsid w:val="0D943E29"/>
    <w:rsid w:val="0DBF5581"/>
    <w:rsid w:val="0DD55B9E"/>
    <w:rsid w:val="0DEE0F90"/>
    <w:rsid w:val="0E0B6401"/>
    <w:rsid w:val="0E0F07A0"/>
    <w:rsid w:val="0E164C04"/>
    <w:rsid w:val="0E230C39"/>
    <w:rsid w:val="0E5D7C77"/>
    <w:rsid w:val="0E694FA6"/>
    <w:rsid w:val="0E98082E"/>
    <w:rsid w:val="0EC534F9"/>
    <w:rsid w:val="0EE20947"/>
    <w:rsid w:val="0F153448"/>
    <w:rsid w:val="0F1D7E9B"/>
    <w:rsid w:val="0F394607"/>
    <w:rsid w:val="0F3E6491"/>
    <w:rsid w:val="0F542072"/>
    <w:rsid w:val="0F6543A4"/>
    <w:rsid w:val="0F6F1329"/>
    <w:rsid w:val="0F8414BD"/>
    <w:rsid w:val="0F883C8D"/>
    <w:rsid w:val="0FA57C75"/>
    <w:rsid w:val="0FAA3A33"/>
    <w:rsid w:val="0FEB3508"/>
    <w:rsid w:val="0FF00FEF"/>
    <w:rsid w:val="0FFB5365"/>
    <w:rsid w:val="102242B6"/>
    <w:rsid w:val="102D2243"/>
    <w:rsid w:val="102D3FF1"/>
    <w:rsid w:val="104529BD"/>
    <w:rsid w:val="105E41AB"/>
    <w:rsid w:val="106209B2"/>
    <w:rsid w:val="10892A30"/>
    <w:rsid w:val="10982D8E"/>
    <w:rsid w:val="109A6D00"/>
    <w:rsid w:val="10A926FD"/>
    <w:rsid w:val="10A92F89"/>
    <w:rsid w:val="10BD5805"/>
    <w:rsid w:val="10DF69CA"/>
    <w:rsid w:val="1107652D"/>
    <w:rsid w:val="113169DC"/>
    <w:rsid w:val="11317B11"/>
    <w:rsid w:val="11407D54"/>
    <w:rsid w:val="114873BD"/>
    <w:rsid w:val="114A472F"/>
    <w:rsid w:val="11592BC4"/>
    <w:rsid w:val="11924415"/>
    <w:rsid w:val="11F4217F"/>
    <w:rsid w:val="12284DB4"/>
    <w:rsid w:val="12445D62"/>
    <w:rsid w:val="124B69B1"/>
    <w:rsid w:val="12560DAC"/>
    <w:rsid w:val="125C471A"/>
    <w:rsid w:val="12632A3B"/>
    <w:rsid w:val="1277297E"/>
    <w:rsid w:val="127840D2"/>
    <w:rsid w:val="12863E8D"/>
    <w:rsid w:val="12897870"/>
    <w:rsid w:val="12B6651D"/>
    <w:rsid w:val="12CC1E8E"/>
    <w:rsid w:val="12E56E05"/>
    <w:rsid w:val="12FE572C"/>
    <w:rsid w:val="12FE69BD"/>
    <w:rsid w:val="13141499"/>
    <w:rsid w:val="13533D6F"/>
    <w:rsid w:val="136202C9"/>
    <w:rsid w:val="13855EF2"/>
    <w:rsid w:val="139030E9"/>
    <w:rsid w:val="139A7BF0"/>
    <w:rsid w:val="139B5716"/>
    <w:rsid w:val="13AE5F5F"/>
    <w:rsid w:val="13CB7DA9"/>
    <w:rsid w:val="13CC6536"/>
    <w:rsid w:val="13F80C12"/>
    <w:rsid w:val="14113D73"/>
    <w:rsid w:val="1412497A"/>
    <w:rsid w:val="141334FE"/>
    <w:rsid w:val="1442760C"/>
    <w:rsid w:val="147B0219"/>
    <w:rsid w:val="14961256"/>
    <w:rsid w:val="14A72759"/>
    <w:rsid w:val="14E46C49"/>
    <w:rsid w:val="150B64DD"/>
    <w:rsid w:val="151E03AD"/>
    <w:rsid w:val="151F3B9D"/>
    <w:rsid w:val="154E4CFF"/>
    <w:rsid w:val="156B7CCE"/>
    <w:rsid w:val="15952A34"/>
    <w:rsid w:val="15AC59B8"/>
    <w:rsid w:val="15B35179"/>
    <w:rsid w:val="15DA2525"/>
    <w:rsid w:val="15FC2314"/>
    <w:rsid w:val="15FC6747"/>
    <w:rsid w:val="160019D6"/>
    <w:rsid w:val="1602382A"/>
    <w:rsid w:val="16505AA7"/>
    <w:rsid w:val="165100C7"/>
    <w:rsid w:val="167062B5"/>
    <w:rsid w:val="16932440"/>
    <w:rsid w:val="16933BA9"/>
    <w:rsid w:val="16C437C7"/>
    <w:rsid w:val="16E219C7"/>
    <w:rsid w:val="16EA2C3C"/>
    <w:rsid w:val="16ED0036"/>
    <w:rsid w:val="170F5D3D"/>
    <w:rsid w:val="17202CA2"/>
    <w:rsid w:val="17285513"/>
    <w:rsid w:val="17501585"/>
    <w:rsid w:val="17591930"/>
    <w:rsid w:val="17662006"/>
    <w:rsid w:val="17982698"/>
    <w:rsid w:val="17A00A40"/>
    <w:rsid w:val="17B82AC9"/>
    <w:rsid w:val="17C50FB3"/>
    <w:rsid w:val="17C91489"/>
    <w:rsid w:val="17C959FE"/>
    <w:rsid w:val="17DE54CF"/>
    <w:rsid w:val="17F26F5C"/>
    <w:rsid w:val="17F453F5"/>
    <w:rsid w:val="17FD6AF1"/>
    <w:rsid w:val="18057343"/>
    <w:rsid w:val="18090C62"/>
    <w:rsid w:val="181D5180"/>
    <w:rsid w:val="186E0895"/>
    <w:rsid w:val="188B7B07"/>
    <w:rsid w:val="189A5A8D"/>
    <w:rsid w:val="18BD31FC"/>
    <w:rsid w:val="18E11E1D"/>
    <w:rsid w:val="18E92A80"/>
    <w:rsid w:val="19185113"/>
    <w:rsid w:val="19197444"/>
    <w:rsid w:val="192D693B"/>
    <w:rsid w:val="19384328"/>
    <w:rsid w:val="193C265E"/>
    <w:rsid w:val="194B54E8"/>
    <w:rsid w:val="19502AFF"/>
    <w:rsid w:val="195A391B"/>
    <w:rsid w:val="19622668"/>
    <w:rsid w:val="196A4749"/>
    <w:rsid w:val="19ED659F"/>
    <w:rsid w:val="19F90548"/>
    <w:rsid w:val="1A0C111B"/>
    <w:rsid w:val="1A134258"/>
    <w:rsid w:val="1A3760C8"/>
    <w:rsid w:val="1A431152"/>
    <w:rsid w:val="1A604FC3"/>
    <w:rsid w:val="1AB61437"/>
    <w:rsid w:val="1AEB6F83"/>
    <w:rsid w:val="1AF8344E"/>
    <w:rsid w:val="1AFF35EB"/>
    <w:rsid w:val="1B1507F3"/>
    <w:rsid w:val="1B3C376A"/>
    <w:rsid w:val="1B50328A"/>
    <w:rsid w:val="1B656D35"/>
    <w:rsid w:val="1B6B2559"/>
    <w:rsid w:val="1B7C05B7"/>
    <w:rsid w:val="1B865813"/>
    <w:rsid w:val="1B86647E"/>
    <w:rsid w:val="1BA84E74"/>
    <w:rsid w:val="1BB43819"/>
    <w:rsid w:val="1BB50748"/>
    <w:rsid w:val="1BB57022"/>
    <w:rsid w:val="1BB85ACD"/>
    <w:rsid w:val="1BCA2B84"/>
    <w:rsid w:val="1BFE18DA"/>
    <w:rsid w:val="1C006A5E"/>
    <w:rsid w:val="1C0B6AEF"/>
    <w:rsid w:val="1C387FA6"/>
    <w:rsid w:val="1C4050AC"/>
    <w:rsid w:val="1C5B3C94"/>
    <w:rsid w:val="1C7A05BE"/>
    <w:rsid w:val="1CA67605"/>
    <w:rsid w:val="1CD221A8"/>
    <w:rsid w:val="1CD54382"/>
    <w:rsid w:val="1CD85829"/>
    <w:rsid w:val="1CDC1A13"/>
    <w:rsid w:val="1CE27F12"/>
    <w:rsid w:val="1D3974C3"/>
    <w:rsid w:val="1D4D5633"/>
    <w:rsid w:val="1D5232E9"/>
    <w:rsid w:val="1D547A3C"/>
    <w:rsid w:val="1D5C5F16"/>
    <w:rsid w:val="1D5E2F0C"/>
    <w:rsid w:val="1D7360E0"/>
    <w:rsid w:val="1D76283D"/>
    <w:rsid w:val="1D80754E"/>
    <w:rsid w:val="1DA13929"/>
    <w:rsid w:val="1DA90A2F"/>
    <w:rsid w:val="1DAB68BC"/>
    <w:rsid w:val="1DC615E1"/>
    <w:rsid w:val="1DDE692B"/>
    <w:rsid w:val="1E0438CC"/>
    <w:rsid w:val="1E164317"/>
    <w:rsid w:val="1E424E3F"/>
    <w:rsid w:val="1E4C7D38"/>
    <w:rsid w:val="1E5C06AF"/>
    <w:rsid w:val="1E6B4021"/>
    <w:rsid w:val="1E7710FF"/>
    <w:rsid w:val="1E817EF4"/>
    <w:rsid w:val="1EBF050A"/>
    <w:rsid w:val="1ED87730"/>
    <w:rsid w:val="1EEC5078"/>
    <w:rsid w:val="1F0A01F0"/>
    <w:rsid w:val="1F1620F4"/>
    <w:rsid w:val="1F224CBE"/>
    <w:rsid w:val="1F2760B0"/>
    <w:rsid w:val="1F3C0416"/>
    <w:rsid w:val="1F3F7365"/>
    <w:rsid w:val="1F707859"/>
    <w:rsid w:val="1F884DA0"/>
    <w:rsid w:val="20047D66"/>
    <w:rsid w:val="20300D51"/>
    <w:rsid w:val="20340A84"/>
    <w:rsid w:val="203D645B"/>
    <w:rsid w:val="204D580D"/>
    <w:rsid w:val="20994D8B"/>
    <w:rsid w:val="20AA6CB8"/>
    <w:rsid w:val="20DA5ACF"/>
    <w:rsid w:val="20E029BA"/>
    <w:rsid w:val="20EA605A"/>
    <w:rsid w:val="20EC2072"/>
    <w:rsid w:val="20FC5759"/>
    <w:rsid w:val="21187BF8"/>
    <w:rsid w:val="21222FD3"/>
    <w:rsid w:val="21464F13"/>
    <w:rsid w:val="21B1362C"/>
    <w:rsid w:val="21C54EF1"/>
    <w:rsid w:val="21FD23F4"/>
    <w:rsid w:val="22146DBF"/>
    <w:rsid w:val="221E5776"/>
    <w:rsid w:val="225278D7"/>
    <w:rsid w:val="22B435A4"/>
    <w:rsid w:val="22BE4F7D"/>
    <w:rsid w:val="22CF480E"/>
    <w:rsid w:val="22D851BE"/>
    <w:rsid w:val="22E54E3C"/>
    <w:rsid w:val="22E91177"/>
    <w:rsid w:val="23164DB9"/>
    <w:rsid w:val="23233AF5"/>
    <w:rsid w:val="232446D8"/>
    <w:rsid w:val="23420238"/>
    <w:rsid w:val="234663EA"/>
    <w:rsid w:val="23583308"/>
    <w:rsid w:val="235D02F2"/>
    <w:rsid w:val="23C6233B"/>
    <w:rsid w:val="23D835AE"/>
    <w:rsid w:val="23F511B0"/>
    <w:rsid w:val="23FC461A"/>
    <w:rsid w:val="23FF6434"/>
    <w:rsid w:val="2417796D"/>
    <w:rsid w:val="2419458A"/>
    <w:rsid w:val="243C25FD"/>
    <w:rsid w:val="24514BFE"/>
    <w:rsid w:val="246953F2"/>
    <w:rsid w:val="247578BD"/>
    <w:rsid w:val="247955FF"/>
    <w:rsid w:val="247F47F8"/>
    <w:rsid w:val="248F4E23"/>
    <w:rsid w:val="24917993"/>
    <w:rsid w:val="24F609FE"/>
    <w:rsid w:val="25090731"/>
    <w:rsid w:val="252A06A8"/>
    <w:rsid w:val="254E083A"/>
    <w:rsid w:val="2572199A"/>
    <w:rsid w:val="25EB65A4"/>
    <w:rsid w:val="25F13378"/>
    <w:rsid w:val="263317DE"/>
    <w:rsid w:val="26946721"/>
    <w:rsid w:val="26A502DF"/>
    <w:rsid w:val="26AC7485"/>
    <w:rsid w:val="26B573EB"/>
    <w:rsid w:val="26C95A1D"/>
    <w:rsid w:val="26CD30A8"/>
    <w:rsid w:val="26F73F18"/>
    <w:rsid w:val="27174C5C"/>
    <w:rsid w:val="275176F4"/>
    <w:rsid w:val="27541DED"/>
    <w:rsid w:val="27740D6B"/>
    <w:rsid w:val="2776359B"/>
    <w:rsid w:val="2778394C"/>
    <w:rsid w:val="279D1851"/>
    <w:rsid w:val="27A74BE0"/>
    <w:rsid w:val="27AE3812"/>
    <w:rsid w:val="2811234E"/>
    <w:rsid w:val="284B7DCA"/>
    <w:rsid w:val="287B039C"/>
    <w:rsid w:val="28A40771"/>
    <w:rsid w:val="28AF1235"/>
    <w:rsid w:val="28B40701"/>
    <w:rsid w:val="28BC7E86"/>
    <w:rsid w:val="28E3573D"/>
    <w:rsid w:val="28F13F79"/>
    <w:rsid w:val="28F148DC"/>
    <w:rsid w:val="28FA423F"/>
    <w:rsid w:val="290A4A78"/>
    <w:rsid w:val="294C32E2"/>
    <w:rsid w:val="294F4A09"/>
    <w:rsid w:val="29554274"/>
    <w:rsid w:val="29626662"/>
    <w:rsid w:val="297C20AE"/>
    <w:rsid w:val="29A04141"/>
    <w:rsid w:val="29BA109E"/>
    <w:rsid w:val="29BF6131"/>
    <w:rsid w:val="29C025DD"/>
    <w:rsid w:val="29E62217"/>
    <w:rsid w:val="2A0372BA"/>
    <w:rsid w:val="2A0519F2"/>
    <w:rsid w:val="2A2E6E95"/>
    <w:rsid w:val="2A383867"/>
    <w:rsid w:val="2A606AFE"/>
    <w:rsid w:val="2A636B36"/>
    <w:rsid w:val="2A6B1546"/>
    <w:rsid w:val="2A7319B4"/>
    <w:rsid w:val="2AD94755"/>
    <w:rsid w:val="2B0E0BB7"/>
    <w:rsid w:val="2B3C1583"/>
    <w:rsid w:val="2B4C4782"/>
    <w:rsid w:val="2B54647E"/>
    <w:rsid w:val="2B69017C"/>
    <w:rsid w:val="2B7408CF"/>
    <w:rsid w:val="2BA84609"/>
    <w:rsid w:val="2BB41FEF"/>
    <w:rsid w:val="2BBB474F"/>
    <w:rsid w:val="2BC91D81"/>
    <w:rsid w:val="2BCC766D"/>
    <w:rsid w:val="2BCE6231"/>
    <w:rsid w:val="2BD45720"/>
    <w:rsid w:val="2BEE242F"/>
    <w:rsid w:val="2BFD7519"/>
    <w:rsid w:val="2C365B84"/>
    <w:rsid w:val="2C4736CF"/>
    <w:rsid w:val="2C6426F1"/>
    <w:rsid w:val="2C705435"/>
    <w:rsid w:val="2C8A344F"/>
    <w:rsid w:val="2CB0749F"/>
    <w:rsid w:val="2CB573F1"/>
    <w:rsid w:val="2CB74F17"/>
    <w:rsid w:val="2CD07539"/>
    <w:rsid w:val="2CF904F6"/>
    <w:rsid w:val="2D4C1B03"/>
    <w:rsid w:val="2D7050C6"/>
    <w:rsid w:val="2DA7501E"/>
    <w:rsid w:val="2DA90E2A"/>
    <w:rsid w:val="2DCF3111"/>
    <w:rsid w:val="2DF572B8"/>
    <w:rsid w:val="2E14712E"/>
    <w:rsid w:val="2E2B4AEE"/>
    <w:rsid w:val="2E392F3B"/>
    <w:rsid w:val="2E4F2F2D"/>
    <w:rsid w:val="2E6D2418"/>
    <w:rsid w:val="2E830AA0"/>
    <w:rsid w:val="2E9C3635"/>
    <w:rsid w:val="2EA32710"/>
    <w:rsid w:val="2EB2679B"/>
    <w:rsid w:val="2ECD50F2"/>
    <w:rsid w:val="2ED46B79"/>
    <w:rsid w:val="2F0809EF"/>
    <w:rsid w:val="2F7465EA"/>
    <w:rsid w:val="2FA94162"/>
    <w:rsid w:val="2FB40612"/>
    <w:rsid w:val="2FBD0A96"/>
    <w:rsid w:val="2FFE57B4"/>
    <w:rsid w:val="301F1F47"/>
    <w:rsid w:val="30375DBE"/>
    <w:rsid w:val="305F7D9F"/>
    <w:rsid w:val="30A54042"/>
    <w:rsid w:val="30FD3685"/>
    <w:rsid w:val="31124E12"/>
    <w:rsid w:val="31496359"/>
    <w:rsid w:val="31723B02"/>
    <w:rsid w:val="31727460"/>
    <w:rsid w:val="31780329"/>
    <w:rsid w:val="31993C9B"/>
    <w:rsid w:val="31EE448D"/>
    <w:rsid w:val="31F053AD"/>
    <w:rsid w:val="31F167D5"/>
    <w:rsid w:val="321E1594"/>
    <w:rsid w:val="321E3342"/>
    <w:rsid w:val="3269188E"/>
    <w:rsid w:val="326E04BF"/>
    <w:rsid w:val="327315FF"/>
    <w:rsid w:val="327818FF"/>
    <w:rsid w:val="329971AF"/>
    <w:rsid w:val="32A26FE0"/>
    <w:rsid w:val="32BA3B7D"/>
    <w:rsid w:val="32D00AE0"/>
    <w:rsid w:val="32D15F18"/>
    <w:rsid w:val="32DE0B4C"/>
    <w:rsid w:val="333152C6"/>
    <w:rsid w:val="334D2131"/>
    <w:rsid w:val="337F3EEB"/>
    <w:rsid w:val="33857EBA"/>
    <w:rsid w:val="33916300"/>
    <w:rsid w:val="339B66C7"/>
    <w:rsid w:val="33B50270"/>
    <w:rsid w:val="33C7453B"/>
    <w:rsid w:val="345C57CD"/>
    <w:rsid w:val="347368F5"/>
    <w:rsid w:val="34DC4316"/>
    <w:rsid w:val="34F373C5"/>
    <w:rsid w:val="34FB250A"/>
    <w:rsid w:val="35277F20"/>
    <w:rsid w:val="352D221A"/>
    <w:rsid w:val="35316A01"/>
    <w:rsid w:val="35744D71"/>
    <w:rsid w:val="358E6A31"/>
    <w:rsid w:val="35A46254"/>
    <w:rsid w:val="35CF507F"/>
    <w:rsid w:val="35D374A1"/>
    <w:rsid w:val="360119FE"/>
    <w:rsid w:val="36217D18"/>
    <w:rsid w:val="36376889"/>
    <w:rsid w:val="363C023B"/>
    <w:rsid w:val="36445538"/>
    <w:rsid w:val="36873B8F"/>
    <w:rsid w:val="369A0B96"/>
    <w:rsid w:val="36AC3612"/>
    <w:rsid w:val="36C3270A"/>
    <w:rsid w:val="36ED7BA0"/>
    <w:rsid w:val="37133692"/>
    <w:rsid w:val="37170940"/>
    <w:rsid w:val="375515B4"/>
    <w:rsid w:val="376161AB"/>
    <w:rsid w:val="377805FC"/>
    <w:rsid w:val="379E0BB3"/>
    <w:rsid w:val="37CA01F4"/>
    <w:rsid w:val="37D341FD"/>
    <w:rsid w:val="385C6972"/>
    <w:rsid w:val="387803D0"/>
    <w:rsid w:val="389865FB"/>
    <w:rsid w:val="38995E18"/>
    <w:rsid w:val="38D12F64"/>
    <w:rsid w:val="38F0006F"/>
    <w:rsid w:val="391858B6"/>
    <w:rsid w:val="391A7F4A"/>
    <w:rsid w:val="394F2597"/>
    <w:rsid w:val="39893631"/>
    <w:rsid w:val="398C4292"/>
    <w:rsid w:val="39BC4267"/>
    <w:rsid w:val="39E41315"/>
    <w:rsid w:val="3A12378C"/>
    <w:rsid w:val="3A1F2E24"/>
    <w:rsid w:val="3A7A0EBF"/>
    <w:rsid w:val="3A7B3A28"/>
    <w:rsid w:val="3A8D375B"/>
    <w:rsid w:val="3A9E4250"/>
    <w:rsid w:val="3AA01549"/>
    <w:rsid w:val="3AB82612"/>
    <w:rsid w:val="3AC0768C"/>
    <w:rsid w:val="3AC51F74"/>
    <w:rsid w:val="3AC84793"/>
    <w:rsid w:val="3AD11317"/>
    <w:rsid w:val="3B1F5913"/>
    <w:rsid w:val="3B296FB6"/>
    <w:rsid w:val="3B5E14B1"/>
    <w:rsid w:val="3B6E533A"/>
    <w:rsid w:val="3B7A783B"/>
    <w:rsid w:val="3BB014AF"/>
    <w:rsid w:val="3BE23421"/>
    <w:rsid w:val="3C13256B"/>
    <w:rsid w:val="3C2900F6"/>
    <w:rsid w:val="3C2F0410"/>
    <w:rsid w:val="3C65673D"/>
    <w:rsid w:val="3C700C3E"/>
    <w:rsid w:val="3C8841DA"/>
    <w:rsid w:val="3CAE5F9C"/>
    <w:rsid w:val="3CB35F27"/>
    <w:rsid w:val="3CCF1E09"/>
    <w:rsid w:val="3CE04016"/>
    <w:rsid w:val="3CE43B95"/>
    <w:rsid w:val="3CF80A49"/>
    <w:rsid w:val="3D006B2E"/>
    <w:rsid w:val="3D3315CC"/>
    <w:rsid w:val="3D6B60D2"/>
    <w:rsid w:val="3D7E33AA"/>
    <w:rsid w:val="3D874491"/>
    <w:rsid w:val="3D87623F"/>
    <w:rsid w:val="3D8A233F"/>
    <w:rsid w:val="3D8F5D05"/>
    <w:rsid w:val="3D9A2417"/>
    <w:rsid w:val="3DC53153"/>
    <w:rsid w:val="3DF868E5"/>
    <w:rsid w:val="3E0E3A8F"/>
    <w:rsid w:val="3E17334A"/>
    <w:rsid w:val="3E3839DE"/>
    <w:rsid w:val="3E5328E3"/>
    <w:rsid w:val="3E5666FD"/>
    <w:rsid w:val="3E966709"/>
    <w:rsid w:val="3EB77D3E"/>
    <w:rsid w:val="3EDA1DE6"/>
    <w:rsid w:val="3EDE4585"/>
    <w:rsid w:val="3F087D54"/>
    <w:rsid w:val="3F132D26"/>
    <w:rsid w:val="3F1F1912"/>
    <w:rsid w:val="3F2D657A"/>
    <w:rsid w:val="3F42024D"/>
    <w:rsid w:val="3F476A16"/>
    <w:rsid w:val="3F7A2500"/>
    <w:rsid w:val="3F95748C"/>
    <w:rsid w:val="3F9A5C00"/>
    <w:rsid w:val="3FA665E0"/>
    <w:rsid w:val="3FB6105E"/>
    <w:rsid w:val="3FD15E98"/>
    <w:rsid w:val="3FD67488"/>
    <w:rsid w:val="3FD97C7F"/>
    <w:rsid w:val="3FEA2105"/>
    <w:rsid w:val="40171E90"/>
    <w:rsid w:val="40183119"/>
    <w:rsid w:val="40502970"/>
    <w:rsid w:val="406120A5"/>
    <w:rsid w:val="409C2D4C"/>
    <w:rsid w:val="40B21825"/>
    <w:rsid w:val="40D5630A"/>
    <w:rsid w:val="40DA50E3"/>
    <w:rsid w:val="40EA7211"/>
    <w:rsid w:val="410417E6"/>
    <w:rsid w:val="41242EBB"/>
    <w:rsid w:val="41257CF3"/>
    <w:rsid w:val="412C782A"/>
    <w:rsid w:val="415541A3"/>
    <w:rsid w:val="415D2D30"/>
    <w:rsid w:val="416E4DDB"/>
    <w:rsid w:val="417739B4"/>
    <w:rsid w:val="417845B6"/>
    <w:rsid w:val="419A1B80"/>
    <w:rsid w:val="41A82C28"/>
    <w:rsid w:val="41B215C6"/>
    <w:rsid w:val="421A1D78"/>
    <w:rsid w:val="42254279"/>
    <w:rsid w:val="424276D7"/>
    <w:rsid w:val="424A412C"/>
    <w:rsid w:val="42686225"/>
    <w:rsid w:val="42AE7D67"/>
    <w:rsid w:val="42BE044E"/>
    <w:rsid w:val="42FC4A9A"/>
    <w:rsid w:val="43590A5F"/>
    <w:rsid w:val="43CC0E50"/>
    <w:rsid w:val="43CC4F3E"/>
    <w:rsid w:val="44020105"/>
    <w:rsid w:val="4431447C"/>
    <w:rsid w:val="4439400C"/>
    <w:rsid w:val="445E38A7"/>
    <w:rsid w:val="445F7F16"/>
    <w:rsid w:val="449E2B67"/>
    <w:rsid w:val="449F0313"/>
    <w:rsid w:val="44B0531F"/>
    <w:rsid w:val="44C24001"/>
    <w:rsid w:val="44E2652E"/>
    <w:rsid w:val="44EB3BED"/>
    <w:rsid w:val="44EE4753"/>
    <w:rsid w:val="44F35FE1"/>
    <w:rsid w:val="45097704"/>
    <w:rsid w:val="451E1B7F"/>
    <w:rsid w:val="452070CB"/>
    <w:rsid w:val="45435142"/>
    <w:rsid w:val="45476FB4"/>
    <w:rsid w:val="455043D7"/>
    <w:rsid w:val="45705B46"/>
    <w:rsid w:val="4590279D"/>
    <w:rsid w:val="45B63B66"/>
    <w:rsid w:val="45C138E3"/>
    <w:rsid w:val="45E94781"/>
    <w:rsid w:val="45F36485"/>
    <w:rsid w:val="460167F2"/>
    <w:rsid w:val="46160AA8"/>
    <w:rsid w:val="46256F3D"/>
    <w:rsid w:val="463006BB"/>
    <w:rsid w:val="463902F3"/>
    <w:rsid w:val="46474D0F"/>
    <w:rsid w:val="46560EA5"/>
    <w:rsid w:val="466C5DA0"/>
    <w:rsid w:val="468C48C7"/>
    <w:rsid w:val="46961DF7"/>
    <w:rsid w:val="469D0882"/>
    <w:rsid w:val="46A00372"/>
    <w:rsid w:val="46A21C13"/>
    <w:rsid w:val="46A35ADB"/>
    <w:rsid w:val="46B04043"/>
    <w:rsid w:val="46B61944"/>
    <w:rsid w:val="46C844AF"/>
    <w:rsid w:val="46E26BDC"/>
    <w:rsid w:val="46F018C6"/>
    <w:rsid w:val="4703319D"/>
    <w:rsid w:val="47207061"/>
    <w:rsid w:val="47240FA3"/>
    <w:rsid w:val="47373E8E"/>
    <w:rsid w:val="474B78D7"/>
    <w:rsid w:val="47706655"/>
    <w:rsid w:val="479A005B"/>
    <w:rsid w:val="47BF31A6"/>
    <w:rsid w:val="47EC214D"/>
    <w:rsid w:val="47ED18DC"/>
    <w:rsid w:val="489B0C36"/>
    <w:rsid w:val="489D2DBB"/>
    <w:rsid w:val="48FA645F"/>
    <w:rsid w:val="49276B29"/>
    <w:rsid w:val="49366FD9"/>
    <w:rsid w:val="496A2251"/>
    <w:rsid w:val="49995C78"/>
    <w:rsid w:val="49A07007"/>
    <w:rsid w:val="49F41101"/>
    <w:rsid w:val="4A0C2EF1"/>
    <w:rsid w:val="4A2A7903"/>
    <w:rsid w:val="4A5802CA"/>
    <w:rsid w:val="4A600544"/>
    <w:rsid w:val="4A7430ED"/>
    <w:rsid w:val="4A8A0D65"/>
    <w:rsid w:val="4AA92B38"/>
    <w:rsid w:val="4AB4358C"/>
    <w:rsid w:val="4ABB577A"/>
    <w:rsid w:val="4AD03026"/>
    <w:rsid w:val="4ADC0A5D"/>
    <w:rsid w:val="4AF6503E"/>
    <w:rsid w:val="4AFA44F5"/>
    <w:rsid w:val="4B0C247A"/>
    <w:rsid w:val="4B585339"/>
    <w:rsid w:val="4B6778B3"/>
    <w:rsid w:val="4B6E3371"/>
    <w:rsid w:val="4B8655D3"/>
    <w:rsid w:val="4BAF2E09"/>
    <w:rsid w:val="4BCB48D4"/>
    <w:rsid w:val="4BD3371D"/>
    <w:rsid w:val="4BEF687D"/>
    <w:rsid w:val="4C333C88"/>
    <w:rsid w:val="4C3752D5"/>
    <w:rsid w:val="4C942727"/>
    <w:rsid w:val="4CBE62A3"/>
    <w:rsid w:val="4CBF59F6"/>
    <w:rsid w:val="4CFC7622"/>
    <w:rsid w:val="4CFD4C84"/>
    <w:rsid w:val="4D467EC5"/>
    <w:rsid w:val="4D503B09"/>
    <w:rsid w:val="4D5E4A10"/>
    <w:rsid w:val="4D660768"/>
    <w:rsid w:val="4D671887"/>
    <w:rsid w:val="4D8C1650"/>
    <w:rsid w:val="4D9C5D37"/>
    <w:rsid w:val="4DC23403"/>
    <w:rsid w:val="4E1842B0"/>
    <w:rsid w:val="4E340BD7"/>
    <w:rsid w:val="4E6B7199"/>
    <w:rsid w:val="4EB53160"/>
    <w:rsid w:val="4ED41249"/>
    <w:rsid w:val="4ED47B26"/>
    <w:rsid w:val="4EF67F9C"/>
    <w:rsid w:val="4F1E56BE"/>
    <w:rsid w:val="4F2002A2"/>
    <w:rsid w:val="4F2204BE"/>
    <w:rsid w:val="4F681CE1"/>
    <w:rsid w:val="4F856228"/>
    <w:rsid w:val="4FB103B3"/>
    <w:rsid w:val="4FCB0F20"/>
    <w:rsid w:val="4FCB1E8A"/>
    <w:rsid w:val="4FD763CA"/>
    <w:rsid w:val="4FE433C6"/>
    <w:rsid w:val="4FE466E1"/>
    <w:rsid w:val="4FFA6EB1"/>
    <w:rsid w:val="50332C0A"/>
    <w:rsid w:val="505072AB"/>
    <w:rsid w:val="50591CBD"/>
    <w:rsid w:val="506968FB"/>
    <w:rsid w:val="50811214"/>
    <w:rsid w:val="508E3509"/>
    <w:rsid w:val="50A3118B"/>
    <w:rsid w:val="50B74C36"/>
    <w:rsid w:val="50BC5872"/>
    <w:rsid w:val="50BC67AF"/>
    <w:rsid w:val="50BD0822"/>
    <w:rsid w:val="50DE2897"/>
    <w:rsid w:val="50E10CCB"/>
    <w:rsid w:val="50F961F4"/>
    <w:rsid w:val="511C5165"/>
    <w:rsid w:val="51410148"/>
    <w:rsid w:val="51443D81"/>
    <w:rsid w:val="518A40F8"/>
    <w:rsid w:val="519B471E"/>
    <w:rsid w:val="51A124F8"/>
    <w:rsid w:val="51AC22C1"/>
    <w:rsid w:val="51D435BC"/>
    <w:rsid w:val="51EE0B2B"/>
    <w:rsid w:val="51F4430E"/>
    <w:rsid w:val="52114D68"/>
    <w:rsid w:val="522E0F28"/>
    <w:rsid w:val="522E707D"/>
    <w:rsid w:val="524565F7"/>
    <w:rsid w:val="524D5852"/>
    <w:rsid w:val="52781559"/>
    <w:rsid w:val="529401E4"/>
    <w:rsid w:val="52A110BA"/>
    <w:rsid w:val="52AC605F"/>
    <w:rsid w:val="52BF41CD"/>
    <w:rsid w:val="52BF4A4F"/>
    <w:rsid w:val="52E37F64"/>
    <w:rsid w:val="52E8102D"/>
    <w:rsid w:val="52ED3D93"/>
    <w:rsid w:val="52ED493F"/>
    <w:rsid w:val="53141D59"/>
    <w:rsid w:val="531C51C6"/>
    <w:rsid w:val="53272894"/>
    <w:rsid w:val="533D1CBF"/>
    <w:rsid w:val="53566D0A"/>
    <w:rsid w:val="5359464E"/>
    <w:rsid w:val="53783FFD"/>
    <w:rsid w:val="538A6838"/>
    <w:rsid w:val="53AD7FC8"/>
    <w:rsid w:val="53D570CF"/>
    <w:rsid w:val="53D92560"/>
    <w:rsid w:val="53EC4BF7"/>
    <w:rsid w:val="54071A30"/>
    <w:rsid w:val="54262873"/>
    <w:rsid w:val="54493109"/>
    <w:rsid w:val="54841680"/>
    <w:rsid w:val="54847496"/>
    <w:rsid w:val="549A28A4"/>
    <w:rsid w:val="54A4156D"/>
    <w:rsid w:val="54A54AC8"/>
    <w:rsid w:val="54B020C8"/>
    <w:rsid w:val="54D31CF1"/>
    <w:rsid w:val="54EF0E42"/>
    <w:rsid w:val="54F401CB"/>
    <w:rsid w:val="550A7A2A"/>
    <w:rsid w:val="551C3697"/>
    <w:rsid w:val="554F1666"/>
    <w:rsid w:val="5551141D"/>
    <w:rsid w:val="55577BDE"/>
    <w:rsid w:val="557A250B"/>
    <w:rsid w:val="55B04F51"/>
    <w:rsid w:val="561E6CDD"/>
    <w:rsid w:val="564254B4"/>
    <w:rsid w:val="56491435"/>
    <w:rsid w:val="56660625"/>
    <w:rsid w:val="56737851"/>
    <w:rsid w:val="567A298E"/>
    <w:rsid w:val="568455BA"/>
    <w:rsid w:val="568C5D7C"/>
    <w:rsid w:val="569C2485"/>
    <w:rsid w:val="56A86DBC"/>
    <w:rsid w:val="56D06A51"/>
    <w:rsid w:val="56D430F7"/>
    <w:rsid w:val="56F73FDE"/>
    <w:rsid w:val="573D0DD0"/>
    <w:rsid w:val="574F3B38"/>
    <w:rsid w:val="576A47B0"/>
    <w:rsid w:val="579D4B86"/>
    <w:rsid w:val="57C160A5"/>
    <w:rsid w:val="57CA6432"/>
    <w:rsid w:val="58030761"/>
    <w:rsid w:val="582179F1"/>
    <w:rsid w:val="58251609"/>
    <w:rsid w:val="582A3F3F"/>
    <w:rsid w:val="583407D5"/>
    <w:rsid w:val="58393E55"/>
    <w:rsid w:val="584414A5"/>
    <w:rsid w:val="587D49B7"/>
    <w:rsid w:val="588D1703"/>
    <w:rsid w:val="58AD764A"/>
    <w:rsid w:val="58C46118"/>
    <w:rsid w:val="58CA7BFC"/>
    <w:rsid w:val="595E600E"/>
    <w:rsid w:val="5979517E"/>
    <w:rsid w:val="59A51CDD"/>
    <w:rsid w:val="59AD0226"/>
    <w:rsid w:val="59BD3A60"/>
    <w:rsid w:val="59C00E63"/>
    <w:rsid w:val="59F12BBA"/>
    <w:rsid w:val="59F146F6"/>
    <w:rsid w:val="5A35333C"/>
    <w:rsid w:val="5A551748"/>
    <w:rsid w:val="5A5B4884"/>
    <w:rsid w:val="5A7B7BA7"/>
    <w:rsid w:val="5A8B1072"/>
    <w:rsid w:val="5A8D0DD8"/>
    <w:rsid w:val="5A9052F9"/>
    <w:rsid w:val="5A9E0D60"/>
    <w:rsid w:val="5ABF4E13"/>
    <w:rsid w:val="5ACC2442"/>
    <w:rsid w:val="5AEB7F90"/>
    <w:rsid w:val="5B0824F2"/>
    <w:rsid w:val="5B0B1438"/>
    <w:rsid w:val="5B6F4E81"/>
    <w:rsid w:val="5B7976B8"/>
    <w:rsid w:val="5B7B3430"/>
    <w:rsid w:val="5B7F263E"/>
    <w:rsid w:val="5B963537"/>
    <w:rsid w:val="5BC93EF9"/>
    <w:rsid w:val="5C0C4088"/>
    <w:rsid w:val="5C1D23F3"/>
    <w:rsid w:val="5C1D2452"/>
    <w:rsid w:val="5C261656"/>
    <w:rsid w:val="5C343D28"/>
    <w:rsid w:val="5C8C51C9"/>
    <w:rsid w:val="5C961BA3"/>
    <w:rsid w:val="5C974299"/>
    <w:rsid w:val="5C9C7516"/>
    <w:rsid w:val="5CC42C47"/>
    <w:rsid w:val="5CDC41B2"/>
    <w:rsid w:val="5CE72CEC"/>
    <w:rsid w:val="5CED210B"/>
    <w:rsid w:val="5D0A1E58"/>
    <w:rsid w:val="5D2627F0"/>
    <w:rsid w:val="5D340FF9"/>
    <w:rsid w:val="5D42417C"/>
    <w:rsid w:val="5D551242"/>
    <w:rsid w:val="5D714730"/>
    <w:rsid w:val="5DA40BC6"/>
    <w:rsid w:val="5DD40262"/>
    <w:rsid w:val="5DD70EFE"/>
    <w:rsid w:val="5DED1ED3"/>
    <w:rsid w:val="5DF02348"/>
    <w:rsid w:val="5E21105E"/>
    <w:rsid w:val="5E2D6537"/>
    <w:rsid w:val="5E5101AC"/>
    <w:rsid w:val="5E673406"/>
    <w:rsid w:val="5E6B76C8"/>
    <w:rsid w:val="5E776B46"/>
    <w:rsid w:val="5E7B2052"/>
    <w:rsid w:val="5E98214A"/>
    <w:rsid w:val="5E9842F9"/>
    <w:rsid w:val="5E9F11E3"/>
    <w:rsid w:val="5EAA74B3"/>
    <w:rsid w:val="5EB84053"/>
    <w:rsid w:val="5EE4753E"/>
    <w:rsid w:val="5EF5201A"/>
    <w:rsid w:val="5F58362A"/>
    <w:rsid w:val="5F661EA2"/>
    <w:rsid w:val="5F6D7533"/>
    <w:rsid w:val="60267CE5"/>
    <w:rsid w:val="602D0A71"/>
    <w:rsid w:val="603F1D36"/>
    <w:rsid w:val="606F1089"/>
    <w:rsid w:val="60B876F7"/>
    <w:rsid w:val="60C21E5F"/>
    <w:rsid w:val="60EC6236"/>
    <w:rsid w:val="60EE380D"/>
    <w:rsid w:val="60FE7C0E"/>
    <w:rsid w:val="610A619C"/>
    <w:rsid w:val="610C4767"/>
    <w:rsid w:val="615362B5"/>
    <w:rsid w:val="615E3A08"/>
    <w:rsid w:val="61720E31"/>
    <w:rsid w:val="617526CF"/>
    <w:rsid w:val="617D7E6A"/>
    <w:rsid w:val="61B132B3"/>
    <w:rsid w:val="61BD0199"/>
    <w:rsid w:val="61D8132E"/>
    <w:rsid w:val="61FA2BD4"/>
    <w:rsid w:val="620F042E"/>
    <w:rsid w:val="621437FF"/>
    <w:rsid w:val="621A6DD3"/>
    <w:rsid w:val="623C6D35"/>
    <w:rsid w:val="623E6F65"/>
    <w:rsid w:val="627604AD"/>
    <w:rsid w:val="6296706C"/>
    <w:rsid w:val="62B25920"/>
    <w:rsid w:val="62D10052"/>
    <w:rsid w:val="62D578C9"/>
    <w:rsid w:val="62F66A3A"/>
    <w:rsid w:val="62FF77F3"/>
    <w:rsid w:val="63244635"/>
    <w:rsid w:val="634F7100"/>
    <w:rsid w:val="6384309D"/>
    <w:rsid w:val="638C3D00"/>
    <w:rsid w:val="63BE22A0"/>
    <w:rsid w:val="63BF5E84"/>
    <w:rsid w:val="63C45248"/>
    <w:rsid w:val="63D36993"/>
    <w:rsid w:val="63E37DC4"/>
    <w:rsid w:val="63E63BFD"/>
    <w:rsid w:val="64087260"/>
    <w:rsid w:val="64126380"/>
    <w:rsid w:val="64252653"/>
    <w:rsid w:val="642908EF"/>
    <w:rsid w:val="642D06B5"/>
    <w:rsid w:val="642F3009"/>
    <w:rsid w:val="6442249B"/>
    <w:rsid w:val="64424F62"/>
    <w:rsid w:val="64433A80"/>
    <w:rsid w:val="644E050D"/>
    <w:rsid w:val="648A4037"/>
    <w:rsid w:val="649B4B28"/>
    <w:rsid w:val="64DF4A2F"/>
    <w:rsid w:val="64E413C0"/>
    <w:rsid w:val="64ED63A1"/>
    <w:rsid w:val="64F43265"/>
    <w:rsid w:val="650A67B2"/>
    <w:rsid w:val="650D6F25"/>
    <w:rsid w:val="65136487"/>
    <w:rsid w:val="651D3191"/>
    <w:rsid w:val="651E4E2C"/>
    <w:rsid w:val="65285C6D"/>
    <w:rsid w:val="653B778C"/>
    <w:rsid w:val="6558033E"/>
    <w:rsid w:val="655970BC"/>
    <w:rsid w:val="65615E7B"/>
    <w:rsid w:val="656F63E4"/>
    <w:rsid w:val="65703847"/>
    <w:rsid w:val="65806EBF"/>
    <w:rsid w:val="6593206E"/>
    <w:rsid w:val="65BF27BA"/>
    <w:rsid w:val="65D95103"/>
    <w:rsid w:val="65DB0832"/>
    <w:rsid w:val="65E56F90"/>
    <w:rsid w:val="66244E36"/>
    <w:rsid w:val="6640216C"/>
    <w:rsid w:val="6683763C"/>
    <w:rsid w:val="66846F11"/>
    <w:rsid w:val="6686465C"/>
    <w:rsid w:val="66C61B26"/>
    <w:rsid w:val="66D57C50"/>
    <w:rsid w:val="66FE6CC3"/>
    <w:rsid w:val="673F0FF4"/>
    <w:rsid w:val="674E075B"/>
    <w:rsid w:val="674F1BEB"/>
    <w:rsid w:val="676C1E7F"/>
    <w:rsid w:val="676D0B82"/>
    <w:rsid w:val="679C2C72"/>
    <w:rsid w:val="67B61D29"/>
    <w:rsid w:val="67BE672F"/>
    <w:rsid w:val="67C25F42"/>
    <w:rsid w:val="67DD0A1A"/>
    <w:rsid w:val="67DE4B38"/>
    <w:rsid w:val="67F32AE0"/>
    <w:rsid w:val="68123CCE"/>
    <w:rsid w:val="682B5569"/>
    <w:rsid w:val="683E1DD2"/>
    <w:rsid w:val="6841355A"/>
    <w:rsid w:val="689A6F83"/>
    <w:rsid w:val="68AC09C9"/>
    <w:rsid w:val="68B560C2"/>
    <w:rsid w:val="68BD7347"/>
    <w:rsid w:val="68C83A2C"/>
    <w:rsid w:val="68CE415D"/>
    <w:rsid w:val="68D62FD0"/>
    <w:rsid w:val="68E72BD3"/>
    <w:rsid w:val="68F32F2B"/>
    <w:rsid w:val="69003E39"/>
    <w:rsid w:val="69175381"/>
    <w:rsid w:val="695B664F"/>
    <w:rsid w:val="696755CA"/>
    <w:rsid w:val="696E50DB"/>
    <w:rsid w:val="697D4817"/>
    <w:rsid w:val="699B4BA3"/>
    <w:rsid w:val="69A9560C"/>
    <w:rsid w:val="69B62200"/>
    <w:rsid w:val="69D15C33"/>
    <w:rsid w:val="69F47F81"/>
    <w:rsid w:val="6A1317EA"/>
    <w:rsid w:val="6A137F80"/>
    <w:rsid w:val="6A3273AF"/>
    <w:rsid w:val="6A344329"/>
    <w:rsid w:val="6A5C7AAF"/>
    <w:rsid w:val="6A7C02EA"/>
    <w:rsid w:val="6A8F1D20"/>
    <w:rsid w:val="6AB81B6B"/>
    <w:rsid w:val="6AC00C88"/>
    <w:rsid w:val="6AE85CC0"/>
    <w:rsid w:val="6AEF704E"/>
    <w:rsid w:val="6B4F3F91"/>
    <w:rsid w:val="6B746F54"/>
    <w:rsid w:val="6B842586"/>
    <w:rsid w:val="6B9C134C"/>
    <w:rsid w:val="6BBC567A"/>
    <w:rsid w:val="6BC93D43"/>
    <w:rsid w:val="6C052835"/>
    <w:rsid w:val="6CA44E07"/>
    <w:rsid w:val="6CA62F4A"/>
    <w:rsid w:val="6CDC4DF4"/>
    <w:rsid w:val="6CE73A51"/>
    <w:rsid w:val="6CFA0F7F"/>
    <w:rsid w:val="6D0D3C08"/>
    <w:rsid w:val="6D1A412B"/>
    <w:rsid w:val="6D2055BE"/>
    <w:rsid w:val="6D372255"/>
    <w:rsid w:val="6D660A72"/>
    <w:rsid w:val="6D664AB1"/>
    <w:rsid w:val="6D6D490A"/>
    <w:rsid w:val="6D844EC9"/>
    <w:rsid w:val="6D8A760B"/>
    <w:rsid w:val="6D8F68C7"/>
    <w:rsid w:val="6D9640F9"/>
    <w:rsid w:val="6DCF13B9"/>
    <w:rsid w:val="6DEE7A91"/>
    <w:rsid w:val="6DFF3A4C"/>
    <w:rsid w:val="6DFF78D0"/>
    <w:rsid w:val="6E5A4A4C"/>
    <w:rsid w:val="6E862339"/>
    <w:rsid w:val="6EB56801"/>
    <w:rsid w:val="6EC5288D"/>
    <w:rsid w:val="6ED44ED9"/>
    <w:rsid w:val="6EF82B15"/>
    <w:rsid w:val="6F4D6A39"/>
    <w:rsid w:val="6F7F4719"/>
    <w:rsid w:val="6F8F0E00"/>
    <w:rsid w:val="6FB42615"/>
    <w:rsid w:val="6FBD596D"/>
    <w:rsid w:val="6FD66A2F"/>
    <w:rsid w:val="6FDB6B1F"/>
    <w:rsid w:val="6FDD5985"/>
    <w:rsid w:val="6FE41DF8"/>
    <w:rsid w:val="6FE42753"/>
    <w:rsid w:val="6FE62C30"/>
    <w:rsid w:val="703674CE"/>
    <w:rsid w:val="704A4D27"/>
    <w:rsid w:val="705175AA"/>
    <w:rsid w:val="706C2EEF"/>
    <w:rsid w:val="70923789"/>
    <w:rsid w:val="70D34855"/>
    <w:rsid w:val="70F058CE"/>
    <w:rsid w:val="710475CC"/>
    <w:rsid w:val="711517D9"/>
    <w:rsid w:val="71256BFE"/>
    <w:rsid w:val="713C4FB8"/>
    <w:rsid w:val="71641E18"/>
    <w:rsid w:val="7168223A"/>
    <w:rsid w:val="716E0E09"/>
    <w:rsid w:val="718623E4"/>
    <w:rsid w:val="719A1C34"/>
    <w:rsid w:val="719B5EAB"/>
    <w:rsid w:val="719E6771"/>
    <w:rsid w:val="71EA4A14"/>
    <w:rsid w:val="71F43971"/>
    <w:rsid w:val="724B6B03"/>
    <w:rsid w:val="728269FA"/>
    <w:rsid w:val="729329B5"/>
    <w:rsid w:val="72941455"/>
    <w:rsid w:val="72A575CC"/>
    <w:rsid w:val="72A72A4C"/>
    <w:rsid w:val="72B03567"/>
    <w:rsid w:val="72D57DE9"/>
    <w:rsid w:val="736641AF"/>
    <w:rsid w:val="73684981"/>
    <w:rsid w:val="736C298F"/>
    <w:rsid w:val="73724CC1"/>
    <w:rsid w:val="73734D81"/>
    <w:rsid w:val="737E3665"/>
    <w:rsid w:val="738558DE"/>
    <w:rsid w:val="73A52F57"/>
    <w:rsid w:val="73BC0E0D"/>
    <w:rsid w:val="73EB6821"/>
    <w:rsid w:val="740F6B94"/>
    <w:rsid w:val="74194229"/>
    <w:rsid w:val="748A4618"/>
    <w:rsid w:val="74A6220B"/>
    <w:rsid w:val="74E21738"/>
    <w:rsid w:val="753A0648"/>
    <w:rsid w:val="756F76C3"/>
    <w:rsid w:val="757F32CB"/>
    <w:rsid w:val="75823D9F"/>
    <w:rsid w:val="758807CB"/>
    <w:rsid w:val="759F56D1"/>
    <w:rsid w:val="75BD682D"/>
    <w:rsid w:val="75BE243F"/>
    <w:rsid w:val="75C261D8"/>
    <w:rsid w:val="75EB2B08"/>
    <w:rsid w:val="76120095"/>
    <w:rsid w:val="7677439C"/>
    <w:rsid w:val="7677600D"/>
    <w:rsid w:val="767D1E75"/>
    <w:rsid w:val="767E1BCE"/>
    <w:rsid w:val="76A44285"/>
    <w:rsid w:val="76B13D52"/>
    <w:rsid w:val="76D75618"/>
    <w:rsid w:val="76FD6F97"/>
    <w:rsid w:val="7722563F"/>
    <w:rsid w:val="772D7053"/>
    <w:rsid w:val="773329B9"/>
    <w:rsid w:val="777B0B5F"/>
    <w:rsid w:val="778B6B2C"/>
    <w:rsid w:val="77B52B98"/>
    <w:rsid w:val="77E03C3B"/>
    <w:rsid w:val="77FD2931"/>
    <w:rsid w:val="782013CC"/>
    <w:rsid w:val="78471FF6"/>
    <w:rsid w:val="784A1D68"/>
    <w:rsid w:val="787B22D8"/>
    <w:rsid w:val="788A750F"/>
    <w:rsid w:val="78B6352C"/>
    <w:rsid w:val="78C17C22"/>
    <w:rsid w:val="790E2D96"/>
    <w:rsid w:val="790E7239"/>
    <w:rsid w:val="791E3CF0"/>
    <w:rsid w:val="7931052F"/>
    <w:rsid w:val="794E03FE"/>
    <w:rsid w:val="79653D2B"/>
    <w:rsid w:val="79682330"/>
    <w:rsid w:val="799F4335"/>
    <w:rsid w:val="79B31B8F"/>
    <w:rsid w:val="79D3498D"/>
    <w:rsid w:val="7A12592C"/>
    <w:rsid w:val="7A390E79"/>
    <w:rsid w:val="7A635363"/>
    <w:rsid w:val="7A906E53"/>
    <w:rsid w:val="7A9B4D76"/>
    <w:rsid w:val="7AB45BBF"/>
    <w:rsid w:val="7ABC3569"/>
    <w:rsid w:val="7AE2567C"/>
    <w:rsid w:val="7B14665D"/>
    <w:rsid w:val="7B30793B"/>
    <w:rsid w:val="7B8061F2"/>
    <w:rsid w:val="7BB20D3E"/>
    <w:rsid w:val="7BB23ECA"/>
    <w:rsid w:val="7BB92F87"/>
    <w:rsid w:val="7BDB0F8B"/>
    <w:rsid w:val="7C7E3193"/>
    <w:rsid w:val="7CA52AFD"/>
    <w:rsid w:val="7CB61380"/>
    <w:rsid w:val="7CDA4D5B"/>
    <w:rsid w:val="7CE05EF6"/>
    <w:rsid w:val="7CE16DC7"/>
    <w:rsid w:val="7D67516A"/>
    <w:rsid w:val="7D697134"/>
    <w:rsid w:val="7D8C4BD1"/>
    <w:rsid w:val="7DC66335"/>
    <w:rsid w:val="7DCE3D6C"/>
    <w:rsid w:val="7DE22A43"/>
    <w:rsid w:val="7DEA0224"/>
    <w:rsid w:val="7DF11A4A"/>
    <w:rsid w:val="7DF369FE"/>
    <w:rsid w:val="7E0503B7"/>
    <w:rsid w:val="7E0D62E5"/>
    <w:rsid w:val="7E324F12"/>
    <w:rsid w:val="7E5D7BC6"/>
    <w:rsid w:val="7E825173"/>
    <w:rsid w:val="7E837D82"/>
    <w:rsid w:val="7E8606AD"/>
    <w:rsid w:val="7E8F3CB0"/>
    <w:rsid w:val="7EBC5E02"/>
    <w:rsid w:val="7EC33E74"/>
    <w:rsid w:val="7EC64656"/>
    <w:rsid w:val="7F046D46"/>
    <w:rsid w:val="7F1430D0"/>
    <w:rsid w:val="7F437511"/>
    <w:rsid w:val="7F5360D7"/>
    <w:rsid w:val="7F625014"/>
    <w:rsid w:val="7F713502"/>
    <w:rsid w:val="7FAF1655"/>
    <w:rsid w:val="7FC31D57"/>
    <w:rsid w:val="7FE02FB2"/>
    <w:rsid w:val="BFFFD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 w:cs="Times New Roman"/>
      <w:kern w:val="2"/>
      <w:sz w:val="24"/>
      <w:szCs w:val="24"/>
      <w:lang w:val="en-US" w:eastAsia="zh-CN" w:bidi="ar-SA"/>
    </w:rPr>
  </w:style>
  <w:style w:type="paragraph" w:styleId="4">
    <w:name w:val="heading 1"/>
    <w:basedOn w:val="1"/>
    <w:next w:val="1"/>
    <w:autoRedefine/>
    <w:qFormat/>
    <w:uiPriority w:val="0"/>
    <w:pPr>
      <w:keepNext/>
      <w:keepLines/>
      <w:spacing w:before="340" w:after="330"/>
      <w:jc w:val="center"/>
      <w:outlineLvl w:val="0"/>
    </w:pPr>
    <w:rPr>
      <w:rFonts w:eastAsia="楷体_GB2312"/>
      <w:b/>
      <w:bCs/>
      <w:kern w:val="44"/>
      <w:sz w:val="32"/>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outlineLvl w:val="3"/>
    </w:pPr>
    <w:rPr>
      <w:sz w:val="32"/>
      <w:szCs w:val="20"/>
    </w:rPr>
  </w:style>
  <w:style w:type="character" w:default="1" w:styleId="29">
    <w:name w:val="Default Paragraph Font"/>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autoRedefine/>
    <w:qFormat/>
    <w:uiPriority w:val="0"/>
    <w:pPr>
      <w:ind w:firstLine="420" w:firstLineChars="100"/>
    </w:pPr>
  </w:style>
  <w:style w:type="paragraph" w:styleId="3">
    <w:name w:val="Body Text"/>
    <w:basedOn w:val="1"/>
    <w:autoRedefine/>
    <w:qFormat/>
    <w:uiPriority w:val="0"/>
    <w:pPr>
      <w:spacing w:after="120"/>
    </w:pPr>
  </w:style>
  <w:style w:type="paragraph" w:styleId="8">
    <w:name w:val="Normal Indent"/>
    <w:basedOn w:val="1"/>
    <w:qFormat/>
    <w:uiPriority w:val="0"/>
    <w:pPr>
      <w:ind w:firstLine="420" w:firstLineChars="200"/>
    </w:pPr>
    <w:rPr>
      <w:szCs w:val="20"/>
    </w:rPr>
  </w:style>
  <w:style w:type="paragraph" w:styleId="9">
    <w:name w:val="toa heading"/>
    <w:basedOn w:val="1"/>
    <w:next w:val="1"/>
    <w:autoRedefine/>
    <w:qFormat/>
    <w:uiPriority w:val="0"/>
    <w:pPr>
      <w:spacing w:before="120"/>
    </w:pPr>
    <w:rPr>
      <w:rFonts w:ascii="Arial" w:hAnsi="Arial"/>
    </w:rPr>
  </w:style>
  <w:style w:type="paragraph" w:styleId="10">
    <w:name w:val="annotation text"/>
    <w:basedOn w:val="1"/>
    <w:link w:val="59"/>
    <w:autoRedefine/>
    <w:qFormat/>
    <w:uiPriority w:val="0"/>
    <w:pPr>
      <w:jc w:val="left"/>
    </w:pPr>
  </w:style>
  <w:style w:type="paragraph" w:styleId="11">
    <w:name w:val="Body Text 3"/>
    <w:basedOn w:val="1"/>
    <w:autoRedefine/>
    <w:qFormat/>
    <w:uiPriority w:val="0"/>
    <w:rPr>
      <w:b/>
      <w:bCs/>
    </w:rPr>
  </w:style>
  <w:style w:type="paragraph" w:styleId="12">
    <w:name w:val="Body Text Indent"/>
    <w:basedOn w:val="1"/>
    <w:next w:val="1"/>
    <w:qFormat/>
    <w:uiPriority w:val="0"/>
    <w:pPr>
      <w:spacing w:after="120"/>
      <w:ind w:left="420" w:leftChars="200"/>
    </w:pPr>
  </w:style>
  <w:style w:type="paragraph" w:styleId="13">
    <w:name w:val="toc 3"/>
    <w:basedOn w:val="1"/>
    <w:next w:val="1"/>
    <w:autoRedefine/>
    <w:qFormat/>
    <w:uiPriority w:val="39"/>
    <w:pPr>
      <w:ind w:left="840" w:leftChars="400"/>
    </w:pPr>
  </w:style>
  <w:style w:type="paragraph" w:styleId="14">
    <w:name w:val="Plain Text"/>
    <w:basedOn w:val="1"/>
    <w:autoRedefine/>
    <w:qFormat/>
    <w:uiPriority w:val="0"/>
    <w:pPr>
      <w:widowControl/>
      <w:overflowPunct w:val="0"/>
      <w:autoSpaceDE w:val="0"/>
      <w:autoSpaceDN w:val="0"/>
      <w:adjustRightInd w:val="0"/>
      <w:jc w:val="left"/>
    </w:pPr>
    <w:rPr>
      <w:rFonts w:ascii="宋体" w:hAnsi="Courier New"/>
      <w:kern w:val="0"/>
      <w:szCs w:val="21"/>
    </w:rPr>
  </w:style>
  <w:style w:type="paragraph" w:styleId="15">
    <w:name w:val="Body Text Indent 2"/>
    <w:basedOn w:val="1"/>
    <w:autoRedefine/>
    <w:qFormat/>
    <w:uiPriority w:val="0"/>
    <w:pPr>
      <w:spacing w:line="360" w:lineRule="auto"/>
      <w:ind w:left="1140"/>
    </w:pPr>
    <w:rPr>
      <w:rFonts w:ascii="宋体"/>
      <w:szCs w:val="20"/>
    </w:rPr>
  </w:style>
  <w:style w:type="paragraph" w:styleId="16">
    <w:name w:val="Balloon Text"/>
    <w:basedOn w:val="1"/>
    <w:link w:val="66"/>
    <w:autoRedefine/>
    <w:qFormat/>
    <w:uiPriority w:val="0"/>
    <w:rPr>
      <w:sz w:val="18"/>
      <w:szCs w:val="18"/>
    </w:rPr>
  </w:style>
  <w:style w:type="paragraph" w:styleId="17">
    <w:name w:val="footer"/>
    <w:basedOn w:val="1"/>
    <w:autoRedefine/>
    <w:qFormat/>
    <w:uiPriority w:val="99"/>
    <w:pPr>
      <w:tabs>
        <w:tab w:val="center" w:pos="4153"/>
        <w:tab w:val="right" w:pos="8306"/>
      </w:tabs>
      <w:snapToGrid w:val="0"/>
      <w:jc w:val="left"/>
    </w:pPr>
    <w:rPr>
      <w:sz w:val="18"/>
      <w:szCs w:val="18"/>
    </w:rPr>
  </w:style>
  <w:style w:type="paragraph" w:styleId="18">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tabs>
        <w:tab w:val="right" w:leader="dot" w:pos="9060"/>
      </w:tabs>
      <w:spacing w:line="400" w:lineRule="exact"/>
    </w:pPr>
    <w:rPr>
      <w:rFonts w:ascii="宋体" w:hAnsi="宋体"/>
      <w:caps/>
    </w:rPr>
  </w:style>
  <w:style w:type="paragraph" w:styleId="20">
    <w:name w:val="Subtitle"/>
    <w:basedOn w:val="1"/>
    <w:autoRedefine/>
    <w:qFormat/>
    <w:uiPriority w:val="11"/>
    <w:pPr>
      <w:spacing w:before="240" w:after="60" w:line="312" w:lineRule="auto"/>
      <w:jc w:val="center"/>
      <w:outlineLvl w:val="1"/>
    </w:pPr>
    <w:rPr>
      <w:rFonts w:ascii="Cambria" w:hAnsi="Cambria"/>
      <w:b/>
      <w:bCs/>
      <w:kern w:val="28"/>
      <w:sz w:val="32"/>
      <w:szCs w:val="32"/>
    </w:rPr>
  </w:style>
  <w:style w:type="paragraph" w:styleId="21">
    <w:name w:val="List 5"/>
    <w:basedOn w:val="1"/>
    <w:autoRedefine/>
    <w:qFormat/>
    <w:uiPriority w:val="0"/>
    <w:pPr>
      <w:ind w:left="2100" w:hanging="420"/>
    </w:pPr>
    <w:rPr>
      <w:rFonts w:eastAsia="楷体_GB2312"/>
      <w:sz w:val="32"/>
      <w:szCs w:val="20"/>
    </w:rPr>
  </w:style>
  <w:style w:type="paragraph" w:styleId="22">
    <w:name w:val="table of figures"/>
    <w:basedOn w:val="1"/>
    <w:next w:val="1"/>
    <w:autoRedefine/>
    <w:qFormat/>
    <w:uiPriority w:val="0"/>
    <w:pPr>
      <w:ind w:left="200" w:leftChars="200" w:hanging="200" w:hangingChars="200"/>
    </w:pPr>
    <w:rPr>
      <w:sz w:val="21"/>
    </w:rPr>
  </w:style>
  <w:style w:type="paragraph" w:styleId="23">
    <w:name w:val="toc 2"/>
    <w:basedOn w:val="1"/>
    <w:next w:val="1"/>
    <w:autoRedefine/>
    <w:qFormat/>
    <w:uiPriority w:val="39"/>
    <w:pPr>
      <w:ind w:left="420" w:leftChars="200"/>
    </w:pPr>
  </w:style>
  <w:style w:type="paragraph" w:styleId="24">
    <w:name w:val="Body Text 2"/>
    <w:basedOn w:val="1"/>
    <w:autoRedefine/>
    <w:qFormat/>
    <w:uiPriority w:val="0"/>
    <w:pPr>
      <w:jc w:val="center"/>
    </w:pPr>
    <w:rPr>
      <w:rFonts w:ascii="楷体_GB2312" w:eastAsia="楷体_GB2312"/>
      <w:b/>
      <w:sz w:val="36"/>
      <w:szCs w:val="48"/>
    </w:rPr>
  </w:style>
  <w:style w:type="paragraph" w:styleId="25">
    <w:name w:val="Normal (Web)"/>
    <w:basedOn w:val="1"/>
    <w:autoRedefine/>
    <w:qFormat/>
    <w:uiPriority w:val="99"/>
    <w:rPr>
      <w:rFonts w:eastAsia="仿宋_GB2312"/>
    </w:rPr>
  </w:style>
  <w:style w:type="paragraph" w:styleId="26">
    <w:name w:val="Body Text First Indent 2"/>
    <w:basedOn w:val="12"/>
    <w:next w:val="3"/>
    <w:autoRedefine/>
    <w:qFormat/>
    <w:uiPriority w:val="0"/>
    <w:pPr>
      <w:ind w:firstLine="420"/>
      <w:jc w:val="left"/>
    </w:pPr>
    <w:rPr>
      <w:szCs w:val="20"/>
    </w:rPr>
  </w:style>
  <w:style w:type="table" w:styleId="28">
    <w:name w:val="Table Grid"/>
    <w:basedOn w:val="2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autoRedefine/>
    <w:qFormat/>
    <w:uiPriority w:val="0"/>
    <w:rPr>
      <w:b/>
      <w:bCs/>
    </w:rPr>
  </w:style>
  <w:style w:type="character" w:styleId="31">
    <w:name w:val="FollowedHyperlink"/>
    <w:basedOn w:val="29"/>
    <w:autoRedefine/>
    <w:qFormat/>
    <w:uiPriority w:val="0"/>
    <w:rPr>
      <w:color w:val="444444"/>
      <w:sz w:val="21"/>
      <w:szCs w:val="21"/>
      <w:u w:val="none"/>
    </w:rPr>
  </w:style>
  <w:style w:type="character" w:styleId="32">
    <w:name w:val="Emphasis"/>
    <w:basedOn w:val="29"/>
    <w:autoRedefine/>
    <w:qFormat/>
    <w:uiPriority w:val="0"/>
    <w:rPr>
      <w:b/>
      <w:bCs/>
    </w:rPr>
  </w:style>
  <w:style w:type="character" w:styleId="33">
    <w:name w:val="HTML Definition"/>
    <w:basedOn w:val="29"/>
    <w:autoRedefine/>
    <w:qFormat/>
    <w:uiPriority w:val="0"/>
  </w:style>
  <w:style w:type="character" w:styleId="34">
    <w:name w:val="HTML Typewriter"/>
    <w:basedOn w:val="29"/>
    <w:autoRedefine/>
    <w:qFormat/>
    <w:uiPriority w:val="0"/>
    <w:rPr>
      <w:rFonts w:hint="default" w:ascii="monospace" w:hAnsi="monospace" w:eastAsia="monospace" w:cs="monospace"/>
      <w:sz w:val="21"/>
      <w:szCs w:val="21"/>
    </w:rPr>
  </w:style>
  <w:style w:type="character" w:styleId="35">
    <w:name w:val="HTML Acronym"/>
    <w:basedOn w:val="29"/>
    <w:autoRedefine/>
    <w:qFormat/>
    <w:uiPriority w:val="0"/>
  </w:style>
  <w:style w:type="character" w:styleId="36">
    <w:name w:val="HTML Variable"/>
    <w:basedOn w:val="29"/>
    <w:autoRedefine/>
    <w:qFormat/>
    <w:uiPriority w:val="0"/>
  </w:style>
  <w:style w:type="character" w:styleId="37">
    <w:name w:val="Hyperlink"/>
    <w:basedOn w:val="29"/>
    <w:autoRedefine/>
    <w:qFormat/>
    <w:uiPriority w:val="99"/>
    <w:rPr>
      <w:color w:val="5C5C5C"/>
      <w:u w:val="none"/>
    </w:rPr>
  </w:style>
  <w:style w:type="character" w:styleId="38">
    <w:name w:val="HTML Code"/>
    <w:basedOn w:val="29"/>
    <w:autoRedefine/>
    <w:qFormat/>
    <w:uiPriority w:val="0"/>
    <w:rPr>
      <w:rFonts w:hint="default" w:ascii="monospace" w:hAnsi="monospace" w:eastAsia="monospace" w:cs="monospace"/>
      <w:sz w:val="20"/>
    </w:rPr>
  </w:style>
  <w:style w:type="character" w:styleId="39">
    <w:name w:val="annotation reference"/>
    <w:autoRedefine/>
    <w:qFormat/>
    <w:uiPriority w:val="0"/>
    <w:rPr>
      <w:sz w:val="21"/>
      <w:szCs w:val="21"/>
    </w:rPr>
  </w:style>
  <w:style w:type="character" w:styleId="40">
    <w:name w:val="HTML Cite"/>
    <w:basedOn w:val="29"/>
    <w:autoRedefine/>
    <w:qFormat/>
    <w:uiPriority w:val="0"/>
  </w:style>
  <w:style w:type="character" w:styleId="41">
    <w:name w:val="HTML Keyboard"/>
    <w:basedOn w:val="29"/>
    <w:autoRedefine/>
    <w:qFormat/>
    <w:uiPriority w:val="0"/>
    <w:rPr>
      <w:rFonts w:ascii="monospace" w:hAnsi="monospace" w:eastAsia="monospace" w:cs="monospace"/>
      <w:sz w:val="20"/>
    </w:rPr>
  </w:style>
  <w:style w:type="character" w:styleId="42">
    <w:name w:val="HTML Sample"/>
    <w:basedOn w:val="29"/>
    <w:autoRedefine/>
    <w:qFormat/>
    <w:uiPriority w:val="0"/>
    <w:rPr>
      <w:rFonts w:hint="default" w:ascii="monospace" w:hAnsi="monospace" w:eastAsia="monospace" w:cs="monospace"/>
    </w:rPr>
  </w:style>
  <w:style w:type="paragraph" w:customStyle="1" w:styleId="43">
    <w:name w:val="style4"/>
    <w:basedOn w:val="1"/>
    <w:next w:val="44"/>
    <w:autoRedefine/>
    <w:qFormat/>
    <w:uiPriority w:val="0"/>
    <w:pPr>
      <w:widowControl/>
      <w:spacing w:before="280" w:after="280"/>
    </w:pPr>
    <w:rPr>
      <w:rFonts w:ascii="宋体"/>
      <w:sz w:val="18"/>
    </w:rPr>
  </w:style>
  <w:style w:type="paragraph" w:customStyle="1" w:styleId="44">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45">
    <w:name w:val="Body Text First Indent1"/>
    <w:basedOn w:val="3"/>
    <w:autoRedefine/>
    <w:qFormat/>
    <w:uiPriority w:val="0"/>
    <w:pPr>
      <w:spacing w:line="360" w:lineRule="auto"/>
      <w:ind w:firstLine="420" w:firstLineChars="100"/>
    </w:pPr>
  </w:style>
  <w:style w:type="paragraph" w:customStyle="1" w:styleId="46">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47">
    <w:name w:val="表格文字"/>
    <w:basedOn w:val="1"/>
    <w:autoRedefine/>
    <w:qFormat/>
    <w:uiPriority w:val="0"/>
    <w:pPr>
      <w:spacing w:line="360" w:lineRule="auto"/>
      <w:jc w:val="left"/>
    </w:pPr>
    <w:rPr>
      <w:rFonts w:ascii="Calibri" w:hAnsi="Calibri"/>
      <w:szCs w:val="21"/>
    </w:rPr>
  </w:style>
  <w:style w:type="paragraph" w:customStyle="1" w:styleId="48">
    <w:name w:val="USE 1"/>
    <w:basedOn w:val="1"/>
    <w:autoRedefine/>
    <w:qFormat/>
    <w:uiPriority w:val="0"/>
    <w:pPr>
      <w:spacing w:line="200" w:lineRule="atLeast"/>
      <w:jc w:val="left"/>
    </w:pPr>
    <w:rPr>
      <w:rFonts w:ascii="宋体" w:hAnsi="宋体"/>
      <w:b/>
      <w:szCs w:val="20"/>
    </w:rPr>
  </w:style>
  <w:style w:type="paragraph" w:customStyle="1" w:styleId="49">
    <w:name w:val="正文文本1"/>
    <w:basedOn w:val="1"/>
    <w:autoRedefine/>
    <w:qFormat/>
    <w:uiPriority w:val="0"/>
    <w:pPr>
      <w:shd w:val="clear" w:color="auto" w:fill="FFFFFF"/>
      <w:spacing w:line="386" w:lineRule="auto"/>
      <w:ind w:firstLine="400"/>
    </w:pPr>
    <w:rPr>
      <w:rFonts w:ascii="MingLiU" w:hAnsi="MingLiU" w:eastAsia="MingLiU" w:cs="MingLiU"/>
      <w:sz w:val="28"/>
      <w:szCs w:val="28"/>
      <w:lang w:val="zh-CN" w:bidi="zh-CN"/>
    </w:rPr>
  </w:style>
  <w:style w:type="paragraph" w:customStyle="1" w:styleId="50">
    <w:name w:val="正文缩进1"/>
    <w:basedOn w:val="1"/>
    <w:autoRedefine/>
    <w:qFormat/>
    <w:uiPriority w:val="0"/>
    <w:pPr>
      <w:autoSpaceDE w:val="0"/>
      <w:autoSpaceDN w:val="0"/>
      <w:adjustRightInd w:val="0"/>
      <w:ind w:firstLine="420"/>
      <w:jc w:val="left"/>
    </w:pPr>
    <w:rPr>
      <w:rFonts w:ascii="宋体" w:hAnsi="Calibri"/>
      <w:kern w:val="0"/>
      <w:szCs w:val="20"/>
    </w:rPr>
  </w:style>
  <w:style w:type="paragraph" w:customStyle="1" w:styleId="51">
    <w:name w:val="索引 11"/>
    <w:basedOn w:val="1"/>
    <w:next w:val="1"/>
    <w:autoRedefine/>
    <w:qFormat/>
    <w:uiPriority w:val="0"/>
    <w:pPr>
      <w:spacing w:line="360" w:lineRule="auto"/>
    </w:pPr>
    <w:rPr>
      <w:rFonts w:ascii="仿宋_GB2312" w:eastAsia="仿宋_GB2312"/>
      <w:szCs w:val="20"/>
    </w:rPr>
  </w:style>
  <w:style w:type="paragraph" w:customStyle="1" w:styleId="52">
    <w:name w:val="纯文本1"/>
    <w:basedOn w:val="1"/>
    <w:autoRedefine/>
    <w:qFormat/>
    <w:uiPriority w:val="0"/>
    <w:rPr>
      <w:rFonts w:ascii="宋体" w:hAnsi="Courier New"/>
      <w:kern w:val="0"/>
      <w:sz w:val="20"/>
      <w:szCs w:val="20"/>
    </w:rPr>
  </w:style>
  <w:style w:type="paragraph" w:customStyle="1" w:styleId="53">
    <w:name w:val="正文1"/>
    <w:basedOn w:val="1"/>
    <w:autoRedefine/>
    <w:qFormat/>
    <w:uiPriority w:val="0"/>
    <w:pPr>
      <w:spacing w:line="360" w:lineRule="auto"/>
      <w:ind w:left="1260" w:leftChars="600" w:firstLine="540" w:firstLineChars="257"/>
    </w:pPr>
    <w:rPr>
      <w:rFonts w:ascii="宋体" w:hAnsi="宋体"/>
    </w:rPr>
  </w:style>
  <w:style w:type="paragraph" w:styleId="54">
    <w:name w:val="List Paragraph"/>
    <w:basedOn w:val="1"/>
    <w:autoRedefine/>
    <w:qFormat/>
    <w:uiPriority w:val="1"/>
    <w:pPr>
      <w:ind w:left="218" w:firstLine="559"/>
    </w:pPr>
    <w:rPr>
      <w:rFonts w:ascii="宋体" w:hAnsi="宋体" w:eastAsia="宋体" w:cs="宋体"/>
      <w:lang w:val="zh-CN" w:bidi="zh-CN"/>
    </w:rPr>
  </w:style>
  <w:style w:type="paragraph" w:customStyle="1" w:styleId="55">
    <w:name w:val="Table Paragraph"/>
    <w:basedOn w:val="1"/>
    <w:autoRedefine/>
    <w:qFormat/>
    <w:uiPriority w:val="1"/>
    <w:rPr>
      <w:rFonts w:ascii="宋体" w:hAnsi="宋体" w:eastAsia="宋体" w:cs="宋体"/>
      <w:lang w:val="zh-CN" w:bidi="zh-CN"/>
    </w:rPr>
  </w:style>
  <w:style w:type="character" w:customStyle="1" w:styleId="56">
    <w:name w:val="hover18"/>
    <w:basedOn w:val="29"/>
    <w:autoRedefine/>
    <w:qFormat/>
    <w:uiPriority w:val="0"/>
  </w:style>
  <w:style w:type="paragraph" w:customStyle="1" w:styleId="57">
    <w:name w:val="样式 正文文本缩进 2封面3 +"/>
    <w:basedOn w:val="15"/>
    <w:autoRedefine/>
    <w:qFormat/>
    <w:uiPriority w:val="0"/>
    <w:pPr>
      <w:adjustRightInd w:val="0"/>
      <w:snapToGrid w:val="0"/>
      <w:spacing w:before="100" w:beforeAutospacing="1" w:after="100" w:afterAutospacing="1" w:line="400" w:lineRule="atLeast"/>
      <w:ind w:left="0"/>
    </w:pPr>
    <w:rPr>
      <w:rFonts w:hAnsi="宋体" w:cs="宋体"/>
      <w:color w:val="000000"/>
    </w:rPr>
  </w:style>
  <w:style w:type="paragraph" w:customStyle="1" w:styleId="58">
    <w:name w:val="正文格式"/>
    <w:basedOn w:val="1"/>
    <w:autoRedefine/>
    <w:qFormat/>
    <w:uiPriority w:val="6"/>
    <w:pPr>
      <w:adjustRightInd w:val="0"/>
      <w:snapToGrid w:val="0"/>
      <w:spacing w:line="360" w:lineRule="auto"/>
      <w:ind w:firstLine="200" w:firstLineChars="200"/>
    </w:pPr>
    <w:rPr>
      <w:rFonts w:ascii="宋体" w:hAnsi="等线"/>
      <w:szCs w:val="21"/>
    </w:rPr>
  </w:style>
  <w:style w:type="character" w:customStyle="1" w:styleId="59">
    <w:name w:val="批注文字 Char"/>
    <w:basedOn w:val="29"/>
    <w:link w:val="10"/>
    <w:autoRedefine/>
    <w:qFormat/>
    <w:uiPriority w:val="0"/>
    <w:rPr>
      <w:rFonts w:eastAsia="仿宋"/>
      <w:kern w:val="2"/>
      <w:sz w:val="24"/>
      <w:szCs w:val="24"/>
    </w:rPr>
  </w:style>
  <w:style w:type="character" w:customStyle="1" w:styleId="60">
    <w:name w:val="hover"/>
    <w:basedOn w:val="29"/>
    <w:autoRedefine/>
    <w:qFormat/>
    <w:uiPriority w:val="0"/>
    <w:rPr>
      <w:color w:val="2590EB"/>
    </w:rPr>
  </w:style>
  <w:style w:type="character" w:customStyle="1" w:styleId="61">
    <w:name w:val="hover1"/>
    <w:basedOn w:val="29"/>
    <w:autoRedefine/>
    <w:qFormat/>
    <w:uiPriority w:val="0"/>
    <w:rPr>
      <w:color w:val="2590EB"/>
    </w:rPr>
  </w:style>
  <w:style w:type="character" w:customStyle="1" w:styleId="62">
    <w:name w:val="hover2"/>
    <w:basedOn w:val="29"/>
    <w:autoRedefine/>
    <w:qFormat/>
    <w:uiPriority w:val="0"/>
  </w:style>
  <w:style w:type="character" w:customStyle="1" w:styleId="63">
    <w:name w:val="hover3"/>
    <w:basedOn w:val="29"/>
    <w:autoRedefine/>
    <w:qFormat/>
    <w:uiPriority w:val="0"/>
    <w:rPr>
      <w:color w:val="2590EB"/>
      <w:shd w:val="clear" w:color="auto" w:fill="E9F4FD"/>
    </w:rPr>
  </w:style>
  <w:style w:type="paragraph" w:customStyle="1" w:styleId="64">
    <w:name w:val="w"/>
    <w:basedOn w:val="1"/>
    <w:autoRedefine/>
    <w:qFormat/>
    <w:uiPriority w:val="0"/>
    <w:pPr>
      <w:widowControl/>
      <w:spacing w:before="100" w:beforeAutospacing="1" w:after="100" w:afterAutospacing="1" w:line="375" w:lineRule="atLeast"/>
      <w:jc w:val="left"/>
    </w:pPr>
    <w:rPr>
      <w:rFonts w:ascii="宋体" w:hAnsi="宋体"/>
      <w:color w:val="000000"/>
      <w:kern w:val="0"/>
    </w:rPr>
  </w:style>
  <w:style w:type="paragraph" w:customStyle="1" w:styleId="65">
    <w:name w:val="正文2"/>
    <w:basedOn w:val="1"/>
    <w:autoRedefine/>
    <w:qFormat/>
    <w:uiPriority w:val="0"/>
    <w:rPr>
      <w:rFonts w:asciiTheme="minorHAnsi" w:hAnsiTheme="minorHAnsi" w:cstheme="minorBidi"/>
      <w:szCs w:val="22"/>
    </w:rPr>
  </w:style>
  <w:style w:type="character" w:customStyle="1" w:styleId="66">
    <w:name w:val="批注框文本 Char"/>
    <w:basedOn w:val="29"/>
    <w:link w:val="16"/>
    <w:autoRedefine/>
    <w:qFormat/>
    <w:uiPriority w:val="0"/>
    <w:rPr>
      <w:rFonts w:eastAsia="仿宋"/>
      <w:kern w:val="2"/>
      <w:sz w:val="18"/>
      <w:szCs w:val="18"/>
    </w:rPr>
  </w:style>
  <w:style w:type="paragraph" w:customStyle="1" w:styleId="67">
    <w:name w:val="WPSOffice手动目录 1"/>
    <w:qFormat/>
    <w:uiPriority w:val="0"/>
    <w:rPr>
      <w:rFonts w:ascii="Times New Roman" w:hAnsi="Times New Roman" w:eastAsia="宋体" w:cs="Times New Roman"/>
      <w:lang w:val="en-US" w:eastAsia="zh-CN" w:bidi="ar-SA"/>
    </w:rPr>
  </w:style>
  <w:style w:type="paragraph" w:customStyle="1" w:styleId="68">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6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0">
    <w:name w:val="列出段落1"/>
    <w:basedOn w:val="1"/>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54</Pages>
  <Words>15725</Words>
  <Characters>17101</Characters>
  <Lines>319</Lines>
  <Paragraphs>90</Paragraphs>
  <TotalTime>28</TotalTime>
  <ScaleCrop>false</ScaleCrop>
  <LinksUpToDate>false</LinksUpToDate>
  <CharactersWithSpaces>17256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2024-07-28T12:14:00Z</dcterms:created>
  <dc:creator>G</dc:creator>
  <cp:lastModifiedBy>NTKO</cp:lastModifiedBy>
  <cp:lastPrinted>2024-07-22T10:21:00Z</cp:lastPrinted>
  <dcterms:modified xsi:type="dcterms:W3CDTF">2025-04-17T00:49:21Z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5C82C2C33EBA49F28BE541135168920C_13</vt:lpwstr>
  </property>
  <property fmtid="{D5CDD505-2E9C-101B-9397-08002B2CF9AE}" pid="4" name="KSOTemplateDocerSaveRecord">
    <vt:lpwstr>eyJoZGlkIjoiZjUyZGNlNmZhMzVmMDZhMGMwMTQ1N2UwYTYwNzkxYWYiLCJ1c2VySWQiOiIxNTE5NjU3NDYyIn0=</vt:lpwstr>
  </property>
</Properties>
</file>