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3179">
      <w:pPr>
        <w:pStyle w:val="4"/>
        <w:adjustRightInd w:val="0"/>
        <w:snapToGrid w:val="0"/>
        <w:spacing w:line="400" w:lineRule="exact"/>
        <w:ind w:firstLine="0" w:firstLineChars="0"/>
        <w:rPr>
          <w:rFonts w:hint="eastAsia" w:ascii="宋体" w:hAnsi="宋体" w:cs="宋体"/>
          <w:b/>
          <w:bCs/>
          <w:szCs w:val="21"/>
        </w:rPr>
      </w:pPr>
      <w:r>
        <w:rPr>
          <w:rFonts w:hint="eastAsia" w:ascii="宋体" w:hAnsi="宋体" w:cs="宋体"/>
          <w:b/>
          <w:bCs/>
          <w:szCs w:val="21"/>
        </w:rPr>
        <w:t>附件：</w:t>
      </w:r>
    </w:p>
    <w:p w14:paraId="779125A2">
      <w:pPr>
        <w:numPr>
          <w:ilvl w:val="0"/>
          <w:numId w:val="0"/>
        </w:numPr>
        <w:rPr>
          <w:rFonts w:hint="eastAsia" w:ascii="宋体" w:hAnsi="宋体" w:cs="宋体"/>
          <w:b/>
          <w:bCs/>
          <w:szCs w:val="21"/>
        </w:rPr>
      </w:pPr>
      <w:r>
        <w:rPr>
          <w:rFonts w:hint="eastAsia" w:ascii="宋体" w:hAnsi="宋体" w:cs="宋体"/>
          <w:b/>
          <w:bCs/>
          <w:kern w:val="2"/>
          <w:sz w:val="21"/>
          <w:szCs w:val="21"/>
          <w:lang w:val="en-US" w:eastAsia="zh-CN" w:bidi="ar-SA"/>
        </w:rPr>
        <w:t>1.</w:t>
      </w:r>
      <w:r>
        <w:rPr>
          <w:rFonts w:hint="eastAsia" w:ascii="宋体" w:hAnsi="宋体" w:cs="宋体"/>
          <w:b/>
          <w:bCs/>
          <w:szCs w:val="21"/>
        </w:rPr>
        <w:t>技术参数</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865"/>
        <w:gridCol w:w="1090"/>
      </w:tblGrid>
      <w:tr w14:paraId="3552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3"/>
            <w:tcBorders>
              <w:top w:val="nil"/>
              <w:left w:val="nil"/>
              <w:right w:val="nil"/>
            </w:tcBorders>
            <w:noWrap w:val="0"/>
            <w:vAlign w:val="center"/>
          </w:tcPr>
          <w:p w14:paraId="61CCAD6C">
            <w:pPr>
              <w:widowControl/>
              <w:adjustRightInd w:val="0"/>
              <w:snapToGrid w:val="0"/>
              <w:spacing w:line="240" w:lineRule="atLeast"/>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8"/>
                <w:szCs w:val="28"/>
              </w:rPr>
              <w:t>等离子双极电切电凝系统</w:t>
            </w:r>
          </w:p>
        </w:tc>
      </w:tr>
      <w:tr w14:paraId="4B4E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A7DB896">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65" w:type="dxa"/>
            <w:tcBorders>
              <w:tl2br w:val="nil"/>
              <w:tr2bl w:val="nil"/>
            </w:tcBorders>
            <w:noWrap w:val="0"/>
            <w:vAlign w:val="center"/>
          </w:tcPr>
          <w:p w14:paraId="0AD77152">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90" w:type="dxa"/>
            <w:tcBorders>
              <w:tl2br w:val="nil"/>
              <w:tr2bl w:val="nil"/>
            </w:tcBorders>
            <w:noWrap w:val="0"/>
            <w:vAlign w:val="center"/>
          </w:tcPr>
          <w:p w14:paraId="79719F9D">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098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F1266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0F41AB2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90" w:type="dxa"/>
            <w:tcBorders>
              <w:tl2br w:val="nil"/>
              <w:tr2bl w:val="nil"/>
            </w:tcBorders>
            <w:noWrap w:val="0"/>
            <w:vAlign w:val="center"/>
          </w:tcPr>
          <w:p w14:paraId="40C9D3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E6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04929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02354A6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090" w:type="dxa"/>
            <w:tcBorders>
              <w:tl2br w:val="nil"/>
              <w:tr2bl w:val="nil"/>
            </w:tcBorders>
            <w:noWrap w:val="0"/>
            <w:vAlign w:val="center"/>
          </w:tcPr>
          <w:p w14:paraId="6FB9AD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A6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C2578D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3D45BB3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090" w:type="dxa"/>
            <w:tcBorders>
              <w:tl2br w:val="nil"/>
              <w:tr2bl w:val="nil"/>
            </w:tcBorders>
            <w:noWrap w:val="0"/>
            <w:vAlign w:val="center"/>
          </w:tcPr>
          <w:p w14:paraId="70066F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7C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8F1611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02204FA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90" w:type="dxa"/>
            <w:tcBorders>
              <w:tl2br w:val="nil"/>
              <w:tr2bl w:val="nil"/>
            </w:tcBorders>
            <w:noWrap w:val="0"/>
            <w:vAlign w:val="center"/>
          </w:tcPr>
          <w:p w14:paraId="5716A9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20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CCE14C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52E2115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90" w:type="dxa"/>
            <w:tcBorders>
              <w:tl2br w:val="nil"/>
              <w:tr2bl w:val="nil"/>
            </w:tcBorders>
            <w:noWrap w:val="0"/>
            <w:vAlign w:val="center"/>
          </w:tcPr>
          <w:p w14:paraId="2652A6C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CC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3C5A9E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010EEFB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90" w:type="dxa"/>
            <w:tcBorders>
              <w:tl2br w:val="nil"/>
              <w:tr2bl w:val="nil"/>
            </w:tcBorders>
            <w:noWrap w:val="0"/>
            <w:vAlign w:val="center"/>
          </w:tcPr>
          <w:p w14:paraId="2FC9EB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65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410D2D5">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865" w:type="dxa"/>
            <w:tcBorders>
              <w:bottom w:val="single" w:color="auto" w:sz="4" w:space="0"/>
              <w:tl2br w:val="nil"/>
              <w:tr2bl w:val="nil"/>
            </w:tcBorders>
            <w:noWrap w:val="0"/>
            <w:vAlign w:val="center"/>
          </w:tcPr>
          <w:p w14:paraId="4C11174F">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090" w:type="dxa"/>
            <w:tcBorders>
              <w:tl2br w:val="nil"/>
              <w:tr2bl w:val="nil"/>
            </w:tcBorders>
            <w:noWrap w:val="0"/>
            <w:vAlign w:val="center"/>
          </w:tcPr>
          <w:p w14:paraId="0DF644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72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304A1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65" w:type="dxa"/>
            <w:tcBorders>
              <w:top w:val="nil"/>
              <w:tl2br w:val="nil"/>
              <w:tr2bl w:val="nil"/>
            </w:tcBorders>
            <w:noWrap w:val="0"/>
            <w:vAlign w:val="center"/>
          </w:tcPr>
          <w:p w14:paraId="5461921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090" w:type="dxa"/>
            <w:tcBorders>
              <w:tl2br w:val="nil"/>
              <w:tr2bl w:val="nil"/>
            </w:tcBorders>
            <w:noWrap w:val="0"/>
            <w:vAlign w:val="center"/>
          </w:tcPr>
          <w:p w14:paraId="78076A98">
            <w:pPr>
              <w:widowControl/>
              <w:adjustRightInd w:val="0"/>
              <w:snapToGrid w:val="0"/>
              <w:spacing w:line="240" w:lineRule="atLeas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1套</w:t>
            </w:r>
          </w:p>
        </w:tc>
      </w:tr>
      <w:tr w14:paraId="77A5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327B68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65" w:type="dxa"/>
            <w:tcBorders>
              <w:tl2br w:val="nil"/>
              <w:tr2bl w:val="nil"/>
            </w:tcBorders>
            <w:noWrap w:val="0"/>
            <w:vAlign w:val="center"/>
          </w:tcPr>
          <w:p w14:paraId="1A1D0B29">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90" w:type="dxa"/>
            <w:tcBorders>
              <w:tl2br w:val="nil"/>
              <w:tr2bl w:val="nil"/>
            </w:tcBorders>
            <w:noWrap w:val="0"/>
            <w:vAlign w:val="center"/>
          </w:tcPr>
          <w:p w14:paraId="4738F4B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FB3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AE3A6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5DEE041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额定输出频率≥350KHz，切割模式下额定负载150Ω±10Ω,最大输出功率 ≥200W</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凝血模式下额定负载100Ω±10Ω最大输出功率≥100 W</w:t>
            </w:r>
          </w:p>
        </w:tc>
        <w:tc>
          <w:tcPr>
            <w:tcW w:w="1090" w:type="dxa"/>
            <w:tcBorders>
              <w:tl2br w:val="nil"/>
              <w:tr2bl w:val="nil"/>
            </w:tcBorders>
            <w:noWrap w:val="0"/>
            <w:vAlign w:val="center"/>
          </w:tcPr>
          <w:p w14:paraId="5A0D949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D3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D92FB2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411884C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液晶屏可同时显示：动态阻抗、电极状态和切凝的模式、功率等图形、字母和数字</w:t>
            </w:r>
          </w:p>
        </w:tc>
        <w:tc>
          <w:tcPr>
            <w:tcW w:w="1090" w:type="dxa"/>
            <w:tcBorders>
              <w:tl2br w:val="nil"/>
              <w:tr2bl w:val="nil"/>
            </w:tcBorders>
            <w:noWrap w:val="0"/>
            <w:vAlign w:val="center"/>
          </w:tcPr>
          <w:p w14:paraId="7D306B2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A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D06D65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5C4AEF3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具有自动识别不同代码(不同功能)双极电极的功能，并自动设定切割模式或凝固模式输出的默认功率，无需手调，并可增减与显示</w:t>
            </w:r>
          </w:p>
        </w:tc>
        <w:tc>
          <w:tcPr>
            <w:tcW w:w="1090" w:type="dxa"/>
            <w:tcBorders>
              <w:tl2br w:val="nil"/>
              <w:tr2bl w:val="nil"/>
            </w:tcBorders>
            <w:noWrap w:val="0"/>
            <w:vAlign w:val="center"/>
          </w:tcPr>
          <w:p w14:paraId="574C5A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54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84BF67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5B5D410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具有超负荷保护装置，当遇到过载时停止输出同时屏幕提示</w:t>
            </w:r>
          </w:p>
        </w:tc>
        <w:tc>
          <w:tcPr>
            <w:tcW w:w="1090" w:type="dxa"/>
            <w:tcBorders>
              <w:tl2br w:val="nil"/>
              <w:tr2bl w:val="nil"/>
            </w:tcBorders>
            <w:noWrap w:val="0"/>
            <w:vAlign w:val="center"/>
          </w:tcPr>
          <w:p w14:paraId="57F1B6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C4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5212AF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57C8730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具有凝血模式或切割模式手术时帮助判定组织效应</w:t>
            </w:r>
            <w:r>
              <w:rPr>
                <w:rFonts w:hint="eastAsia" w:ascii="宋体" w:hAnsi="宋体" w:eastAsia="宋体" w:cs="宋体"/>
                <w:color w:val="auto"/>
                <w:kern w:val="0"/>
                <w:sz w:val="21"/>
                <w:szCs w:val="21"/>
              </w:rPr>
              <w:t>的阻抗条图显示</w:t>
            </w:r>
          </w:p>
        </w:tc>
        <w:tc>
          <w:tcPr>
            <w:tcW w:w="1090" w:type="dxa"/>
            <w:tcBorders>
              <w:tl2br w:val="nil"/>
              <w:tr2bl w:val="nil"/>
            </w:tcBorders>
            <w:noWrap w:val="0"/>
            <w:vAlign w:val="center"/>
          </w:tcPr>
          <w:p w14:paraId="6FE92C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8E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34D658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0A7AD90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具有电极安装状态显</w:t>
            </w:r>
            <w:r>
              <w:rPr>
                <w:rFonts w:hint="eastAsia" w:ascii="宋体" w:hAnsi="宋体" w:eastAsia="宋体" w:cs="宋体"/>
                <w:color w:val="auto"/>
                <w:kern w:val="0"/>
                <w:sz w:val="21"/>
                <w:szCs w:val="21"/>
              </w:rPr>
              <w:t>示</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未接上电极时</w:t>
            </w:r>
            <w:r>
              <w:rPr>
                <w:rFonts w:hint="eastAsia" w:ascii="宋体" w:hAnsi="宋体" w:eastAsia="宋体" w:cs="宋体"/>
                <w:color w:val="auto"/>
                <w:kern w:val="0"/>
                <w:sz w:val="21"/>
                <w:szCs w:val="21"/>
                <w:lang w:val="en-US" w:eastAsia="zh-CN"/>
              </w:rPr>
              <w:t>设备有提示</w:t>
            </w:r>
          </w:p>
        </w:tc>
        <w:tc>
          <w:tcPr>
            <w:tcW w:w="1090" w:type="dxa"/>
            <w:tcBorders>
              <w:tl2br w:val="nil"/>
              <w:tr2bl w:val="nil"/>
            </w:tcBorders>
            <w:noWrap w:val="0"/>
            <w:vAlign w:val="center"/>
          </w:tcPr>
          <w:p w14:paraId="339A71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54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6C80E5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865" w:type="dxa"/>
            <w:tcBorders>
              <w:tl2br w:val="nil"/>
              <w:tr2bl w:val="nil"/>
            </w:tcBorders>
            <w:noWrap w:val="0"/>
            <w:vAlign w:val="center"/>
          </w:tcPr>
          <w:p w14:paraId="624E166B">
            <w:pPr>
              <w:widowControl/>
              <w:adjustRightInd w:val="0"/>
              <w:snapToGrid w:val="0"/>
              <w:spacing w:line="240" w:lineRule="atLeast"/>
              <w:jc w:val="left"/>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具有电切镜模式下盐水下组织切割与凝血功能；腹腔镜手术模式下腹腔镜手术和开放手术双极电切和电凝功能</w:t>
            </w:r>
          </w:p>
        </w:tc>
        <w:tc>
          <w:tcPr>
            <w:tcW w:w="1090" w:type="dxa"/>
            <w:tcBorders>
              <w:tl2br w:val="nil"/>
              <w:tr2bl w:val="nil"/>
            </w:tcBorders>
            <w:noWrap w:val="0"/>
            <w:vAlign w:val="center"/>
          </w:tcPr>
          <w:p w14:paraId="0D4075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67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89B67F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65" w:type="dxa"/>
            <w:tcBorders>
              <w:tl2br w:val="nil"/>
              <w:tr2bl w:val="nil"/>
            </w:tcBorders>
            <w:noWrap w:val="0"/>
            <w:vAlign w:val="center"/>
          </w:tcPr>
          <w:p w14:paraId="369E5820">
            <w:pPr>
              <w:widowControl/>
              <w:adjustRightInd w:val="0"/>
              <w:snapToGrid w:val="0"/>
              <w:spacing w:line="240" w:lineRule="atLeast"/>
              <w:jc w:val="left"/>
              <w:rPr>
                <w:rFonts w:hint="eastAsia" w:ascii="宋体" w:hAnsi="宋体" w:eastAsia="宋体" w:cs="宋体"/>
                <w:kern w:val="0"/>
                <w:sz w:val="21"/>
                <w:szCs w:val="21"/>
                <w:lang w:val="en-US"/>
              </w:rPr>
            </w:pPr>
            <w:r>
              <w:rPr>
                <w:rFonts w:hint="eastAsia" w:ascii="宋体" w:hAnsi="宋体" w:eastAsia="宋体" w:cs="宋体"/>
                <w:kern w:val="0"/>
                <w:sz w:val="21"/>
                <w:szCs w:val="21"/>
              </w:rPr>
              <w:t>双极电极（双极环状电极）</w:t>
            </w:r>
            <w:r>
              <w:rPr>
                <w:rFonts w:hint="eastAsia" w:ascii="宋体" w:hAnsi="宋体" w:eastAsia="宋体" w:cs="宋体"/>
                <w:kern w:val="0"/>
                <w:sz w:val="21"/>
                <w:szCs w:val="21"/>
                <w:lang w:val="en-US" w:eastAsia="zh-CN"/>
              </w:rPr>
              <w:t>2支</w:t>
            </w:r>
          </w:p>
        </w:tc>
        <w:tc>
          <w:tcPr>
            <w:tcW w:w="1090" w:type="dxa"/>
            <w:tcBorders>
              <w:tl2br w:val="nil"/>
              <w:tr2bl w:val="nil"/>
            </w:tcBorders>
            <w:noWrap w:val="0"/>
            <w:vAlign w:val="center"/>
          </w:tcPr>
          <w:p w14:paraId="7B0ABA0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8D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723B0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865" w:type="dxa"/>
            <w:tcBorders>
              <w:tl2br w:val="nil"/>
              <w:tr2bl w:val="nil"/>
            </w:tcBorders>
            <w:noWrap w:val="0"/>
            <w:vAlign w:val="center"/>
          </w:tcPr>
          <w:p w14:paraId="39184EE5">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电切内窥镜</w:t>
            </w:r>
          </w:p>
        </w:tc>
        <w:tc>
          <w:tcPr>
            <w:tcW w:w="1090" w:type="dxa"/>
            <w:tcBorders>
              <w:tl2br w:val="nil"/>
              <w:tr2bl w:val="nil"/>
            </w:tcBorders>
            <w:noWrap w:val="0"/>
            <w:vAlign w:val="center"/>
          </w:tcPr>
          <w:p w14:paraId="0624FE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6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A751E4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865" w:type="dxa"/>
            <w:tcBorders>
              <w:tl2br w:val="nil"/>
              <w:tr2bl w:val="nil"/>
            </w:tcBorders>
            <w:noWrap w:val="0"/>
            <w:vAlign w:val="center"/>
          </w:tcPr>
          <w:p w14:paraId="0BFAE74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可连续进出水冲洗对流、与等离子主机为同一</w:t>
            </w:r>
            <w:r>
              <w:rPr>
                <w:rFonts w:hint="eastAsia" w:ascii="宋体" w:hAnsi="宋体" w:eastAsia="宋体" w:cs="宋体"/>
                <w:kern w:val="0"/>
                <w:sz w:val="21"/>
                <w:szCs w:val="21"/>
                <w:lang w:val="en-US" w:eastAsia="zh-CN"/>
              </w:rPr>
              <w:t>品牌</w:t>
            </w:r>
          </w:p>
        </w:tc>
        <w:tc>
          <w:tcPr>
            <w:tcW w:w="1090" w:type="dxa"/>
            <w:tcBorders>
              <w:tl2br w:val="nil"/>
              <w:tr2bl w:val="nil"/>
            </w:tcBorders>
            <w:noWrap w:val="0"/>
            <w:vAlign w:val="center"/>
          </w:tcPr>
          <w:p w14:paraId="3981E3C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52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ED5FCC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865" w:type="dxa"/>
            <w:tcBorders>
              <w:tl2br w:val="nil"/>
              <w:tr2bl w:val="nil"/>
            </w:tcBorders>
            <w:noWrap w:val="0"/>
            <w:vAlign w:val="center"/>
          </w:tcPr>
          <w:p w14:paraId="18957DC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高清内窥镜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30°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4mm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可高温高压消毒</w:t>
            </w:r>
          </w:p>
        </w:tc>
        <w:tc>
          <w:tcPr>
            <w:tcW w:w="1090" w:type="dxa"/>
            <w:tcBorders>
              <w:tl2br w:val="nil"/>
              <w:tr2bl w:val="nil"/>
            </w:tcBorders>
            <w:noWrap w:val="0"/>
            <w:vAlign w:val="center"/>
          </w:tcPr>
          <w:p w14:paraId="5DFAE6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D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706B6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865" w:type="dxa"/>
            <w:tcBorders>
              <w:tl2br w:val="nil"/>
              <w:tr2bl w:val="nil"/>
            </w:tcBorders>
            <w:noWrap w:val="0"/>
            <w:vAlign w:val="center"/>
          </w:tcPr>
          <w:p w14:paraId="6D8CB42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外鞘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26Fr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设置进、出水通道和控制开关，始终保持进出水垂直对流</w:t>
            </w:r>
          </w:p>
        </w:tc>
        <w:tc>
          <w:tcPr>
            <w:tcW w:w="1090" w:type="dxa"/>
            <w:tcBorders>
              <w:tl2br w:val="nil"/>
              <w:tr2bl w:val="nil"/>
            </w:tcBorders>
            <w:noWrap w:val="0"/>
            <w:vAlign w:val="center"/>
          </w:tcPr>
          <w:p w14:paraId="77C15E0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5F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41318D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865" w:type="dxa"/>
            <w:tcBorders>
              <w:tl2br w:val="nil"/>
              <w:tr2bl w:val="nil"/>
            </w:tcBorders>
            <w:noWrap w:val="0"/>
            <w:vAlign w:val="center"/>
          </w:tcPr>
          <w:p w14:paraId="0336CFA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24Fr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可360°旋转</w:t>
            </w:r>
          </w:p>
        </w:tc>
        <w:tc>
          <w:tcPr>
            <w:tcW w:w="1090" w:type="dxa"/>
            <w:tcBorders>
              <w:tl2br w:val="nil"/>
              <w:tr2bl w:val="nil"/>
            </w:tcBorders>
            <w:noWrap w:val="0"/>
            <w:vAlign w:val="center"/>
          </w:tcPr>
          <w:p w14:paraId="180EA7F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5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3DACE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865" w:type="dxa"/>
            <w:tcBorders>
              <w:tl2br w:val="nil"/>
              <w:tr2bl w:val="nil"/>
            </w:tcBorders>
            <w:noWrap w:val="0"/>
            <w:vAlign w:val="center"/>
          </w:tcPr>
          <w:p w14:paraId="15ABB16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内鞘进水接头，遇尿道狭窄时可配合内鞘实现腔内进水，实施单鞘手术</w:t>
            </w:r>
          </w:p>
        </w:tc>
        <w:tc>
          <w:tcPr>
            <w:tcW w:w="1090" w:type="dxa"/>
            <w:tcBorders>
              <w:tl2br w:val="nil"/>
              <w:tr2bl w:val="nil"/>
            </w:tcBorders>
            <w:noWrap w:val="0"/>
            <w:vAlign w:val="center"/>
          </w:tcPr>
          <w:p w14:paraId="05CEC3D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58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F4CC9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6865" w:type="dxa"/>
            <w:tcBorders>
              <w:tl2br w:val="nil"/>
              <w:tr2bl w:val="nil"/>
            </w:tcBorders>
            <w:noWrap w:val="0"/>
            <w:vAlign w:val="center"/>
          </w:tcPr>
          <w:p w14:paraId="7F4E5E7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闭孔鞘芯，冲洗接头</w:t>
            </w:r>
          </w:p>
        </w:tc>
        <w:tc>
          <w:tcPr>
            <w:tcW w:w="1090" w:type="dxa"/>
            <w:tcBorders>
              <w:tl2br w:val="nil"/>
              <w:tr2bl w:val="nil"/>
            </w:tcBorders>
            <w:noWrap w:val="0"/>
            <w:vAlign w:val="center"/>
          </w:tcPr>
          <w:p w14:paraId="65CF37A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FB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6AF84D1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6865" w:type="dxa"/>
            <w:tcBorders>
              <w:tl2br w:val="nil"/>
              <w:tr2bl w:val="nil"/>
            </w:tcBorders>
            <w:noWrap w:val="0"/>
            <w:vAlign w:val="center"/>
          </w:tcPr>
          <w:p w14:paraId="79974AC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双踏板脚踏开关</w:t>
            </w:r>
          </w:p>
        </w:tc>
        <w:tc>
          <w:tcPr>
            <w:tcW w:w="1090" w:type="dxa"/>
            <w:tcBorders>
              <w:tl2br w:val="nil"/>
              <w:tr2bl w:val="nil"/>
            </w:tcBorders>
            <w:noWrap w:val="0"/>
            <w:vAlign w:val="center"/>
          </w:tcPr>
          <w:p w14:paraId="0FBC695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7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CA7612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6865" w:type="dxa"/>
            <w:tcBorders>
              <w:tl2br w:val="nil"/>
              <w:tr2bl w:val="nil"/>
            </w:tcBorders>
            <w:noWrap w:val="0"/>
            <w:vAlign w:val="top"/>
          </w:tcPr>
          <w:p w14:paraId="404970ED">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bidi="ar-SA"/>
              </w:rPr>
              <w:t>提供配套所需专用试剂耗材长期供应价格（含名称、品牌、规格、型号、单价）</w:t>
            </w:r>
          </w:p>
        </w:tc>
        <w:tc>
          <w:tcPr>
            <w:tcW w:w="1090" w:type="dxa"/>
            <w:tcBorders>
              <w:tl2br w:val="nil"/>
              <w:tr2bl w:val="nil"/>
            </w:tcBorders>
            <w:noWrap w:val="0"/>
            <w:vAlign w:val="center"/>
          </w:tcPr>
          <w:p w14:paraId="172604B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31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top"/>
          </w:tcPr>
          <w:p w14:paraId="708E1D2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6865" w:type="dxa"/>
            <w:tcBorders>
              <w:tl2br w:val="nil"/>
              <w:tr2bl w:val="nil"/>
            </w:tcBorders>
            <w:noWrap w:val="0"/>
            <w:vAlign w:val="center"/>
          </w:tcPr>
          <w:p w14:paraId="5137DCD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1090" w:type="dxa"/>
            <w:tcBorders>
              <w:tl2br w:val="nil"/>
              <w:tr2bl w:val="nil"/>
            </w:tcBorders>
            <w:noWrap w:val="0"/>
            <w:vAlign w:val="center"/>
          </w:tcPr>
          <w:p w14:paraId="7136B6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0C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739F7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6865" w:type="dxa"/>
            <w:tcBorders>
              <w:tl2br w:val="nil"/>
              <w:tr2bl w:val="nil"/>
            </w:tcBorders>
            <w:noWrap w:val="0"/>
            <w:vAlign w:val="center"/>
          </w:tcPr>
          <w:p w14:paraId="212D5C3B">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90" w:type="dxa"/>
            <w:tcBorders>
              <w:tl2br w:val="nil"/>
              <w:tr2bl w:val="nil"/>
            </w:tcBorders>
            <w:noWrap w:val="0"/>
            <w:vAlign w:val="center"/>
          </w:tcPr>
          <w:p w14:paraId="23070E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C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1E674C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6865" w:type="dxa"/>
            <w:tcBorders>
              <w:tl2br w:val="nil"/>
              <w:tr2bl w:val="nil"/>
            </w:tcBorders>
            <w:noWrap w:val="0"/>
            <w:vAlign w:val="center"/>
          </w:tcPr>
          <w:p w14:paraId="2F9503DA">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90" w:type="dxa"/>
            <w:tcBorders>
              <w:tl2br w:val="nil"/>
              <w:tr2bl w:val="nil"/>
            </w:tcBorders>
            <w:noWrap w:val="0"/>
            <w:vAlign w:val="center"/>
          </w:tcPr>
          <w:p w14:paraId="492E86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0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54BFC62">
            <w:pPr>
              <w:widowControl/>
              <w:adjustRightInd w:val="0"/>
              <w:snapToGrid w:val="0"/>
              <w:jc w:val="center"/>
              <w:rPr>
                <w:rFonts w:hint="eastAsia" w:ascii="宋体" w:hAnsi="宋体" w:eastAsia="宋体" w:cs="宋体"/>
                <w:bCs/>
                <w:color w:val="FF0000"/>
                <w:kern w:val="0"/>
                <w:sz w:val="21"/>
                <w:szCs w:val="21"/>
              </w:rPr>
            </w:pPr>
            <w:r>
              <w:rPr>
                <w:rFonts w:hint="eastAsia" w:ascii="宋体" w:hAnsi="宋体" w:eastAsia="宋体" w:cs="宋体"/>
                <w:bCs/>
                <w:kern w:val="0"/>
                <w:sz w:val="21"/>
                <w:szCs w:val="21"/>
              </w:rPr>
              <w:t>19</w:t>
            </w:r>
          </w:p>
        </w:tc>
        <w:tc>
          <w:tcPr>
            <w:tcW w:w="6865" w:type="dxa"/>
            <w:tcBorders>
              <w:tl2br w:val="nil"/>
              <w:tr2bl w:val="nil"/>
            </w:tcBorders>
            <w:noWrap w:val="0"/>
            <w:vAlign w:val="top"/>
          </w:tcPr>
          <w:p w14:paraId="6B823C6A">
            <w:pPr>
              <w:pStyle w:val="9"/>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90" w:type="dxa"/>
            <w:tcBorders>
              <w:tl2br w:val="nil"/>
              <w:tr2bl w:val="nil"/>
            </w:tcBorders>
            <w:noWrap w:val="0"/>
            <w:vAlign w:val="center"/>
          </w:tcPr>
          <w:p w14:paraId="0D2064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19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3AD1E0EF">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65" w:type="dxa"/>
            <w:tcBorders>
              <w:tl2br w:val="nil"/>
              <w:tr2bl w:val="nil"/>
            </w:tcBorders>
            <w:noWrap w:val="0"/>
            <w:vAlign w:val="center"/>
          </w:tcPr>
          <w:p w14:paraId="7C3F6C90">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90" w:type="dxa"/>
            <w:tcBorders>
              <w:tl2br w:val="nil"/>
              <w:tr2bl w:val="nil"/>
            </w:tcBorders>
            <w:noWrap w:val="0"/>
            <w:vAlign w:val="center"/>
          </w:tcPr>
          <w:p w14:paraId="3001E488">
            <w:pPr>
              <w:widowControl/>
              <w:adjustRightInd w:val="0"/>
              <w:snapToGrid w:val="0"/>
              <w:spacing w:line="240" w:lineRule="atLeast"/>
              <w:jc w:val="center"/>
              <w:rPr>
                <w:rFonts w:hint="eastAsia" w:ascii="宋体" w:hAnsi="宋体" w:eastAsia="宋体" w:cs="宋体"/>
                <w:kern w:val="0"/>
                <w:sz w:val="21"/>
                <w:szCs w:val="21"/>
              </w:rPr>
            </w:pPr>
          </w:p>
        </w:tc>
      </w:tr>
      <w:tr w14:paraId="15D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7F871C2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65" w:type="dxa"/>
            <w:tcBorders>
              <w:tl2br w:val="nil"/>
              <w:tr2bl w:val="nil"/>
            </w:tcBorders>
            <w:noWrap w:val="0"/>
            <w:vAlign w:val="center"/>
          </w:tcPr>
          <w:p w14:paraId="7A08089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整机质保期≥3年，在质保期内每年由维修工程师提供至少4次的上门维护保养工作，并根据医院要求提供相应记录</w:t>
            </w:r>
          </w:p>
        </w:tc>
        <w:tc>
          <w:tcPr>
            <w:tcW w:w="1090" w:type="dxa"/>
            <w:tcBorders>
              <w:tl2br w:val="nil"/>
              <w:tr2bl w:val="nil"/>
            </w:tcBorders>
            <w:noWrap w:val="0"/>
            <w:vAlign w:val="center"/>
          </w:tcPr>
          <w:p w14:paraId="1F40A4B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7B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2F23A8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65" w:type="dxa"/>
            <w:tcBorders>
              <w:tl2br w:val="nil"/>
              <w:tr2bl w:val="nil"/>
            </w:tcBorders>
            <w:noWrap w:val="0"/>
            <w:vAlign w:val="center"/>
          </w:tcPr>
          <w:p w14:paraId="7CBFECD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1090" w:type="dxa"/>
            <w:tcBorders>
              <w:tl2br w:val="nil"/>
              <w:tr2bl w:val="nil"/>
            </w:tcBorders>
            <w:noWrap w:val="0"/>
            <w:vAlign w:val="center"/>
          </w:tcPr>
          <w:p w14:paraId="16C0F4C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16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01D118D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65" w:type="dxa"/>
            <w:tcBorders>
              <w:tl2br w:val="nil"/>
              <w:tr2bl w:val="nil"/>
            </w:tcBorders>
            <w:noWrap w:val="0"/>
            <w:vAlign w:val="center"/>
          </w:tcPr>
          <w:p w14:paraId="593FFDB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中标方应对设备操作及维修人员进行操作及维修培训，直至技术人员熟练掌握使用及维修技能为止，提供详细培训记录,提供设备设计使用寿命</w:t>
            </w:r>
          </w:p>
        </w:tc>
        <w:tc>
          <w:tcPr>
            <w:tcW w:w="1090" w:type="dxa"/>
            <w:tcBorders>
              <w:tl2br w:val="nil"/>
              <w:tr2bl w:val="nil"/>
            </w:tcBorders>
            <w:noWrap w:val="0"/>
            <w:vAlign w:val="center"/>
          </w:tcPr>
          <w:p w14:paraId="648ED25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C3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448762B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65" w:type="dxa"/>
            <w:tcBorders>
              <w:tl2br w:val="nil"/>
              <w:tr2bl w:val="nil"/>
            </w:tcBorders>
            <w:noWrap w:val="0"/>
            <w:vAlign w:val="center"/>
          </w:tcPr>
          <w:p w14:paraId="4D7440C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1090" w:type="dxa"/>
            <w:tcBorders>
              <w:tl2br w:val="nil"/>
              <w:tr2bl w:val="nil"/>
            </w:tcBorders>
            <w:noWrap w:val="0"/>
            <w:vAlign w:val="center"/>
          </w:tcPr>
          <w:p w14:paraId="7AC20FA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2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568D632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65" w:type="dxa"/>
            <w:tcBorders>
              <w:tl2br w:val="nil"/>
              <w:tr2bl w:val="nil"/>
            </w:tcBorders>
            <w:noWrap w:val="0"/>
            <w:vAlign w:val="center"/>
          </w:tcPr>
          <w:p w14:paraId="67C5BAA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90" w:type="dxa"/>
            <w:tcBorders>
              <w:tl2br w:val="nil"/>
              <w:tr2bl w:val="nil"/>
            </w:tcBorders>
            <w:noWrap w:val="0"/>
            <w:vAlign w:val="center"/>
          </w:tcPr>
          <w:p w14:paraId="318EA1C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57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tcBorders>
              <w:tl2br w:val="nil"/>
              <w:tr2bl w:val="nil"/>
            </w:tcBorders>
            <w:noWrap w:val="0"/>
            <w:vAlign w:val="center"/>
          </w:tcPr>
          <w:p w14:paraId="25AA920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65" w:type="dxa"/>
            <w:tcBorders>
              <w:tl2br w:val="nil"/>
              <w:tr2bl w:val="nil"/>
            </w:tcBorders>
            <w:noWrap w:val="0"/>
            <w:vAlign w:val="center"/>
          </w:tcPr>
          <w:p w14:paraId="328FE8C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1090" w:type="dxa"/>
            <w:tcBorders>
              <w:tl2br w:val="nil"/>
              <w:tr2bl w:val="nil"/>
            </w:tcBorders>
            <w:noWrap w:val="0"/>
            <w:vAlign w:val="center"/>
          </w:tcPr>
          <w:p w14:paraId="6F1BB39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0896D892">
      <w:pPr>
        <w:spacing w:before="240" w:beforeLines="100" w:line="360" w:lineRule="auto"/>
        <w:rPr>
          <w:rFonts w:hint="eastAsia" w:ascii="宋体" w:hAnsi="宋体" w:cs="宋体"/>
          <w:b/>
          <w:bCs/>
          <w:szCs w:val="21"/>
        </w:rPr>
      </w:pPr>
      <w:r>
        <w:rPr>
          <w:rFonts w:hint="eastAsia" w:ascii="宋体" w:hAnsi="宋体" w:cs="宋体"/>
          <w:b/>
          <w:bCs/>
          <w:szCs w:val="21"/>
        </w:rPr>
        <w:t>2.商务条款</w:t>
      </w:r>
    </w:p>
    <w:p w14:paraId="0A16755A">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2.1交货期：</w:t>
      </w:r>
      <w:r>
        <w:rPr>
          <w:rFonts w:hint="eastAsia" w:ascii="宋体" w:hAnsi="宋体" w:cs="宋体"/>
          <w:szCs w:val="21"/>
        </w:rPr>
        <w:t>合同签订后30日内安装调试完毕。</w:t>
      </w:r>
    </w:p>
    <w:p w14:paraId="25D46CD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2.2交货地点：采购人指定地点。</w:t>
      </w:r>
    </w:p>
    <w:p w14:paraId="78C95F7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2.3质量要求：合格。</w:t>
      </w:r>
    </w:p>
    <w:p w14:paraId="50B7D948">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2.4验收标准：满足国家、行业及采购人验收标准。</w:t>
      </w:r>
    </w:p>
    <w:p w14:paraId="5E8B551F">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2.5合同履行期限：自合同生效至质保期结束。</w:t>
      </w:r>
    </w:p>
    <w:p w14:paraId="7C48D5C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2.6付款方式：详见投标人须知前附表。</w:t>
      </w:r>
    </w:p>
    <w:p w14:paraId="0C78F384">
      <w:pPr>
        <w:widowControl/>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注：招标文件中为简述货物品质、基本性能而标示的品牌或型号或其他标识，仅供投标单位选择货物在质量、水平上的比照参考，不具有限制性。投标人可提供品质相同或优于同类产品的货物。</w:t>
      </w:r>
    </w:p>
    <w:p w14:paraId="4C39DF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657AF"/>
    <w:rsid w:val="422F72F5"/>
    <w:rsid w:val="5616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character" w:customStyle="1" w:styleId="10">
    <w:name w:val="font31"/>
    <w:basedOn w:val="8"/>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1249</Characters>
  <Lines>0</Lines>
  <Paragraphs>0</Paragraphs>
  <TotalTime>0</TotalTime>
  <ScaleCrop>false</ScaleCrop>
  <LinksUpToDate>false</LinksUpToDate>
  <CharactersWithSpaces>1253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2025-09-16T16:05:00Z</dcterms:created>
  <dc:creator>李子怡</dc:creator>
  <cp:lastModifiedBy>Y。</cp:lastModifiedBy>
  <dcterms:modified xsi:type="dcterms:W3CDTF">2025-10-15T09:08:03Z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EE7A78C11D634A1A838FBE140B2CE80B_11</vt:lpwstr>
  </property>
  <property fmtid="{D5CDD505-2E9C-101B-9397-08002B2CF9AE}" pid="4" name="KSOTemplateDocerSaveRecord">
    <vt:lpwstr>eyJoZGlkIjoiNzM0MzliZGI5ODk5MThjYTg5NTE2MWM2Y2RlNzNjMGYiLCJ1c2VySWQiOiI0NjE2NjE3NjYifQ==</vt:lpwstr>
  </property>
</Properties>
</file>