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94A4D">
      <w:pPr>
        <w:jc w:val="center"/>
        <w:rPr>
          <w:rFonts w:hint="eastAsia" w:ascii="宋体" w:hAnsi="宋体" w:eastAsia="宋体" w:cs="宋体"/>
          <w:color w:val="auto"/>
          <w:sz w:val="24"/>
          <w:szCs w:val="24"/>
          <w:highlight w:val="none"/>
          <w:shd w:val="clear" w:color="FFFFFF" w:fill="D9D9D9"/>
        </w:rPr>
      </w:pPr>
      <w:bookmarkStart w:id="0" w:name="_Toc190614710"/>
      <w:r>
        <w:rPr>
          <w:rFonts w:hint="eastAsia" w:ascii="宋体" w:hAnsi="宋体" w:cs="宋体"/>
          <w:color w:val="auto"/>
          <w:sz w:val="24"/>
          <w:szCs w:val="24"/>
          <w:highlight w:val="none"/>
        </w:rPr>
        <w:drawing>
          <wp:anchor distT="0" distB="0" distL="114300" distR="114300" simplePos="0" relativeHeight="251659264" behindDoc="0" locked="0" layoutInCell="1" allowOverlap="1">
            <wp:simplePos x="0" y="0"/>
            <wp:positionH relativeFrom="column">
              <wp:posOffset>27940</wp:posOffset>
            </wp:positionH>
            <wp:positionV relativeFrom="paragraph">
              <wp:posOffset>16510</wp:posOffset>
            </wp:positionV>
            <wp:extent cx="2103755" cy="522605"/>
            <wp:effectExtent l="0" t="0" r="0" b="0"/>
            <wp:wrapNone/>
            <wp:docPr id="9" name="图片 2" descr="2标志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2标志横"/>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03755" cy="522605"/>
                    </a:xfrm>
                    <a:prstGeom prst="rect">
                      <a:avLst/>
                    </a:prstGeom>
                    <a:noFill/>
                    <a:ln>
                      <a:noFill/>
                    </a:ln>
                  </pic:spPr>
                </pic:pic>
              </a:graphicData>
            </a:graphic>
          </wp:anchor>
        </w:drawing>
      </w:r>
    </w:p>
    <w:p w14:paraId="3E720397">
      <w:pPr>
        <w:spacing w:line="24" w:lineRule="auto"/>
        <w:rPr>
          <w:rFonts w:hint="eastAsia" w:ascii="宋体" w:hAnsi="宋体" w:eastAsia="宋体" w:cs="宋体"/>
          <w:color w:val="auto"/>
          <w:sz w:val="24"/>
          <w:szCs w:val="24"/>
          <w:highlight w:val="none"/>
        </w:rPr>
      </w:pPr>
    </w:p>
    <w:p w14:paraId="510260D3">
      <w:pPr>
        <w:outlineLvl w:val="9"/>
        <w:rPr>
          <w:rFonts w:hint="eastAsia" w:ascii="Cambria" w:hAnsi="Cambria" w:eastAsia="宋体" w:cs="Times New Roman"/>
          <w:color w:val="auto"/>
          <w:sz w:val="32"/>
          <w:szCs w:val="32"/>
          <w:highlight w:val="none"/>
        </w:rPr>
      </w:pPr>
    </w:p>
    <w:p w14:paraId="2BC989D9">
      <w:pPr>
        <w:spacing w:line="900" w:lineRule="exact"/>
        <w:jc w:val="center"/>
        <w:rPr>
          <w:rFonts w:hint="eastAsia" w:ascii="宋体" w:hAnsi="宋体" w:eastAsia="宋体" w:cs="宋体"/>
          <w:b/>
          <w:bCs/>
          <w:color w:val="auto"/>
          <w:spacing w:val="70"/>
          <w:sz w:val="48"/>
          <w:szCs w:val="48"/>
          <w:highlight w:val="none"/>
        </w:rPr>
      </w:pPr>
      <w:r>
        <w:rPr>
          <w:rFonts w:hint="eastAsia" w:ascii="宋体" w:hAnsi="宋体" w:cs="宋体"/>
          <w:b/>
          <w:bCs/>
          <w:color w:val="auto"/>
          <w:spacing w:val="70"/>
          <w:sz w:val="48"/>
          <w:szCs w:val="48"/>
          <w:highlight w:val="none"/>
          <w:lang w:eastAsia="zh-CN"/>
        </w:rPr>
        <w:t>河南省周口监狱通讯网络平台项目</w:t>
      </w:r>
    </w:p>
    <w:p w14:paraId="2C982C19">
      <w:pPr>
        <w:spacing w:line="900" w:lineRule="exact"/>
        <w:jc w:val="center"/>
        <w:rPr>
          <w:rFonts w:hint="eastAsia" w:ascii="宋体" w:hAnsi="宋体" w:eastAsia="宋体" w:cs="宋体"/>
          <w:b/>
          <w:bCs/>
          <w:color w:val="auto"/>
          <w:spacing w:val="70"/>
          <w:sz w:val="52"/>
          <w:szCs w:val="52"/>
          <w:highlight w:val="none"/>
        </w:rPr>
      </w:pPr>
    </w:p>
    <w:p w14:paraId="4C07712D">
      <w:pPr>
        <w:spacing w:line="900" w:lineRule="exact"/>
        <w:jc w:val="center"/>
        <w:rPr>
          <w:rFonts w:hint="eastAsia" w:ascii="宋体" w:hAnsi="宋体" w:eastAsia="宋体" w:cs="宋体"/>
          <w:b/>
          <w:bCs/>
          <w:color w:val="auto"/>
          <w:spacing w:val="70"/>
          <w:sz w:val="52"/>
          <w:szCs w:val="52"/>
          <w:highlight w:val="none"/>
        </w:rPr>
      </w:pPr>
      <w:r>
        <w:rPr>
          <w:rFonts w:hint="eastAsia" w:ascii="宋体" w:hAnsi="宋体" w:eastAsia="宋体" w:cs="宋体"/>
          <w:b/>
          <w:bCs/>
          <w:color w:val="auto"/>
          <w:spacing w:val="70"/>
          <w:sz w:val="52"/>
          <w:szCs w:val="52"/>
          <w:highlight w:val="none"/>
        </w:rPr>
        <w:t>招标文件</w:t>
      </w:r>
    </w:p>
    <w:p w14:paraId="7D9789B3">
      <w:pPr>
        <w:spacing w:line="900" w:lineRule="exact"/>
        <w:jc w:val="center"/>
        <w:rPr>
          <w:rFonts w:hint="eastAsia" w:ascii="宋体" w:hAnsi="宋体" w:eastAsia="宋体" w:cs="宋体"/>
          <w:b/>
          <w:bCs/>
          <w:color w:val="auto"/>
          <w:spacing w:val="70"/>
          <w:sz w:val="48"/>
          <w:szCs w:val="48"/>
          <w:highlight w:val="none"/>
        </w:rPr>
      </w:pPr>
    </w:p>
    <w:p w14:paraId="2EDBB749">
      <w:pPr>
        <w:spacing w:line="480" w:lineRule="auto"/>
        <w:jc w:val="left"/>
        <w:rPr>
          <w:rFonts w:hint="eastAsia" w:ascii="宋体" w:hAnsi="宋体" w:eastAsia="宋体" w:cs="宋体"/>
          <w:color w:val="auto"/>
          <w:sz w:val="24"/>
          <w:szCs w:val="24"/>
          <w:highlight w:val="none"/>
        </w:rPr>
      </w:pPr>
    </w:p>
    <w:p w14:paraId="00030FE9">
      <w:pPr>
        <w:spacing w:line="480" w:lineRule="auto"/>
        <w:jc w:val="left"/>
        <w:rPr>
          <w:rFonts w:hint="eastAsia" w:ascii="宋体" w:hAnsi="宋体" w:eastAsia="宋体" w:cs="宋体"/>
          <w:color w:val="auto"/>
          <w:sz w:val="24"/>
          <w:szCs w:val="24"/>
          <w:highlight w:val="none"/>
        </w:rPr>
      </w:pPr>
    </w:p>
    <w:p w14:paraId="786D48D8">
      <w:pPr>
        <w:spacing w:line="480" w:lineRule="auto"/>
        <w:jc w:val="left"/>
        <w:rPr>
          <w:rFonts w:hint="eastAsia" w:ascii="宋体" w:hAnsi="宋体" w:eastAsia="宋体" w:cs="宋体"/>
          <w:color w:val="auto"/>
          <w:sz w:val="24"/>
          <w:szCs w:val="24"/>
          <w:highlight w:val="none"/>
        </w:rPr>
      </w:pPr>
    </w:p>
    <w:p w14:paraId="490DCA28">
      <w:pPr>
        <w:rPr>
          <w:rFonts w:hint="eastAsia" w:ascii="Calibri" w:hAnsi="Calibri" w:eastAsia="宋体" w:cs="Times New Roman"/>
          <w:color w:val="auto"/>
          <w:sz w:val="21"/>
          <w:szCs w:val="22"/>
          <w:highlight w:val="none"/>
        </w:rPr>
      </w:pPr>
    </w:p>
    <w:p w14:paraId="43A1577D">
      <w:pPr>
        <w:rPr>
          <w:rFonts w:hint="eastAsia" w:ascii="Calibri" w:hAnsi="Calibri" w:eastAsia="宋体" w:cs="Times New Roman"/>
          <w:color w:val="auto"/>
          <w:sz w:val="21"/>
          <w:szCs w:val="22"/>
          <w:highlight w:val="none"/>
        </w:rPr>
      </w:pPr>
    </w:p>
    <w:p w14:paraId="0CF90476">
      <w:pPr>
        <w:spacing w:line="600" w:lineRule="auto"/>
        <w:ind w:left="1680" w:hanging="1920" w:hangingChars="800"/>
        <w:jc w:val="left"/>
        <w:rPr>
          <w:rFonts w:hint="default" w:ascii="宋体" w:hAnsi="宋体" w:eastAsia="宋体" w:cs="宋体"/>
          <w:b/>
          <w:bCs/>
          <w:color w:val="auto"/>
          <w:sz w:val="32"/>
          <w:szCs w:val="32"/>
          <w:highlight w:val="none"/>
          <w:lang w:val="en-US" w:eastAsia="zh-CN"/>
        </w:rPr>
      </w:pPr>
      <w:r>
        <w:rPr>
          <w:rFonts w:hint="eastAsia" w:ascii="宋体" w:hAnsi="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527685</wp:posOffset>
                </wp:positionH>
                <wp:positionV relativeFrom="paragraph">
                  <wp:posOffset>12700</wp:posOffset>
                </wp:positionV>
                <wp:extent cx="4123055" cy="0"/>
                <wp:effectExtent l="19050" t="26670" r="20320" b="20955"/>
                <wp:wrapNone/>
                <wp:docPr id="7" name="AutoShape 3"/>
                <wp:cNvGraphicFramePr/>
                <a:graphic xmlns:a="http://schemas.openxmlformats.org/drawingml/2006/main">
                  <a:graphicData uri="http://schemas.microsoft.com/office/word/2010/wordprocessingShape">
                    <wps:wsp>
                      <wps:cNvCnPr>
                        <a:cxnSpLocks noChangeShapeType="1"/>
                      </wps:cNvCnPr>
                      <wps:spPr bwMode="auto">
                        <a:xfrm>
                          <a:off x="0" y="0"/>
                          <a:ext cx="4123055" cy="0"/>
                        </a:xfrm>
                        <a:prstGeom prst="straightConnector1">
                          <a:avLst/>
                        </a:prstGeom>
                        <a:noFill/>
                        <a:ln w="38100">
                          <a:solidFill>
                            <a:srgbClr val="808080"/>
                          </a:solidFill>
                          <a:round/>
                        </a:ln>
                      </wps:spPr>
                      <wps:bodyPr/>
                    </wps:wsp>
                  </a:graphicData>
                </a:graphic>
              </wp:anchor>
            </w:drawing>
          </mc:Choice>
          <mc:Fallback>
            <w:pict>
              <v:shape id="AutoShape 3" o:spid="_x0000_s1026" o:spt="32" type="#_x0000_t32" style="position:absolute;left:0pt;margin-left:41.55pt;margin-top:1pt;height:0pt;width:324.65pt;z-index:251661312;mso-width-relative:page;mso-height-relative:page;" filled="f" stroked="t" coordsize="21600,21600" o:gfxdata="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96SMXTAAAABgEAAA8AAAAAAAAAAQAgAAAA&#10;IgAAAGRycy9kb3ducmV2LnhtbFBLAQIUABQAAAAIAIdO4kBhIDvh1wEAALMDAAAOAAAAAAAAAAEA&#10;IAAAACIBAABkcnMvZTJvRG9jLnhtbFBLBQYAAAAABgAGAFkBAABrBQAAAAA=&#10;">
                <v:fill on="f" focussize="0,0"/>
                <v:stroke weight="3pt" color="#808080" joinstyle="round"/>
                <v:imagedata o:title=""/>
                <o:lock v:ext="edit" aspectratio="f"/>
              </v:shape>
            </w:pict>
          </mc:Fallback>
        </mc:AlternateConten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b/>
          <w:bCs/>
          <w:color w:val="auto"/>
          <w:sz w:val="32"/>
          <w:szCs w:val="32"/>
          <w:highlight w:val="none"/>
          <w:lang w:val="en-US" w:eastAsia="zh-CN"/>
        </w:rPr>
        <w:t xml:space="preserve"> 采购</w:t>
      </w:r>
      <w:r>
        <w:rPr>
          <w:rFonts w:hint="eastAsia" w:ascii="宋体" w:hAnsi="宋体" w:eastAsia="宋体" w:cs="宋体"/>
          <w:b/>
          <w:bCs/>
          <w:color w:val="auto"/>
          <w:sz w:val="32"/>
          <w:szCs w:val="32"/>
          <w:highlight w:val="none"/>
        </w:rPr>
        <w:t>编号：豫财招标采购-2026-129</w:t>
      </w:r>
      <w:r>
        <w:rPr>
          <w:rFonts w:hint="eastAsia" w:ascii="宋体" w:hAnsi="宋体" w:cs="宋体"/>
          <w:b/>
          <w:bCs/>
          <w:color w:val="auto"/>
          <w:sz w:val="32"/>
          <w:szCs w:val="32"/>
          <w:highlight w:val="none"/>
          <w:lang w:val="en-US" w:eastAsia="zh-CN"/>
        </w:rPr>
        <w:t xml:space="preserve"> </w:t>
      </w:r>
    </w:p>
    <w:p w14:paraId="7950C788">
      <w:pPr>
        <w:spacing w:line="600" w:lineRule="auto"/>
        <w:jc w:val="left"/>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525780</wp:posOffset>
                </wp:positionH>
                <wp:positionV relativeFrom="paragraph">
                  <wp:posOffset>8890</wp:posOffset>
                </wp:positionV>
                <wp:extent cx="4123055" cy="0"/>
                <wp:effectExtent l="17145" t="11430" r="12700" b="17145"/>
                <wp:wrapNone/>
                <wp:docPr id="6" name="AutoShape 4"/>
                <wp:cNvGraphicFramePr/>
                <a:graphic xmlns:a="http://schemas.openxmlformats.org/drawingml/2006/main">
                  <a:graphicData uri="http://schemas.microsoft.com/office/word/2010/wordprocessingShape">
                    <wps:wsp>
                      <wps:cNvCnPr>
                        <a:cxnSpLocks noChangeShapeType="1"/>
                      </wps:cNvCnPr>
                      <wps:spPr bwMode="auto">
                        <a:xfrm>
                          <a:off x="0" y="0"/>
                          <a:ext cx="4123055" cy="0"/>
                        </a:xfrm>
                        <a:prstGeom prst="straightConnector1">
                          <a:avLst/>
                        </a:prstGeom>
                        <a:noFill/>
                        <a:ln w="19050">
                          <a:solidFill>
                            <a:srgbClr val="808080"/>
                          </a:solidFill>
                          <a:round/>
                        </a:ln>
                      </wps:spPr>
                      <wps:bodyPr/>
                    </wps:wsp>
                  </a:graphicData>
                </a:graphic>
              </wp:anchor>
            </w:drawing>
          </mc:Choice>
          <mc:Fallback>
            <w:pict>
              <v:shape id="AutoShape 4" o:spid="_x0000_s1026" o:spt="32" type="#_x0000_t32" style="position:absolute;left:0pt;margin-left:41.4pt;margin-top:0.7pt;height:0pt;width:324.65pt;z-index:251662336;mso-width-relative:page;mso-height-relative:page;" filled="f" stroked="t" coordsize="21600,21600" o:gfxdata="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kCS1bTAAAABgEAAA8AAAAAAAAAAQAgAAAA&#10;IgAAAGRycy9kb3ducmV2LnhtbFBLAQIUABQAAAAIAIdO4kDq7BmD1wEAALMDAAAOAAAAAAAAAAEA&#10;IAAAACIBAABkcnMvZTJvRG9jLnhtbFBLBQYAAAAABgAGAFkBAABrBQAAAAA=&#10;">
                <v:fill on="f" focussize="0,0"/>
                <v:stroke weight="1.5pt" color="#808080" joinstyle="round"/>
                <v:imagedata o:title=""/>
                <o:lock v:ext="edit" aspectratio="f"/>
              </v:shape>
            </w:pict>
          </mc:Fallback>
        </mc:AlternateContent>
      </w:r>
      <w:r>
        <w:rPr>
          <w:rFonts w:hint="eastAsia" w:ascii="宋体" w:hAnsi="宋体" w:eastAsia="宋体" w:cs="宋体"/>
          <w:b/>
          <w:bCs/>
          <w:color w:val="auto"/>
          <w:sz w:val="32"/>
          <w:szCs w:val="32"/>
          <w:highlight w:val="none"/>
        </w:rPr>
        <w:t xml:space="preserve">     采 购 人：</w:t>
      </w:r>
      <w:r>
        <w:rPr>
          <w:rFonts w:hint="eastAsia" w:ascii="宋体" w:hAnsi="宋体" w:cs="宋体"/>
          <w:b/>
          <w:bCs/>
          <w:color w:val="auto"/>
          <w:sz w:val="32"/>
          <w:szCs w:val="32"/>
          <w:highlight w:val="none"/>
          <w:lang w:eastAsia="zh-CN"/>
        </w:rPr>
        <w:t>河南省周口监狱</w:t>
      </w:r>
    </w:p>
    <w:p w14:paraId="65FCC1F1">
      <w:pPr>
        <w:spacing w:line="600" w:lineRule="auto"/>
        <w:jc w:val="left"/>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522605</wp:posOffset>
                </wp:positionH>
                <wp:positionV relativeFrom="paragraph">
                  <wp:posOffset>2540</wp:posOffset>
                </wp:positionV>
                <wp:extent cx="4123055" cy="0"/>
                <wp:effectExtent l="13970" t="13335" r="15875" b="15240"/>
                <wp:wrapNone/>
                <wp:docPr id="5" name="AutoShape 5"/>
                <wp:cNvGraphicFramePr/>
                <a:graphic xmlns:a="http://schemas.openxmlformats.org/drawingml/2006/main">
                  <a:graphicData uri="http://schemas.microsoft.com/office/word/2010/wordprocessingShape">
                    <wps:wsp>
                      <wps:cNvCnPr>
                        <a:cxnSpLocks noChangeShapeType="1"/>
                      </wps:cNvCnPr>
                      <wps:spPr bwMode="auto">
                        <a:xfrm>
                          <a:off x="0" y="0"/>
                          <a:ext cx="4123055" cy="0"/>
                        </a:xfrm>
                        <a:prstGeom prst="straightConnector1">
                          <a:avLst/>
                        </a:prstGeom>
                        <a:noFill/>
                        <a:ln w="19050">
                          <a:solidFill>
                            <a:srgbClr val="808080"/>
                          </a:solidFill>
                          <a:round/>
                        </a:ln>
                      </wps:spPr>
                      <wps:bodyPr/>
                    </wps:wsp>
                  </a:graphicData>
                </a:graphic>
              </wp:anchor>
            </w:drawing>
          </mc:Choice>
          <mc:Fallback>
            <w:pict>
              <v:shape id="AutoShape 5" o:spid="_x0000_s1026" o:spt="32" type="#_x0000_t32" style="position:absolute;left:0pt;margin-left:41.15pt;margin-top:0.2pt;height:0pt;width:324.65pt;z-index:251663360;mso-width-relative:page;mso-height-relative:page;" filled="f" stroked="t" coordsize="21600,21600" o:gfxdata="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CWoIPTAAAABAEAAA8AAAAAAAAAAQAgAAAA&#10;IgAAAGRycy9kb3ducmV2LnhtbFBLAQIUABQAAAAIAIdO4kDgdoyH1wEAALMDAAAOAAAAAAAAAAEA&#10;IAAAACIBAABkcnMvZTJvRG9jLnhtbFBLBQYAAAAABgAGAFkBAABrBQAAAAA=&#10;">
                <v:fill on="f" focussize="0,0"/>
                <v:stroke weight="1.5pt" color="#808080" joinstyle="round"/>
                <v:imagedata o:title=""/>
                <o:lock v:ext="edit" aspectratio="f"/>
              </v:shape>
            </w:pict>
          </mc:Fallback>
        </mc:AlternateContent>
      </w:r>
      <w:r>
        <w:rPr>
          <w:rFonts w:hint="eastAsia" w:ascii="宋体" w:hAnsi="宋体" w:eastAsia="宋体" w:cs="宋体"/>
          <w:b/>
          <w:bCs/>
          <w:color w:val="auto"/>
          <w:sz w:val="32"/>
          <w:szCs w:val="32"/>
          <w:highlight w:val="none"/>
        </w:rPr>
        <w:t xml:space="preserve">     代理机构：方大国际工程咨询股份有限公司</w:t>
      </w:r>
    </w:p>
    <w:p w14:paraId="6CBEF56B">
      <w:pPr>
        <w:spacing w:line="600" w:lineRule="auto"/>
        <w:jc w:val="left"/>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522605</wp:posOffset>
                </wp:positionH>
                <wp:positionV relativeFrom="paragraph">
                  <wp:posOffset>13335</wp:posOffset>
                </wp:positionV>
                <wp:extent cx="4123055" cy="0"/>
                <wp:effectExtent l="13970" t="12700" r="15875" b="15875"/>
                <wp:wrapNone/>
                <wp:docPr id="4" name="AutoShape 6"/>
                <wp:cNvGraphicFramePr/>
                <a:graphic xmlns:a="http://schemas.openxmlformats.org/drawingml/2006/main">
                  <a:graphicData uri="http://schemas.microsoft.com/office/word/2010/wordprocessingShape">
                    <wps:wsp>
                      <wps:cNvCnPr>
                        <a:cxnSpLocks noChangeShapeType="1"/>
                      </wps:cNvCnPr>
                      <wps:spPr bwMode="auto">
                        <a:xfrm>
                          <a:off x="0" y="0"/>
                          <a:ext cx="4123055" cy="0"/>
                        </a:xfrm>
                        <a:prstGeom prst="straightConnector1">
                          <a:avLst/>
                        </a:prstGeom>
                        <a:noFill/>
                        <a:ln w="19050">
                          <a:solidFill>
                            <a:srgbClr val="808080"/>
                          </a:solidFill>
                          <a:round/>
                        </a:ln>
                      </wps:spPr>
                      <wps:bodyPr/>
                    </wps:wsp>
                  </a:graphicData>
                </a:graphic>
              </wp:anchor>
            </w:drawing>
          </mc:Choice>
          <mc:Fallback>
            <w:pict>
              <v:shape id="AutoShape 6" o:spid="_x0000_s1026" o:spt="32" type="#_x0000_t32" style="position:absolute;left:0pt;margin-left:41.15pt;margin-top:1.05pt;height:0pt;width:324.65pt;z-index:251664384;mso-width-relative:page;mso-height-relative:page;" filled="f" stroked="t" coordsize="21600,21600" o:gfxdata="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sFHu+1AAAAAYBAAAPAAAAAAAAAAEAIAAA&#10;ACIAAABkcnMvZG93bnJldi54bWxQSwECFAAUAAAACACHTuJAdrT8NdcBAACzAwAADgAAAAAAAAAB&#10;ACAAAAAjAQAAZHJzL2Uyb0RvYy54bWxQSwUGAAAAAAYABgBZAQAAbAUAAAAA&#10;">
                <v:fill on="f" focussize="0,0"/>
                <v:stroke weight="1.5pt" color="#808080" joinstyle="round"/>
                <v:imagedata o:title=""/>
                <o:lock v:ext="edit" aspectratio="f"/>
              </v:shape>
            </w:pict>
          </mc:Fallback>
        </mc:AlternateContent>
      </w:r>
      <w:r>
        <w:rPr>
          <w:rFonts w:hint="eastAsia" w:ascii="宋体" w:hAnsi="宋体" w:cs="宋体"/>
          <w:b/>
          <w:bCs/>
          <w:color w:val="auto"/>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521335</wp:posOffset>
                </wp:positionH>
                <wp:positionV relativeFrom="paragraph">
                  <wp:posOffset>458470</wp:posOffset>
                </wp:positionV>
                <wp:extent cx="4123055" cy="0"/>
                <wp:effectExtent l="22225" t="19685" r="26670" b="27940"/>
                <wp:wrapNone/>
                <wp:docPr id="3" name="AutoShape 7"/>
                <wp:cNvGraphicFramePr/>
                <a:graphic xmlns:a="http://schemas.openxmlformats.org/drawingml/2006/main">
                  <a:graphicData uri="http://schemas.microsoft.com/office/word/2010/wordprocessingShape">
                    <wps:wsp>
                      <wps:cNvCnPr>
                        <a:cxnSpLocks noChangeShapeType="1"/>
                      </wps:cNvCnPr>
                      <wps:spPr bwMode="auto">
                        <a:xfrm>
                          <a:off x="0" y="0"/>
                          <a:ext cx="4123055" cy="0"/>
                        </a:xfrm>
                        <a:prstGeom prst="straightConnector1">
                          <a:avLst/>
                        </a:prstGeom>
                        <a:noFill/>
                        <a:ln w="38100">
                          <a:solidFill>
                            <a:srgbClr val="808080"/>
                          </a:solidFill>
                          <a:round/>
                        </a:ln>
                      </wps:spPr>
                      <wps:bodyPr/>
                    </wps:wsp>
                  </a:graphicData>
                </a:graphic>
              </wp:anchor>
            </w:drawing>
          </mc:Choice>
          <mc:Fallback>
            <w:pict>
              <v:shape id="AutoShape 7" o:spid="_x0000_s1026" o:spt="32" type="#_x0000_t32" style="position:absolute;left:0pt;margin-left:41.05pt;margin-top:36.1pt;height:0pt;width:324.65pt;z-index:251662336;mso-width-relative:page;mso-height-relative:page;" filled="f" stroked="t" coordsize="21600,21600" o:gfxdata="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kth6nWAAAACAEAAA8AAAAAAAAAAQAg&#10;AAAAIgAAAGRycy9kb3ducmV2LnhtbFBLAQIUABQAAAAIAIdO4kAYl4BX1wEAALMDAAAOAAAAAAAA&#10;AAEAIAAAACUBAABkcnMvZTJvRG9jLnhtbFBLBQYAAAAABgAGAFkBAABuBQAAAAA=&#10;">
                <v:fill on="f" focussize="0,0"/>
                <v:stroke weight="3pt" color="#808080" joinstyle="round"/>
                <v:imagedata o:title=""/>
                <o:lock v:ext="edit" aspectratio="f"/>
              </v:shape>
            </w:pict>
          </mc:Fallback>
        </mc:AlternateContent>
      </w:r>
      <w:r>
        <w:rPr>
          <w:rFonts w:hint="eastAsia" w:ascii="宋体" w:hAnsi="宋体" w:eastAsia="宋体" w:cs="宋体"/>
          <w:b/>
          <w:bCs/>
          <w:color w:val="auto"/>
          <w:sz w:val="32"/>
          <w:szCs w:val="32"/>
          <w:highlight w:val="none"/>
        </w:rPr>
        <w:t xml:space="preserve">     日    期：二 〇 二 </w:t>
      </w:r>
      <w:r>
        <w:rPr>
          <w:rFonts w:hint="eastAsia" w:ascii="宋体" w:hAnsi="宋体" w:cs="宋体"/>
          <w:b/>
          <w:bCs/>
          <w:color w:val="auto"/>
          <w:sz w:val="32"/>
          <w:szCs w:val="32"/>
          <w:highlight w:val="none"/>
          <w:lang w:val="en-US" w:eastAsia="zh-CN"/>
        </w:rPr>
        <w:t xml:space="preserve">六 </w:t>
      </w:r>
      <w:r>
        <w:rPr>
          <w:rFonts w:hint="eastAsia" w:ascii="宋体" w:hAnsi="宋体" w:eastAsia="宋体" w:cs="宋体"/>
          <w:b/>
          <w:bCs/>
          <w:color w:val="auto"/>
          <w:sz w:val="32"/>
          <w:szCs w:val="32"/>
          <w:highlight w:val="none"/>
        </w:rPr>
        <w:t xml:space="preserve">年 </w:t>
      </w:r>
      <w:r>
        <w:rPr>
          <w:rFonts w:hint="eastAsia" w:ascii="宋体" w:hAnsi="宋体" w:cs="宋体"/>
          <w:b/>
          <w:bCs/>
          <w:color w:val="auto"/>
          <w:sz w:val="32"/>
          <w:szCs w:val="32"/>
          <w:highlight w:val="none"/>
          <w:lang w:val="en-US" w:eastAsia="zh-CN"/>
        </w:rPr>
        <w:t xml:space="preserve">二 </w:t>
      </w:r>
      <w:r>
        <w:rPr>
          <w:rFonts w:hint="eastAsia" w:ascii="宋体" w:hAnsi="宋体" w:eastAsia="宋体" w:cs="宋体"/>
          <w:b/>
          <w:bCs/>
          <w:color w:val="auto"/>
          <w:sz w:val="32"/>
          <w:szCs w:val="32"/>
          <w:highlight w:val="none"/>
        </w:rPr>
        <w:t>月</w:t>
      </w:r>
    </w:p>
    <w:p w14:paraId="1601CDA0">
      <w:pPr>
        <w:spacing w:line="600" w:lineRule="auto"/>
        <w:jc w:val="left"/>
        <w:rPr>
          <w:rFonts w:hint="eastAsia" w:ascii="宋体" w:hAnsi="宋体" w:eastAsia="宋体" w:cs="宋体"/>
          <w:color w:val="auto"/>
          <w:sz w:val="24"/>
          <w:szCs w:val="24"/>
          <w:highlight w:val="none"/>
        </w:rPr>
      </w:pPr>
    </w:p>
    <w:p w14:paraId="36D0BB79">
      <w:pPr>
        <w:spacing w:line="60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drawing>
          <wp:anchor distT="0" distB="0" distL="114300" distR="114300" simplePos="0" relativeHeight="251660288" behindDoc="1" locked="0" layoutInCell="1" allowOverlap="1">
            <wp:simplePos x="0" y="0"/>
            <wp:positionH relativeFrom="column">
              <wp:posOffset>-709295</wp:posOffset>
            </wp:positionH>
            <wp:positionV relativeFrom="paragraph">
              <wp:posOffset>464185</wp:posOffset>
            </wp:positionV>
            <wp:extent cx="7233285" cy="755015"/>
            <wp:effectExtent l="0" t="0" r="0" b="6985"/>
            <wp:wrapThrough wrapText="bothSides">
              <wp:wrapPolygon>
                <wp:start x="16952" y="0"/>
                <wp:lineTo x="16327" y="8720"/>
                <wp:lineTo x="0" y="10355"/>
                <wp:lineTo x="0" y="21255"/>
                <wp:lineTo x="21560" y="21255"/>
                <wp:lineTo x="21560" y="10355"/>
                <wp:lineTo x="17863" y="8720"/>
                <wp:lineTo x="17237" y="0"/>
                <wp:lineTo x="16952" y="0"/>
              </wp:wrapPolygon>
            </wp:wrapThrough>
            <wp:docPr id="8" name="图片 1"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233285" cy="755015"/>
                    </a:xfrm>
                    <a:prstGeom prst="rect">
                      <a:avLst/>
                    </a:prstGeom>
                    <a:noFill/>
                    <a:ln>
                      <a:noFill/>
                    </a:ln>
                  </pic:spPr>
                </pic:pic>
              </a:graphicData>
            </a:graphic>
          </wp:anchor>
        </w:drawing>
      </w:r>
    </w:p>
    <w:p w14:paraId="4E6A8C13">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B24EF49">
      <w:pPr>
        <w:spacing w:line="360" w:lineRule="auto"/>
        <w:ind w:firstLine="643" w:firstLineChars="200"/>
        <w:jc w:val="center"/>
        <w:rPr>
          <w:rFonts w:hint="eastAsia" w:ascii="宋体" w:hAnsi="宋体" w:eastAsia="宋体" w:cs="宋体"/>
          <w:color w:val="auto"/>
          <w:sz w:val="24"/>
          <w:szCs w:val="24"/>
          <w:highlight w:val="none"/>
        </w:rPr>
      </w:pPr>
      <w:r>
        <w:rPr>
          <w:rFonts w:hint="eastAsia" w:ascii="宋体" w:hAnsi="宋体" w:cs="宋体"/>
          <w:b/>
          <w:color w:val="auto"/>
          <w:sz w:val="32"/>
          <w:szCs w:val="32"/>
          <w:highlight w:val="none"/>
        </w:rPr>
        <w:t>目   录</w:t>
      </w:r>
      <w:bookmarkEnd w:id="0"/>
    </w:p>
    <w:p w14:paraId="38597555">
      <w:pPr>
        <w:pStyle w:val="17"/>
        <w:tabs>
          <w:tab w:val="right" w:leader="dot" w:pos="9637"/>
        </w:tabs>
        <w:rPr>
          <w:b w:val="0"/>
          <w:bCs/>
          <w:i w:val="0"/>
          <w:iCs w:val="0"/>
          <w:highlight w:val="none"/>
        </w:rPr>
      </w:pPr>
      <w:r>
        <w:rPr>
          <w:rFonts w:hint="eastAsia" w:ascii="宋体" w:hAnsi="宋体" w:eastAsia="宋体" w:cs="宋体"/>
          <w:b w:val="0"/>
          <w:bCs/>
          <w:i w:val="0"/>
          <w:iCs w:val="0"/>
          <w:color w:val="auto"/>
          <w:sz w:val="24"/>
          <w:szCs w:val="24"/>
          <w:highlight w:val="none"/>
        </w:rPr>
        <w:fldChar w:fldCharType="begin"/>
      </w:r>
      <w:r>
        <w:rPr>
          <w:rFonts w:hint="eastAsia" w:ascii="宋体" w:hAnsi="宋体" w:eastAsia="宋体" w:cs="宋体"/>
          <w:b w:val="0"/>
          <w:bCs/>
          <w:i w:val="0"/>
          <w:iCs w:val="0"/>
          <w:color w:val="auto"/>
          <w:sz w:val="24"/>
          <w:szCs w:val="24"/>
          <w:highlight w:val="none"/>
        </w:rPr>
        <w:instrText xml:space="preserve">TOC \o "1-2" \h \u </w:instrText>
      </w:r>
      <w:r>
        <w:rPr>
          <w:rFonts w:hint="eastAsia" w:ascii="宋体" w:hAnsi="宋体" w:eastAsia="宋体" w:cs="宋体"/>
          <w:b w:val="0"/>
          <w:bCs/>
          <w:i w:val="0"/>
          <w:iCs w:val="0"/>
          <w:color w:val="auto"/>
          <w:sz w:val="24"/>
          <w:szCs w:val="24"/>
          <w:highlight w:val="none"/>
        </w:rPr>
        <w:fldChar w:fldCharType="separate"/>
      </w: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_Toc10487 </w:instrText>
      </w:r>
      <w:r>
        <w:rPr>
          <w:rFonts w:hint="eastAsia" w:ascii="宋体" w:hAnsi="宋体" w:eastAsia="宋体" w:cs="宋体"/>
          <w:b w:val="0"/>
          <w:bCs/>
          <w:i w:val="0"/>
          <w:iCs w:val="0"/>
          <w:szCs w:val="24"/>
          <w:highlight w:val="none"/>
        </w:rPr>
        <w:fldChar w:fldCharType="separate"/>
      </w:r>
      <w:r>
        <w:rPr>
          <w:rFonts w:hint="default" w:ascii="宋体" w:hAnsi="宋体" w:cs="Times New Roman"/>
          <w:b w:val="0"/>
          <w:bCs/>
          <w:i w:val="0"/>
          <w:iCs w:val="0"/>
          <w:szCs w:val="44"/>
          <w:highlight w:val="none"/>
        </w:rPr>
        <w:t xml:space="preserve">第一章 </w:t>
      </w:r>
      <w:r>
        <w:rPr>
          <w:rFonts w:hint="eastAsia" w:ascii="宋体" w:hAnsi="宋体" w:cs="宋体"/>
          <w:b w:val="0"/>
          <w:bCs/>
          <w:i w:val="0"/>
          <w:iCs w:val="0"/>
          <w:szCs w:val="44"/>
          <w:highlight w:val="none"/>
        </w:rPr>
        <w:t>招标公告</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_Toc10487 \h </w:instrText>
      </w:r>
      <w:r>
        <w:rPr>
          <w:b w:val="0"/>
          <w:bCs/>
          <w:i w:val="0"/>
          <w:iCs w:val="0"/>
          <w:highlight w:val="none"/>
        </w:rPr>
        <w:fldChar w:fldCharType="separate"/>
      </w:r>
      <w:r>
        <w:rPr>
          <w:b w:val="0"/>
          <w:bCs/>
          <w:i w:val="0"/>
          <w:iCs w:val="0"/>
          <w:highlight w:val="none"/>
        </w:rPr>
        <w:t>3</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11AE19D8">
      <w:pPr>
        <w:pStyle w:val="17"/>
        <w:tabs>
          <w:tab w:val="right" w:leader="dot" w:pos="9637"/>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_Toc24494 </w:instrText>
      </w:r>
      <w:r>
        <w:rPr>
          <w:rFonts w:hint="eastAsia" w:ascii="宋体" w:hAnsi="宋体" w:eastAsia="宋体" w:cs="宋体"/>
          <w:b w:val="0"/>
          <w:bCs/>
          <w:i w:val="0"/>
          <w:iCs w:val="0"/>
          <w:szCs w:val="24"/>
          <w:highlight w:val="none"/>
        </w:rPr>
        <w:fldChar w:fldCharType="separate"/>
      </w:r>
      <w:r>
        <w:rPr>
          <w:rFonts w:hint="default" w:ascii="宋体" w:hAnsi="宋体" w:cs="Times New Roman"/>
          <w:b w:val="0"/>
          <w:bCs/>
          <w:i w:val="0"/>
          <w:iCs w:val="0"/>
          <w:szCs w:val="44"/>
          <w:highlight w:val="none"/>
        </w:rPr>
        <w:t xml:space="preserve">第二章 </w:t>
      </w:r>
      <w:r>
        <w:rPr>
          <w:rFonts w:hint="eastAsia" w:ascii="宋体" w:hAnsi="宋体" w:cs="宋体"/>
          <w:b w:val="0"/>
          <w:bCs/>
          <w:i w:val="0"/>
          <w:iCs w:val="0"/>
          <w:szCs w:val="44"/>
          <w:highlight w:val="none"/>
          <w:lang w:eastAsia="zh-CN"/>
        </w:rPr>
        <w:t>投标人</w:t>
      </w:r>
      <w:r>
        <w:rPr>
          <w:rFonts w:hint="eastAsia" w:ascii="宋体" w:hAnsi="宋体" w:cs="宋体"/>
          <w:b w:val="0"/>
          <w:bCs/>
          <w:i w:val="0"/>
          <w:iCs w:val="0"/>
          <w:szCs w:val="44"/>
          <w:highlight w:val="none"/>
        </w:rPr>
        <w:t>须知</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_Toc24494 \h </w:instrText>
      </w:r>
      <w:r>
        <w:rPr>
          <w:b w:val="0"/>
          <w:bCs/>
          <w:i w:val="0"/>
          <w:iCs w:val="0"/>
          <w:highlight w:val="none"/>
        </w:rPr>
        <w:fldChar w:fldCharType="separate"/>
      </w:r>
      <w:r>
        <w:rPr>
          <w:b w:val="0"/>
          <w:bCs/>
          <w:i w:val="0"/>
          <w:iCs w:val="0"/>
          <w:highlight w:val="none"/>
        </w:rPr>
        <w:t>5</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08AC163F">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_Toc19710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24"/>
          <w:highlight w:val="none"/>
          <w:lang w:eastAsia="zh-CN"/>
        </w:rPr>
        <w:t>投标人</w:t>
      </w:r>
      <w:r>
        <w:rPr>
          <w:rFonts w:hint="eastAsia" w:ascii="宋体" w:hAnsi="宋体" w:cs="宋体"/>
          <w:b w:val="0"/>
          <w:bCs/>
          <w:i w:val="0"/>
          <w:iCs w:val="0"/>
          <w:szCs w:val="24"/>
          <w:highlight w:val="none"/>
        </w:rPr>
        <w:t>须知前附表</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_Toc19710 \h </w:instrText>
      </w:r>
      <w:r>
        <w:rPr>
          <w:b w:val="0"/>
          <w:bCs/>
          <w:i w:val="0"/>
          <w:iCs w:val="0"/>
          <w:highlight w:val="none"/>
        </w:rPr>
        <w:fldChar w:fldCharType="separate"/>
      </w:r>
      <w:r>
        <w:rPr>
          <w:b w:val="0"/>
          <w:bCs/>
          <w:i w:val="0"/>
          <w:iCs w:val="0"/>
          <w:highlight w:val="none"/>
        </w:rPr>
        <w:t>6</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72F37C45">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_Toc18403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24"/>
          <w:highlight w:val="none"/>
        </w:rPr>
        <w:t>（一）总</w:t>
      </w:r>
      <w:r>
        <w:rPr>
          <w:rFonts w:ascii="宋体" w:hAnsi="宋体" w:cs="宋体"/>
          <w:b w:val="0"/>
          <w:bCs/>
          <w:i w:val="0"/>
          <w:iCs w:val="0"/>
          <w:szCs w:val="24"/>
          <w:highlight w:val="none"/>
        </w:rPr>
        <w:t xml:space="preserve"> </w:t>
      </w:r>
      <w:r>
        <w:rPr>
          <w:rFonts w:hint="eastAsia" w:ascii="宋体" w:hAnsi="宋体" w:cs="宋体"/>
          <w:b w:val="0"/>
          <w:bCs/>
          <w:i w:val="0"/>
          <w:iCs w:val="0"/>
          <w:szCs w:val="24"/>
          <w:highlight w:val="none"/>
        </w:rPr>
        <w:t>则</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_Toc18403 \h </w:instrText>
      </w:r>
      <w:r>
        <w:rPr>
          <w:b w:val="0"/>
          <w:bCs/>
          <w:i w:val="0"/>
          <w:iCs w:val="0"/>
          <w:highlight w:val="none"/>
        </w:rPr>
        <w:fldChar w:fldCharType="separate"/>
      </w:r>
      <w:r>
        <w:rPr>
          <w:b w:val="0"/>
          <w:bCs/>
          <w:i w:val="0"/>
          <w:iCs w:val="0"/>
          <w:highlight w:val="none"/>
        </w:rPr>
        <w:t>11</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5767F27C">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_Toc26920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24"/>
          <w:highlight w:val="none"/>
        </w:rPr>
        <w:t>（二）招标文件</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_Toc26920 \h </w:instrText>
      </w:r>
      <w:r>
        <w:rPr>
          <w:b w:val="0"/>
          <w:bCs/>
          <w:i w:val="0"/>
          <w:iCs w:val="0"/>
          <w:highlight w:val="none"/>
        </w:rPr>
        <w:fldChar w:fldCharType="separate"/>
      </w:r>
      <w:r>
        <w:rPr>
          <w:b w:val="0"/>
          <w:bCs/>
          <w:i w:val="0"/>
          <w:iCs w:val="0"/>
          <w:highlight w:val="none"/>
        </w:rPr>
        <w:t>11</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18084F62">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_Toc44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24"/>
          <w:highlight w:val="none"/>
        </w:rPr>
        <w:t>（三）投标文件的编制</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_Toc44 \h </w:instrText>
      </w:r>
      <w:r>
        <w:rPr>
          <w:b w:val="0"/>
          <w:bCs/>
          <w:i w:val="0"/>
          <w:iCs w:val="0"/>
          <w:highlight w:val="none"/>
        </w:rPr>
        <w:fldChar w:fldCharType="separate"/>
      </w:r>
      <w:r>
        <w:rPr>
          <w:b w:val="0"/>
          <w:bCs/>
          <w:i w:val="0"/>
          <w:iCs w:val="0"/>
          <w:highlight w:val="none"/>
        </w:rPr>
        <w:t>13</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63AF28B1">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_Toc30871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24"/>
          <w:highlight w:val="none"/>
        </w:rPr>
        <w:t>（四）投标文件的递交</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_Toc30871 \h </w:instrText>
      </w:r>
      <w:r>
        <w:rPr>
          <w:b w:val="0"/>
          <w:bCs/>
          <w:i w:val="0"/>
          <w:iCs w:val="0"/>
          <w:highlight w:val="none"/>
        </w:rPr>
        <w:fldChar w:fldCharType="separate"/>
      </w:r>
      <w:r>
        <w:rPr>
          <w:b w:val="0"/>
          <w:bCs/>
          <w:i w:val="0"/>
          <w:iCs w:val="0"/>
          <w:highlight w:val="none"/>
        </w:rPr>
        <w:t>15</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6D710305">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_Toc3360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24"/>
          <w:highlight w:val="none"/>
        </w:rPr>
        <w:t>（五）开</w:t>
      </w:r>
      <w:r>
        <w:rPr>
          <w:rFonts w:ascii="宋体" w:hAnsi="宋体" w:cs="宋体"/>
          <w:b w:val="0"/>
          <w:bCs/>
          <w:i w:val="0"/>
          <w:iCs w:val="0"/>
          <w:szCs w:val="24"/>
          <w:highlight w:val="none"/>
        </w:rPr>
        <w:t xml:space="preserve"> </w:t>
      </w:r>
      <w:r>
        <w:rPr>
          <w:rFonts w:hint="eastAsia" w:ascii="宋体" w:hAnsi="宋体" w:cs="宋体"/>
          <w:b w:val="0"/>
          <w:bCs/>
          <w:i w:val="0"/>
          <w:iCs w:val="0"/>
          <w:szCs w:val="24"/>
          <w:highlight w:val="none"/>
        </w:rPr>
        <w:t>标</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_Toc3360 \h </w:instrText>
      </w:r>
      <w:r>
        <w:rPr>
          <w:b w:val="0"/>
          <w:bCs/>
          <w:i w:val="0"/>
          <w:iCs w:val="0"/>
          <w:highlight w:val="none"/>
        </w:rPr>
        <w:fldChar w:fldCharType="separate"/>
      </w:r>
      <w:r>
        <w:rPr>
          <w:b w:val="0"/>
          <w:bCs/>
          <w:i w:val="0"/>
          <w:iCs w:val="0"/>
          <w:highlight w:val="none"/>
        </w:rPr>
        <w:t>15</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6874175D">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_Toc29593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24"/>
          <w:highlight w:val="none"/>
        </w:rPr>
        <w:t>（六）评</w:t>
      </w:r>
      <w:r>
        <w:rPr>
          <w:rFonts w:ascii="宋体" w:hAnsi="宋体" w:cs="宋体"/>
          <w:b w:val="0"/>
          <w:bCs/>
          <w:i w:val="0"/>
          <w:iCs w:val="0"/>
          <w:szCs w:val="24"/>
          <w:highlight w:val="none"/>
        </w:rPr>
        <w:t xml:space="preserve"> </w:t>
      </w:r>
      <w:r>
        <w:rPr>
          <w:rFonts w:hint="eastAsia" w:ascii="宋体" w:hAnsi="宋体" w:cs="宋体"/>
          <w:b w:val="0"/>
          <w:bCs/>
          <w:i w:val="0"/>
          <w:iCs w:val="0"/>
          <w:szCs w:val="24"/>
          <w:highlight w:val="none"/>
        </w:rPr>
        <w:t>标</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_Toc29593 \h </w:instrText>
      </w:r>
      <w:r>
        <w:rPr>
          <w:b w:val="0"/>
          <w:bCs/>
          <w:i w:val="0"/>
          <w:iCs w:val="0"/>
          <w:highlight w:val="none"/>
        </w:rPr>
        <w:fldChar w:fldCharType="separate"/>
      </w:r>
      <w:r>
        <w:rPr>
          <w:b w:val="0"/>
          <w:bCs/>
          <w:i w:val="0"/>
          <w:iCs w:val="0"/>
          <w:highlight w:val="none"/>
        </w:rPr>
        <w:t>15</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328C1967">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_Toc15261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24"/>
          <w:highlight w:val="none"/>
        </w:rPr>
        <w:t>（七）中标结果</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_Toc15261 \h </w:instrText>
      </w:r>
      <w:r>
        <w:rPr>
          <w:b w:val="0"/>
          <w:bCs/>
          <w:i w:val="0"/>
          <w:iCs w:val="0"/>
          <w:highlight w:val="none"/>
        </w:rPr>
        <w:fldChar w:fldCharType="separate"/>
      </w:r>
      <w:r>
        <w:rPr>
          <w:b w:val="0"/>
          <w:bCs/>
          <w:i w:val="0"/>
          <w:iCs w:val="0"/>
          <w:highlight w:val="none"/>
        </w:rPr>
        <w:t>18</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338AC1FC">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_Toc31290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24"/>
          <w:highlight w:val="none"/>
        </w:rPr>
        <w:t>（八）合同的授予</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_Toc31290 \h </w:instrText>
      </w:r>
      <w:r>
        <w:rPr>
          <w:b w:val="0"/>
          <w:bCs/>
          <w:i w:val="0"/>
          <w:iCs w:val="0"/>
          <w:highlight w:val="none"/>
        </w:rPr>
        <w:fldChar w:fldCharType="separate"/>
      </w:r>
      <w:r>
        <w:rPr>
          <w:b w:val="0"/>
          <w:bCs/>
          <w:i w:val="0"/>
          <w:iCs w:val="0"/>
          <w:highlight w:val="none"/>
        </w:rPr>
        <w:t>19</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7A63881F">
      <w:pPr>
        <w:pStyle w:val="17"/>
        <w:tabs>
          <w:tab w:val="right" w:leader="dot" w:pos="9637"/>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_Toc8092 </w:instrText>
      </w:r>
      <w:r>
        <w:rPr>
          <w:rFonts w:hint="eastAsia" w:ascii="宋体" w:hAnsi="宋体" w:eastAsia="宋体" w:cs="宋体"/>
          <w:b w:val="0"/>
          <w:bCs/>
          <w:i w:val="0"/>
          <w:iCs w:val="0"/>
          <w:szCs w:val="24"/>
          <w:highlight w:val="none"/>
        </w:rPr>
        <w:fldChar w:fldCharType="separate"/>
      </w:r>
      <w:r>
        <w:rPr>
          <w:rFonts w:hint="eastAsia" w:ascii="宋体" w:hAnsi="宋体" w:eastAsia="宋体" w:cs="宋体"/>
          <w:b w:val="0"/>
          <w:bCs/>
          <w:i w:val="0"/>
          <w:iCs w:val="0"/>
          <w:szCs w:val="44"/>
          <w:highlight w:val="none"/>
        </w:rPr>
        <w:t>第三章  资格审查</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_Toc8092 \h </w:instrText>
      </w:r>
      <w:r>
        <w:rPr>
          <w:b w:val="0"/>
          <w:bCs/>
          <w:i w:val="0"/>
          <w:iCs w:val="0"/>
          <w:highlight w:val="none"/>
        </w:rPr>
        <w:fldChar w:fldCharType="separate"/>
      </w:r>
      <w:r>
        <w:rPr>
          <w:b w:val="0"/>
          <w:bCs/>
          <w:i w:val="0"/>
          <w:iCs w:val="0"/>
          <w:highlight w:val="none"/>
        </w:rPr>
        <w:t>21</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469AA96E">
      <w:pPr>
        <w:pStyle w:val="17"/>
        <w:tabs>
          <w:tab w:val="right" w:leader="dot" w:pos="9637"/>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_Toc23608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44"/>
          <w:highlight w:val="none"/>
        </w:rPr>
        <w:t>第四章</w:t>
      </w:r>
      <w:r>
        <w:rPr>
          <w:rFonts w:ascii="宋体" w:hAnsi="宋体" w:cs="宋体"/>
          <w:b w:val="0"/>
          <w:bCs/>
          <w:i w:val="0"/>
          <w:iCs w:val="0"/>
          <w:szCs w:val="44"/>
          <w:highlight w:val="none"/>
        </w:rPr>
        <w:t xml:space="preserve">  </w:t>
      </w:r>
      <w:r>
        <w:rPr>
          <w:rFonts w:hint="eastAsia" w:ascii="宋体" w:hAnsi="宋体" w:cs="宋体"/>
          <w:b w:val="0"/>
          <w:bCs/>
          <w:i w:val="0"/>
          <w:iCs w:val="0"/>
          <w:szCs w:val="44"/>
          <w:highlight w:val="none"/>
        </w:rPr>
        <w:t>评标办法（综合评分法）</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_Toc23608 \h </w:instrText>
      </w:r>
      <w:r>
        <w:rPr>
          <w:b w:val="0"/>
          <w:bCs/>
          <w:i w:val="0"/>
          <w:iCs w:val="0"/>
          <w:highlight w:val="none"/>
        </w:rPr>
        <w:fldChar w:fldCharType="separate"/>
      </w:r>
      <w:r>
        <w:rPr>
          <w:b w:val="0"/>
          <w:bCs/>
          <w:i w:val="0"/>
          <w:iCs w:val="0"/>
          <w:highlight w:val="none"/>
        </w:rPr>
        <w:t>23</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73CC35E1">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_Toc28361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24"/>
          <w:highlight w:val="none"/>
        </w:rPr>
        <w:t>评标办法前附表</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_Toc28361 \h </w:instrText>
      </w:r>
      <w:r>
        <w:rPr>
          <w:b w:val="0"/>
          <w:bCs/>
          <w:i w:val="0"/>
          <w:iCs w:val="0"/>
          <w:highlight w:val="none"/>
        </w:rPr>
        <w:fldChar w:fldCharType="separate"/>
      </w:r>
      <w:r>
        <w:rPr>
          <w:b w:val="0"/>
          <w:bCs/>
          <w:i w:val="0"/>
          <w:iCs w:val="0"/>
          <w:highlight w:val="none"/>
        </w:rPr>
        <w:t>24</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441173E2">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_Toc12763 </w:instrText>
      </w:r>
      <w:r>
        <w:rPr>
          <w:rFonts w:hint="eastAsia" w:ascii="宋体" w:hAnsi="宋体" w:eastAsia="宋体" w:cs="宋体"/>
          <w:b w:val="0"/>
          <w:bCs/>
          <w:i w:val="0"/>
          <w:iCs w:val="0"/>
          <w:szCs w:val="24"/>
          <w:highlight w:val="none"/>
        </w:rPr>
        <w:fldChar w:fldCharType="separate"/>
      </w:r>
      <w:r>
        <w:rPr>
          <w:rFonts w:ascii="宋体" w:hAnsi="宋体" w:cs="宋体"/>
          <w:b w:val="0"/>
          <w:bCs/>
          <w:i w:val="0"/>
          <w:iCs w:val="0"/>
          <w:szCs w:val="24"/>
          <w:highlight w:val="none"/>
        </w:rPr>
        <w:t>1.</w:t>
      </w:r>
      <w:r>
        <w:rPr>
          <w:rFonts w:hint="eastAsia" w:ascii="宋体" w:hAnsi="宋体" w:cs="宋体"/>
          <w:b w:val="0"/>
          <w:bCs/>
          <w:i w:val="0"/>
          <w:iCs w:val="0"/>
          <w:szCs w:val="24"/>
          <w:highlight w:val="none"/>
        </w:rPr>
        <w:t>评标方法</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_Toc12763 \h </w:instrText>
      </w:r>
      <w:r>
        <w:rPr>
          <w:b w:val="0"/>
          <w:bCs/>
          <w:i w:val="0"/>
          <w:iCs w:val="0"/>
          <w:highlight w:val="none"/>
        </w:rPr>
        <w:fldChar w:fldCharType="separate"/>
      </w:r>
      <w:r>
        <w:rPr>
          <w:b w:val="0"/>
          <w:bCs/>
          <w:i w:val="0"/>
          <w:iCs w:val="0"/>
          <w:highlight w:val="none"/>
        </w:rPr>
        <w:t>27</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1CC4524B">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_Toc15498 </w:instrText>
      </w:r>
      <w:r>
        <w:rPr>
          <w:rFonts w:hint="eastAsia" w:ascii="宋体" w:hAnsi="宋体" w:eastAsia="宋体" w:cs="宋体"/>
          <w:b w:val="0"/>
          <w:bCs/>
          <w:i w:val="0"/>
          <w:iCs w:val="0"/>
          <w:szCs w:val="24"/>
          <w:highlight w:val="none"/>
        </w:rPr>
        <w:fldChar w:fldCharType="separate"/>
      </w:r>
      <w:r>
        <w:rPr>
          <w:rFonts w:ascii="宋体" w:hAnsi="宋体" w:cs="宋体"/>
          <w:b w:val="0"/>
          <w:bCs/>
          <w:i w:val="0"/>
          <w:iCs w:val="0"/>
          <w:szCs w:val="24"/>
          <w:highlight w:val="none"/>
        </w:rPr>
        <w:t>2.</w:t>
      </w:r>
      <w:r>
        <w:rPr>
          <w:rFonts w:hint="eastAsia" w:ascii="宋体" w:hAnsi="宋体" w:cs="宋体"/>
          <w:b w:val="0"/>
          <w:bCs/>
          <w:i w:val="0"/>
          <w:iCs w:val="0"/>
          <w:szCs w:val="24"/>
          <w:highlight w:val="none"/>
        </w:rPr>
        <w:t>评审标准</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_Toc15498 \h </w:instrText>
      </w:r>
      <w:r>
        <w:rPr>
          <w:b w:val="0"/>
          <w:bCs/>
          <w:i w:val="0"/>
          <w:iCs w:val="0"/>
          <w:highlight w:val="none"/>
        </w:rPr>
        <w:fldChar w:fldCharType="separate"/>
      </w:r>
      <w:r>
        <w:rPr>
          <w:b w:val="0"/>
          <w:bCs/>
          <w:i w:val="0"/>
          <w:iCs w:val="0"/>
          <w:highlight w:val="none"/>
        </w:rPr>
        <w:t>27</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33F05805">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_Toc5177 </w:instrText>
      </w:r>
      <w:r>
        <w:rPr>
          <w:rFonts w:hint="eastAsia" w:ascii="宋体" w:hAnsi="宋体" w:eastAsia="宋体" w:cs="宋体"/>
          <w:b w:val="0"/>
          <w:bCs/>
          <w:i w:val="0"/>
          <w:iCs w:val="0"/>
          <w:szCs w:val="24"/>
          <w:highlight w:val="none"/>
        </w:rPr>
        <w:fldChar w:fldCharType="separate"/>
      </w:r>
      <w:r>
        <w:rPr>
          <w:rFonts w:ascii="宋体" w:hAnsi="宋体" w:cs="宋体"/>
          <w:b w:val="0"/>
          <w:bCs/>
          <w:i w:val="0"/>
          <w:iCs w:val="0"/>
          <w:szCs w:val="24"/>
          <w:highlight w:val="none"/>
        </w:rPr>
        <w:t>3.</w:t>
      </w:r>
      <w:r>
        <w:rPr>
          <w:rFonts w:hint="eastAsia" w:ascii="宋体" w:hAnsi="宋体" w:cs="宋体"/>
          <w:b w:val="0"/>
          <w:bCs/>
          <w:i w:val="0"/>
          <w:iCs w:val="0"/>
          <w:szCs w:val="24"/>
          <w:highlight w:val="none"/>
        </w:rPr>
        <w:t>评标程序</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_Toc5177 \h </w:instrText>
      </w:r>
      <w:r>
        <w:rPr>
          <w:b w:val="0"/>
          <w:bCs/>
          <w:i w:val="0"/>
          <w:iCs w:val="0"/>
          <w:highlight w:val="none"/>
        </w:rPr>
        <w:fldChar w:fldCharType="separate"/>
      </w:r>
      <w:r>
        <w:rPr>
          <w:b w:val="0"/>
          <w:bCs/>
          <w:i w:val="0"/>
          <w:iCs w:val="0"/>
          <w:highlight w:val="none"/>
        </w:rPr>
        <w:t>27</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467976DD">
      <w:pPr>
        <w:pStyle w:val="17"/>
        <w:tabs>
          <w:tab w:val="right" w:leader="dot" w:pos="9637"/>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_Toc2980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44"/>
          <w:highlight w:val="none"/>
        </w:rPr>
        <w:t>第五章</w:t>
      </w:r>
      <w:r>
        <w:rPr>
          <w:rFonts w:ascii="宋体" w:hAnsi="宋体" w:cs="宋体"/>
          <w:b w:val="0"/>
          <w:bCs/>
          <w:i w:val="0"/>
          <w:iCs w:val="0"/>
          <w:szCs w:val="44"/>
          <w:highlight w:val="none"/>
        </w:rPr>
        <w:t xml:space="preserve">  </w:t>
      </w:r>
      <w:r>
        <w:rPr>
          <w:rFonts w:hint="eastAsia" w:ascii="宋体" w:hAnsi="宋体" w:cs="宋体"/>
          <w:b w:val="0"/>
          <w:bCs/>
          <w:i w:val="0"/>
          <w:iCs w:val="0"/>
          <w:szCs w:val="44"/>
          <w:highlight w:val="none"/>
        </w:rPr>
        <w:t>合同条款及格式</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_Toc2980 \h </w:instrText>
      </w:r>
      <w:r>
        <w:rPr>
          <w:b w:val="0"/>
          <w:bCs/>
          <w:i w:val="0"/>
          <w:iCs w:val="0"/>
          <w:highlight w:val="none"/>
        </w:rPr>
        <w:fldChar w:fldCharType="separate"/>
      </w:r>
      <w:r>
        <w:rPr>
          <w:b w:val="0"/>
          <w:bCs/>
          <w:i w:val="0"/>
          <w:iCs w:val="0"/>
          <w:highlight w:val="none"/>
        </w:rPr>
        <w:t>31</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3774FBE0">
      <w:pPr>
        <w:pStyle w:val="17"/>
        <w:tabs>
          <w:tab w:val="right" w:leader="dot" w:pos="9637"/>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_Toc14575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44"/>
          <w:highlight w:val="none"/>
        </w:rPr>
        <w:t>第六章</w:t>
      </w:r>
      <w:r>
        <w:rPr>
          <w:rFonts w:ascii="宋体" w:hAnsi="宋体" w:cs="宋体"/>
          <w:b w:val="0"/>
          <w:bCs/>
          <w:i w:val="0"/>
          <w:iCs w:val="0"/>
          <w:szCs w:val="44"/>
          <w:highlight w:val="none"/>
        </w:rPr>
        <w:t xml:space="preserve">  </w:t>
      </w:r>
      <w:r>
        <w:rPr>
          <w:rFonts w:hint="eastAsia" w:ascii="宋体" w:hAnsi="宋体" w:cs="宋体"/>
          <w:b w:val="0"/>
          <w:bCs/>
          <w:i w:val="0"/>
          <w:iCs w:val="0"/>
          <w:szCs w:val="44"/>
          <w:highlight w:val="none"/>
        </w:rPr>
        <w:t>采购人需求</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_Toc14575 \h </w:instrText>
      </w:r>
      <w:r>
        <w:rPr>
          <w:b w:val="0"/>
          <w:bCs/>
          <w:i w:val="0"/>
          <w:iCs w:val="0"/>
          <w:highlight w:val="none"/>
        </w:rPr>
        <w:fldChar w:fldCharType="separate"/>
      </w:r>
      <w:r>
        <w:rPr>
          <w:b w:val="0"/>
          <w:bCs/>
          <w:i w:val="0"/>
          <w:iCs w:val="0"/>
          <w:highlight w:val="none"/>
        </w:rPr>
        <w:t>35</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74CE254F">
      <w:pPr>
        <w:pStyle w:val="17"/>
        <w:tabs>
          <w:tab w:val="right" w:leader="dot" w:pos="9637"/>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_Toc10880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44"/>
          <w:highlight w:val="none"/>
        </w:rPr>
        <w:t>第七章</w:t>
      </w:r>
      <w:r>
        <w:rPr>
          <w:rFonts w:ascii="宋体" w:hAnsi="宋体" w:cs="宋体"/>
          <w:b w:val="0"/>
          <w:bCs/>
          <w:i w:val="0"/>
          <w:iCs w:val="0"/>
          <w:szCs w:val="44"/>
          <w:highlight w:val="none"/>
        </w:rPr>
        <w:t xml:space="preserve">  </w:t>
      </w:r>
      <w:r>
        <w:rPr>
          <w:rFonts w:hint="eastAsia" w:ascii="宋体" w:hAnsi="宋体" w:cs="宋体"/>
          <w:b w:val="0"/>
          <w:bCs/>
          <w:i w:val="0"/>
          <w:iCs w:val="0"/>
          <w:szCs w:val="44"/>
          <w:highlight w:val="none"/>
        </w:rPr>
        <w:t>投标文件格式</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_Toc10880 \h </w:instrText>
      </w:r>
      <w:r>
        <w:rPr>
          <w:b w:val="0"/>
          <w:bCs/>
          <w:i w:val="0"/>
          <w:iCs w:val="0"/>
          <w:highlight w:val="none"/>
        </w:rPr>
        <w:fldChar w:fldCharType="separate"/>
      </w:r>
      <w:r>
        <w:rPr>
          <w:b w:val="0"/>
          <w:bCs/>
          <w:i w:val="0"/>
          <w:iCs w:val="0"/>
          <w:highlight w:val="none"/>
        </w:rPr>
        <w:t>41</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174AD377">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_Toc32466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24"/>
          <w:highlight w:val="none"/>
        </w:rPr>
        <w:t>一、投标函及投标函附录</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_Toc32466 \h </w:instrText>
      </w:r>
      <w:r>
        <w:rPr>
          <w:b w:val="0"/>
          <w:bCs/>
          <w:i w:val="0"/>
          <w:iCs w:val="0"/>
          <w:highlight w:val="none"/>
        </w:rPr>
        <w:fldChar w:fldCharType="separate"/>
      </w:r>
      <w:r>
        <w:rPr>
          <w:b w:val="0"/>
          <w:bCs/>
          <w:i w:val="0"/>
          <w:iCs w:val="0"/>
          <w:highlight w:val="none"/>
        </w:rPr>
        <w:t>44</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598F5598">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_Toc20431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24"/>
          <w:highlight w:val="none"/>
        </w:rPr>
        <w:t>二、法定代表人（单位负责人）身份证明</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_Toc20431 \h </w:instrText>
      </w:r>
      <w:r>
        <w:rPr>
          <w:b w:val="0"/>
          <w:bCs/>
          <w:i w:val="0"/>
          <w:iCs w:val="0"/>
          <w:highlight w:val="none"/>
        </w:rPr>
        <w:fldChar w:fldCharType="separate"/>
      </w:r>
      <w:r>
        <w:rPr>
          <w:b w:val="0"/>
          <w:bCs/>
          <w:i w:val="0"/>
          <w:iCs w:val="0"/>
          <w:highlight w:val="none"/>
        </w:rPr>
        <w:t>46</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1C907C7E">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_Toc31854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24"/>
          <w:highlight w:val="none"/>
        </w:rPr>
        <w:t>三、授权委托书</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_Toc31854 \h </w:instrText>
      </w:r>
      <w:r>
        <w:rPr>
          <w:b w:val="0"/>
          <w:bCs/>
          <w:i w:val="0"/>
          <w:iCs w:val="0"/>
          <w:highlight w:val="none"/>
        </w:rPr>
        <w:fldChar w:fldCharType="separate"/>
      </w:r>
      <w:r>
        <w:rPr>
          <w:b w:val="0"/>
          <w:bCs/>
          <w:i w:val="0"/>
          <w:iCs w:val="0"/>
          <w:highlight w:val="none"/>
        </w:rPr>
        <w:t>47</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19B15CAD">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_Toc15233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24"/>
          <w:highlight w:val="none"/>
          <w:lang w:val="en-US" w:eastAsia="zh-CN"/>
        </w:rPr>
        <w:t>四</w:t>
      </w:r>
      <w:r>
        <w:rPr>
          <w:rFonts w:hint="eastAsia" w:ascii="宋体" w:hAnsi="宋体" w:eastAsia="宋体" w:cs="宋体"/>
          <w:b w:val="0"/>
          <w:bCs/>
          <w:i w:val="0"/>
          <w:iCs w:val="0"/>
          <w:szCs w:val="24"/>
          <w:highlight w:val="none"/>
        </w:rPr>
        <w:t>、</w:t>
      </w:r>
      <w:r>
        <w:rPr>
          <w:rFonts w:hint="eastAsia" w:ascii="宋体" w:hAnsi="宋体" w:eastAsia="宋体" w:cs="宋体"/>
          <w:b w:val="0"/>
          <w:bCs/>
          <w:i w:val="0"/>
          <w:iCs w:val="0"/>
          <w:szCs w:val="24"/>
          <w:highlight w:val="none"/>
          <w:lang w:val="en-US" w:eastAsia="zh-CN"/>
        </w:rPr>
        <w:t>商务、技术偏离表</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_Toc15233 \h </w:instrText>
      </w:r>
      <w:r>
        <w:rPr>
          <w:b w:val="0"/>
          <w:bCs/>
          <w:i w:val="0"/>
          <w:iCs w:val="0"/>
          <w:highlight w:val="none"/>
        </w:rPr>
        <w:fldChar w:fldCharType="separate"/>
      </w:r>
      <w:r>
        <w:rPr>
          <w:b w:val="0"/>
          <w:bCs/>
          <w:i w:val="0"/>
          <w:iCs w:val="0"/>
          <w:highlight w:val="none"/>
        </w:rPr>
        <w:t>48</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49FBE5C4">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_Toc22666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24"/>
          <w:highlight w:val="none"/>
          <w:lang w:val="en-US" w:eastAsia="zh-CN"/>
        </w:rPr>
        <w:t>五</w:t>
      </w:r>
      <w:r>
        <w:rPr>
          <w:rFonts w:hint="eastAsia" w:ascii="宋体" w:hAnsi="宋体" w:cs="宋体"/>
          <w:b w:val="0"/>
          <w:bCs/>
          <w:i w:val="0"/>
          <w:iCs w:val="0"/>
          <w:szCs w:val="24"/>
          <w:highlight w:val="none"/>
        </w:rPr>
        <w:t>、资格审查资料</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_Toc22666 \h </w:instrText>
      </w:r>
      <w:r>
        <w:rPr>
          <w:b w:val="0"/>
          <w:bCs/>
          <w:i w:val="0"/>
          <w:iCs w:val="0"/>
          <w:highlight w:val="none"/>
        </w:rPr>
        <w:fldChar w:fldCharType="separate"/>
      </w:r>
      <w:r>
        <w:rPr>
          <w:b w:val="0"/>
          <w:bCs/>
          <w:i w:val="0"/>
          <w:iCs w:val="0"/>
          <w:highlight w:val="none"/>
        </w:rPr>
        <w:t>50</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605F6F33">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_Toc19474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szCs w:val="24"/>
          <w:highlight w:val="none"/>
          <w:lang w:val="en-US" w:eastAsia="zh-CN"/>
        </w:rPr>
        <w:t>六</w:t>
      </w:r>
      <w:r>
        <w:rPr>
          <w:rFonts w:hint="eastAsia" w:ascii="宋体" w:hAnsi="宋体" w:eastAsia="宋体" w:cs="宋体"/>
          <w:b w:val="0"/>
          <w:bCs/>
          <w:i w:val="0"/>
          <w:iCs w:val="0"/>
          <w:szCs w:val="24"/>
          <w:highlight w:val="none"/>
        </w:rPr>
        <w:t>、技术</w:t>
      </w:r>
      <w:r>
        <w:rPr>
          <w:rFonts w:hint="eastAsia" w:ascii="宋体" w:hAnsi="宋体" w:cs="宋体"/>
          <w:b w:val="0"/>
          <w:bCs/>
          <w:i w:val="0"/>
          <w:iCs w:val="0"/>
          <w:szCs w:val="24"/>
          <w:highlight w:val="none"/>
          <w:lang w:val="en-US" w:eastAsia="zh-CN"/>
        </w:rPr>
        <w:t>部分</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_Toc19474 \h </w:instrText>
      </w:r>
      <w:r>
        <w:rPr>
          <w:b w:val="0"/>
          <w:bCs/>
          <w:i w:val="0"/>
          <w:iCs w:val="0"/>
          <w:highlight w:val="none"/>
        </w:rPr>
        <w:fldChar w:fldCharType="separate"/>
      </w:r>
      <w:r>
        <w:rPr>
          <w:b w:val="0"/>
          <w:bCs/>
          <w:i w:val="0"/>
          <w:iCs w:val="0"/>
          <w:highlight w:val="none"/>
        </w:rPr>
        <w:t>53</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2ED13370">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_Toc27729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kern w:val="0"/>
          <w:szCs w:val="24"/>
          <w:highlight w:val="none"/>
          <w:lang w:val="en-US" w:eastAsia="zh-CN"/>
        </w:rPr>
        <w:t>七</w:t>
      </w:r>
      <w:r>
        <w:rPr>
          <w:rFonts w:hint="eastAsia" w:ascii="宋体" w:hAnsi="宋体" w:cs="宋体"/>
          <w:b w:val="0"/>
          <w:bCs/>
          <w:i w:val="0"/>
          <w:iCs w:val="0"/>
          <w:kern w:val="0"/>
          <w:szCs w:val="24"/>
          <w:highlight w:val="none"/>
        </w:rPr>
        <w:t>、</w:t>
      </w:r>
      <w:r>
        <w:rPr>
          <w:rFonts w:hint="eastAsia" w:ascii="宋体" w:hAnsi="宋体" w:cs="宋体"/>
          <w:b w:val="0"/>
          <w:bCs/>
          <w:i w:val="0"/>
          <w:iCs w:val="0"/>
          <w:kern w:val="0"/>
          <w:szCs w:val="24"/>
          <w:highlight w:val="none"/>
          <w:lang w:val="en-US" w:eastAsia="zh-CN"/>
        </w:rPr>
        <w:t>商务部分</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_Toc27729 \h </w:instrText>
      </w:r>
      <w:r>
        <w:rPr>
          <w:b w:val="0"/>
          <w:bCs/>
          <w:i w:val="0"/>
          <w:iCs w:val="0"/>
          <w:highlight w:val="none"/>
        </w:rPr>
        <w:fldChar w:fldCharType="separate"/>
      </w:r>
      <w:r>
        <w:rPr>
          <w:b w:val="0"/>
          <w:bCs/>
          <w:i w:val="0"/>
          <w:iCs w:val="0"/>
          <w:highlight w:val="none"/>
        </w:rPr>
        <w:t>54</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532A58ED">
      <w:pPr>
        <w:pStyle w:val="18"/>
        <w:tabs>
          <w:tab w:val="right" w:leader="dot" w:pos="9637"/>
          <w:tab w:val="clear" w:pos="630"/>
          <w:tab w:val="clear" w:pos="8890"/>
        </w:tabs>
        <w:rPr>
          <w:b w:val="0"/>
          <w:bCs/>
          <w:i w:val="0"/>
          <w:iCs w:val="0"/>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_Toc5654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kern w:val="0"/>
          <w:szCs w:val="24"/>
          <w:highlight w:val="none"/>
          <w:lang w:val="en-US" w:eastAsia="zh-CN"/>
        </w:rPr>
        <w:t>八</w:t>
      </w:r>
      <w:r>
        <w:rPr>
          <w:rFonts w:hint="eastAsia" w:ascii="宋体" w:hAnsi="宋体" w:cs="宋体"/>
          <w:b w:val="0"/>
          <w:bCs/>
          <w:i w:val="0"/>
          <w:iCs w:val="0"/>
          <w:kern w:val="0"/>
          <w:szCs w:val="24"/>
          <w:highlight w:val="none"/>
        </w:rPr>
        <w:t>、</w:t>
      </w:r>
      <w:r>
        <w:rPr>
          <w:rFonts w:hint="eastAsia" w:ascii="宋体" w:hAnsi="宋体" w:cs="宋体"/>
          <w:b w:val="0"/>
          <w:bCs/>
          <w:i w:val="0"/>
          <w:iCs w:val="0"/>
          <w:kern w:val="0"/>
          <w:szCs w:val="24"/>
          <w:highlight w:val="none"/>
          <w:lang w:val="en-US" w:eastAsia="zh-CN"/>
        </w:rPr>
        <w:t>声明函</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_Toc5654 \h </w:instrText>
      </w:r>
      <w:r>
        <w:rPr>
          <w:b w:val="0"/>
          <w:bCs/>
          <w:i w:val="0"/>
          <w:iCs w:val="0"/>
          <w:highlight w:val="none"/>
        </w:rPr>
        <w:fldChar w:fldCharType="separate"/>
      </w:r>
      <w:r>
        <w:rPr>
          <w:b w:val="0"/>
          <w:bCs/>
          <w:i w:val="0"/>
          <w:iCs w:val="0"/>
          <w:highlight w:val="none"/>
        </w:rPr>
        <w:t>55</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4E916F9A">
      <w:pPr>
        <w:pStyle w:val="18"/>
        <w:tabs>
          <w:tab w:val="right" w:leader="dot" w:pos="9637"/>
          <w:tab w:val="clear" w:pos="630"/>
          <w:tab w:val="clear" w:pos="8890"/>
        </w:tabs>
        <w:rPr>
          <w:highlight w:val="none"/>
        </w:rPr>
      </w:pPr>
      <w:r>
        <w:rPr>
          <w:rFonts w:hint="eastAsia" w:ascii="宋体" w:hAnsi="宋体" w:eastAsia="宋体" w:cs="宋体"/>
          <w:b w:val="0"/>
          <w:bCs/>
          <w:i w:val="0"/>
          <w:iCs w:val="0"/>
          <w:color w:val="auto"/>
          <w:szCs w:val="24"/>
          <w:highlight w:val="none"/>
        </w:rPr>
        <w:fldChar w:fldCharType="begin"/>
      </w:r>
      <w:r>
        <w:rPr>
          <w:rFonts w:hint="eastAsia" w:ascii="宋体" w:hAnsi="宋体" w:eastAsia="宋体" w:cs="宋体"/>
          <w:b w:val="0"/>
          <w:bCs/>
          <w:i w:val="0"/>
          <w:iCs w:val="0"/>
          <w:szCs w:val="24"/>
          <w:highlight w:val="none"/>
        </w:rPr>
        <w:instrText xml:space="preserve"> HYPERLINK \l _Toc19066 </w:instrText>
      </w:r>
      <w:r>
        <w:rPr>
          <w:rFonts w:hint="eastAsia" w:ascii="宋体" w:hAnsi="宋体" w:eastAsia="宋体" w:cs="宋体"/>
          <w:b w:val="0"/>
          <w:bCs/>
          <w:i w:val="0"/>
          <w:iCs w:val="0"/>
          <w:szCs w:val="24"/>
          <w:highlight w:val="none"/>
        </w:rPr>
        <w:fldChar w:fldCharType="separate"/>
      </w:r>
      <w:r>
        <w:rPr>
          <w:rFonts w:hint="eastAsia" w:ascii="宋体" w:hAnsi="宋体" w:cs="宋体"/>
          <w:b w:val="0"/>
          <w:bCs/>
          <w:i w:val="0"/>
          <w:iCs w:val="0"/>
          <w:kern w:val="0"/>
          <w:szCs w:val="24"/>
          <w:highlight w:val="none"/>
          <w:lang w:val="en-US" w:eastAsia="zh-CN"/>
        </w:rPr>
        <w:t>九</w:t>
      </w:r>
      <w:r>
        <w:rPr>
          <w:rFonts w:hint="eastAsia" w:ascii="宋体" w:hAnsi="宋体" w:cs="宋体"/>
          <w:b w:val="0"/>
          <w:bCs/>
          <w:i w:val="0"/>
          <w:iCs w:val="0"/>
          <w:kern w:val="0"/>
          <w:szCs w:val="24"/>
          <w:highlight w:val="none"/>
        </w:rPr>
        <w:t>、其他资料</w:t>
      </w:r>
      <w:r>
        <w:rPr>
          <w:b w:val="0"/>
          <w:bCs/>
          <w:i w:val="0"/>
          <w:iCs w:val="0"/>
          <w:highlight w:val="none"/>
        </w:rPr>
        <w:tab/>
      </w:r>
      <w:r>
        <w:rPr>
          <w:b w:val="0"/>
          <w:bCs/>
          <w:i w:val="0"/>
          <w:iCs w:val="0"/>
          <w:highlight w:val="none"/>
        </w:rPr>
        <w:fldChar w:fldCharType="begin"/>
      </w:r>
      <w:r>
        <w:rPr>
          <w:b w:val="0"/>
          <w:bCs/>
          <w:i w:val="0"/>
          <w:iCs w:val="0"/>
          <w:highlight w:val="none"/>
        </w:rPr>
        <w:instrText xml:space="preserve"> PAGEREF _Toc19066 \h </w:instrText>
      </w:r>
      <w:r>
        <w:rPr>
          <w:b w:val="0"/>
          <w:bCs/>
          <w:i w:val="0"/>
          <w:iCs w:val="0"/>
          <w:highlight w:val="none"/>
        </w:rPr>
        <w:fldChar w:fldCharType="separate"/>
      </w:r>
      <w:r>
        <w:rPr>
          <w:b w:val="0"/>
          <w:bCs/>
          <w:i w:val="0"/>
          <w:iCs w:val="0"/>
          <w:highlight w:val="none"/>
        </w:rPr>
        <w:t>58</w:t>
      </w:r>
      <w:r>
        <w:rPr>
          <w:b w:val="0"/>
          <w:bCs/>
          <w:i w:val="0"/>
          <w:iCs w:val="0"/>
          <w:highlight w:val="none"/>
        </w:rPr>
        <w:fldChar w:fldCharType="end"/>
      </w:r>
      <w:r>
        <w:rPr>
          <w:rFonts w:hint="eastAsia" w:ascii="宋体" w:hAnsi="宋体" w:eastAsia="宋体" w:cs="宋体"/>
          <w:b w:val="0"/>
          <w:bCs/>
          <w:i w:val="0"/>
          <w:iCs w:val="0"/>
          <w:color w:val="auto"/>
          <w:szCs w:val="24"/>
          <w:highlight w:val="none"/>
        </w:rPr>
        <w:fldChar w:fldCharType="end"/>
      </w:r>
    </w:p>
    <w:p w14:paraId="05F8647C">
      <w:pPr>
        <w:spacing w:line="360" w:lineRule="auto"/>
        <w:ind w:firstLine="420" w:firstLineChars="200"/>
        <w:jc w:val="center"/>
        <w:rPr>
          <w:rFonts w:hint="eastAsia" w:ascii="宋体" w:hAnsi="宋体" w:eastAsia="宋体" w:cs="宋体"/>
          <w:color w:val="auto"/>
          <w:sz w:val="24"/>
          <w:szCs w:val="24"/>
          <w:highlight w:val="none"/>
        </w:rPr>
      </w:pPr>
      <w:r>
        <w:rPr>
          <w:rFonts w:hint="eastAsia" w:ascii="宋体" w:hAnsi="宋体" w:eastAsia="宋体" w:cs="宋体"/>
          <w:bCs/>
          <w:i w:val="0"/>
          <w:iCs w:val="0"/>
          <w:color w:val="auto"/>
          <w:szCs w:val="24"/>
          <w:highlight w:val="none"/>
        </w:rPr>
        <w:fldChar w:fldCharType="end"/>
      </w:r>
    </w:p>
    <w:p w14:paraId="143D2496">
      <w:pPr>
        <w:spacing w:line="360" w:lineRule="auto"/>
        <w:rPr>
          <w:rFonts w:hint="eastAsia" w:ascii="宋体" w:hAnsi="宋体" w:cs="宋体"/>
          <w:color w:val="auto"/>
          <w:sz w:val="24"/>
          <w:szCs w:val="24"/>
          <w:highlight w:val="none"/>
        </w:rPr>
      </w:pPr>
    </w:p>
    <w:p w14:paraId="638AFEF6">
      <w:pPr>
        <w:spacing w:line="360" w:lineRule="auto"/>
        <w:rPr>
          <w:rFonts w:hint="eastAsia" w:ascii="宋体" w:hAnsi="宋体" w:cs="宋体"/>
          <w:color w:val="auto"/>
          <w:sz w:val="24"/>
          <w:szCs w:val="24"/>
          <w:highlight w:val="none"/>
        </w:rPr>
      </w:pPr>
    </w:p>
    <w:p w14:paraId="481A2509">
      <w:pPr>
        <w:spacing w:line="360" w:lineRule="auto"/>
        <w:rPr>
          <w:rFonts w:hint="eastAsia" w:ascii="宋体" w:hAnsi="宋体" w:cs="宋体"/>
          <w:color w:val="auto"/>
          <w:sz w:val="24"/>
          <w:szCs w:val="24"/>
          <w:highlight w:val="none"/>
        </w:rPr>
      </w:pPr>
    </w:p>
    <w:p w14:paraId="7694643E">
      <w:pPr>
        <w:spacing w:line="360" w:lineRule="auto"/>
        <w:rPr>
          <w:rFonts w:hint="eastAsia" w:ascii="宋体" w:hAnsi="宋体" w:cs="宋体"/>
          <w:color w:val="auto"/>
          <w:sz w:val="24"/>
          <w:szCs w:val="24"/>
          <w:highlight w:val="none"/>
        </w:rPr>
      </w:pPr>
    </w:p>
    <w:p w14:paraId="1A6DF8C5">
      <w:pPr>
        <w:pStyle w:val="49"/>
        <w:rPr>
          <w:rFonts w:hint="eastAsia"/>
          <w:color w:val="auto"/>
          <w:highlight w:val="none"/>
        </w:rPr>
      </w:pPr>
    </w:p>
    <w:p w14:paraId="7E2226CC">
      <w:pPr>
        <w:pStyle w:val="49"/>
        <w:rPr>
          <w:rFonts w:hint="eastAsia"/>
          <w:color w:val="auto"/>
          <w:highlight w:val="none"/>
        </w:rPr>
      </w:pPr>
    </w:p>
    <w:p w14:paraId="485C9945">
      <w:pPr>
        <w:pStyle w:val="49"/>
        <w:rPr>
          <w:rFonts w:hint="eastAsia"/>
          <w:color w:val="auto"/>
          <w:highlight w:val="none"/>
        </w:rPr>
      </w:pPr>
    </w:p>
    <w:p w14:paraId="53600E5E">
      <w:pPr>
        <w:pStyle w:val="49"/>
        <w:rPr>
          <w:rFonts w:hint="eastAsia"/>
          <w:color w:val="auto"/>
          <w:highlight w:val="none"/>
        </w:rPr>
      </w:pPr>
    </w:p>
    <w:p w14:paraId="3CCBE9B0">
      <w:pPr>
        <w:rPr>
          <w:rFonts w:hint="eastAsia"/>
          <w:color w:val="auto"/>
          <w:highlight w:val="none"/>
        </w:rPr>
      </w:pPr>
    </w:p>
    <w:p w14:paraId="0E966F42">
      <w:pPr>
        <w:rPr>
          <w:rFonts w:hint="eastAsia"/>
          <w:color w:val="auto"/>
          <w:highlight w:val="none"/>
        </w:rPr>
      </w:pPr>
    </w:p>
    <w:p w14:paraId="5C0C5D94">
      <w:pPr>
        <w:rPr>
          <w:rFonts w:hint="eastAsia"/>
          <w:color w:val="auto"/>
          <w:highlight w:val="none"/>
        </w:rPr>
      </w:pPr>
    </w:p>
    <w:p w14:paraId="7194D358">
      <w:pPr>
        <w:rPr>
          <w:rFonts w:hint="eastAsia"/>
          <w:color w:val="auto"/>
          <w:highlight w:val="none"/>
        </w:rPr>
      </w:pPr>
    </w:p>
    <w:p w14:paraId="619EC97A">
      <w:pPr>
        <w:rPr>
          <w:rFonts w:hint="eastAsia"/>
          <w:color w:val="auto"/>
          <w:highlight w:val="none"/>
        </w:rPr>
      </w:pPr>
    </w:p>
    <w:p w14:paraId="47A0DAC8">
      <w:pPr>
        <w:pStyle w:val="2"/>
        <w:numPr>
          <w:ilvl w:val="0"/>
          <w:numId w:val="3"/>
        </w:numPr>
        <w:spacing w:line="360" w:lineRule="auto"/>
        <w:jc w:val="center"/>
        <w:rPr>
          <w:rFonts w:hint="eastAsia" w:ascii="宋体" w:hAnsi="宋体" w:cs="宋体"/>
          <w:color w:val="auto"/>
          <w:szCs w:val="44"/>
          <w:highlight w:val="none"/>
        </w:rPr>
      </w:pPr>
      <w:bookmarkStart w:id="1" w:name="_Toc16700"/>
      <w:r>
        <w:rPr>
          <w:rFonts w:hint="eastAsia" w:ascii="宋体" w:hAnsi="宋体" w:cs="宋体"/>
          <w:color w:val="auto"/>
          <w:szCs w:val="44"/>
          <w:highlight w:val="none"/>
        </w:rPr>
        <w:t xml:space="preserve">  </w:t>
      </w:r>
      <w:bookmarkStart w:id="2" w:name="_Toc18576"/>
      <w:bookmarkStart w:id="3" w:name="_Toc11026"/>
      <w:bookmarkStart w:id="4" w:name="_Toc10663"/>
      <w:bookmarkStart w:id="5" w:name="_Toc3854"/>
      <w:bookmarkStart w:id="6" w:name="_Toc10721"/>
      <w:bookmarkStart w:id="7" w:name="_Toc27002"/>
      <w:bookmarkStart w:id="8" w:name="_Toc8788"/>
      <w:bookmarkStart w:id="9" w:name="_Toc10487"/>
      <w:r>
        <w:rPr>
          <w:rFonts w:hint="eastAsia" w:ascii="宋体" w:hAnsi="宋体" w:cs="宋体"/>
          <w:color w:val="auto"/>
          <w:szCs w:val="44"/>
          <w:highlight w:val="none"/>
        </w:rPr>
        <w:t>招标公告</w:t>
      </w:r>
      <w:bookmarkEnd w:id="1"/>
      <w:bookmarkEnd w:id="2"/>
      <w:bookmarkEnd w:id="3"/>
      <w:bookmarkEnd w:id="4"/>
      <w:bookmarkEnd w:id="5"/>
      <w:bookmarkEnd w:id="6"/>
      <w:bookmarkEnd w:id="7"/>
      <w:bookmarkEnd w:id="8"/>
      <w:bookmarkEnd w:id="9"/>
    </w:p>
    <w:p w14:paraId="7D7D513B">
      <w:pPr>
        <w:spacing w:line="360" w:lineRule="auto"/>
        <w:jc w:val="center"/>
        <w:rPr>
          <w:rFonts w:hint="eastAsia" w:ascii="宋体" w:hAnsi="宋体" w:cs="宋体"/>
          <w:color w:val="auto"/>
          <w:sz w:val="24"/>
          <w:szCs w:val="24"/>
          <w:highlight w:val="none"/>
        </w:rPr>
      </w:pPr>
    </w:p>
    <w:p w14:paraId="051F795B">
      <w:pPr>
        <w:pStyle w:val="9"/>
        <w:rPr>
          <w:rFonts w:hint="eastAsia"/>
          <w:color w:val="auto"/>
          <w:highlight w:val="none"/>
        </w:rPr>
        <w:sectPr>
          <w:headerReference r:id="rId3" w:type="default"/>
          <w:footerReference r:id="rId4" w:type="default"/>
          <w:pgSz w:w="11905" w:h="16838"/>
          <w:pgMar w:top="1134" w:right="1134" w:bottom="1134" w:left="1134" w:header="850" w:footer="992" w:gutter="0"/>
          <w:cols w:space="0" w:num="1"/>
          <w:docGrid w:type="lines" w:linePitch="317" w:charSpace="0"/>
        </w:sectPr>
      </w:pPr>
    </w:p>
    <w:p w14:paraId="303B2AD3">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河南省周口监狱通讯网络平台项目-</w:t>
      </w:r>
      <w:r>
        <w:rPr>
          <w:rFonts w:hint="eastAsia" w:ascii="宋体" w:hAnsi="宋体" w:cs="宋体"/>
          <w:b/>
          <w:color w:val="auto"/>
          <w:sz w:val="28"/>
          <w:szCs w:val="28"/>
          <w:highlight w:val="none"/>
        </w:rPr>
        <w:t>公开招标公告</w:t>
      </w:r>
    </w:p>
    <w:p w14:paraId="368BFB24">
      <w:pPr>
        <w:adjustRightInd w:val="0"/>
        <w:spacing w:line="360" w:lineRule="auto"/>
        <w:ind w:firstLine="0" w:firstLineChars="0"/>
        <w:rPr>
          <w:rFonts w:hint="eastAsia" w:ascii="宋体" w:hAnsi="宋体" w:cs="宋体"/>
          <w:b/>
          <w:bCs/>
          <w:color w:val="auto"/>
          <w:kern w:val="10"/>
          <w:sz w:val="24"/>
          <w:szCs w:val="24"/>
          <w:highlight w:val="none"/>
        </w:rPr>
      </w:pPr>
      <w:r>
        <w:rPr>
          <w:rFonts w:hint="eastAsia" w:ascii="宋体" w:hAnsi="宋体" w:cs="宋体"/>
          <w:b/>
          <w:bCs/>
          <w:color w:val="auto"/>
          <w:kern w:val="10"/>
          <w:sz w:val="24"/>
          <w:szCs w:val="24"/>
          <w:highlight w:val="none"/>
        </w:rPr>
        <w:t>项目概况</w:t>
      </w:r>
    </w:p>
    <w:p w14:paraId="43D700E9">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lang w:val="en-US" w:eastAsia="zh-CN"/>
        </w:rPr>
        <w:t>河南省周口监狱通讯网络平台项目</w:t>
      </w:r>
      <w:r>
        <w:rPr>
          <w:rFonts w:hint="eastAsia" w:ascii="宋体" w:hAnsi="宋体" w:cs="宋体"/>
          <w:b w:val="0"/>
          <w:bCs w:val="0"/>
          <w:color w:val="auto"/>
          <w:kern w:val="10"/>
          <w:sz w:val="24"/>
          <w:szCs w:val="24"/>
          <w:highlight w:val="none"/>
          <w:lang w:eastAsia="zh-CN"/>
        </w:rPr>
        <w:t>的潜在投标人应在“河南省公共资源交易中心网站（https://hnsggzyjy.henan.gov.cn/） ”获取招标文件，并于202</w:t>
      </w:r>
      <w:r>
        <w:rPr>
          <w:rFonts w:hint="eastAsia" w:ascii="宋体" w:hAnsi="宋体" w:cs="宋体"/>
          <w:b w:val="0"/>
          <w:bCs w:val="0"/>
          <w:color w:val="auto"/>
          <w:kern w:val="10"/>
          <w:sz w:val="24"/>
          <w:szCs w:val="24"/>
          <w:highlight w:val="none"/>
          <w:lang w:val="en-US" w:eastAsia="zh-CN"/>
        </w:rPr>
        <w:t>6</w:t>
      </w:r>
      <w:r>
        <w:rPr>
          <w:rFonts w:hint="eastAsia" w:ascii="宋体" w:hAnsi="宋体" w:cs="宋体"/>
          <w:b w:val="0"/>
          <w:bCs w:val="0"/>
          <w:color w:val="auto"/>
          <w:kern w:val="10"/>
          <w:sz w:val="24"/>
          <w:szCs w:val="24"/>
          <w:highlight w:val="none"/>
          <w:lang w:eastAsia="zh-CN"/>
        </w:rPr>
        <w:t>年</w:t>
      </w:r>
      <w:r>
        <w:rPr>
          <w:rFonts w:hint="eastAsia" w:ascii="宋体" w:hAnsi="宋体" w:cs="宋体"/>
          <w:b w:val="0"/>
          <w:bCs w:val="0"/>
          <w:color w:val="auto"/>
          <w:kern w:val="10"/>
          <w:sz w:val="24"/>
          <w:szCs w:val="24"/>
          <w:highlight w:val="none"/>
          <w:lang w:val="en-US" w:eastAsia="zh-CN"/>
        </w:rPr>
        <w:t>03</w:t>
      </w:r>
      <w:r>
        <w:rPr>
          <w:rFonts w:hint="eastAsia" w:ascii="宋体" w:hAnsi="宋体" w:cs="宋体"/>
          <w:b w:val="0"/>
          <w:bCs w:val="0"/>
          <w:color w:val="auto"/>
          <w:kern w:val="10"/>
          <w:sz w:val="24"/>
          <w:szCs w:val="24"/>
          <w:highlight w:val="none"/>
          <w:lang w:eastAsia="zh-CN"/>
        </w:rPr>
        <w:t>月</w:t>
      </w:r>
      <w:r>
        <w:rPr>
          <w:rFonts w:hint="eastAsia" w:ascii="宋体" w:hAnsi="宋体" w:cs="宋体"/>
          <w:b w:val="0"/>
          <w:bCs w:val="0"/>
          <w:color w:val="auto"/>
          <w:kern w:val="10"/>
          <w:sz w:val="24"/>
          <w:szCs w:val="24"/>
          <w:highlight w:val="none"/>
          <w:lang w:val="en-US" w:eastAsia="zh-CN"/>
        </w:rPr>
        <w:t>18</w:t>
      </w:r>
      <w:r>
        <w:rPr>
          <w:rFonts w:hint="eastAsia" w:ascii="宋体" w:hAnsi="宋体" w:cs="宋体"/>
          <w:b w:val="0"/>
          <w:bCs w:val="0"/>
          <w:color w:val="auto"/>
          <w:kern w:val="10"/>
          <w:sz w:val="24"/>
          <w:szCs w:val="24"/>
          <w:highlight w:val="none"/>
          <w:lang w:eastAsia="zh-CN"/>
        </w:rPr>
        <w:t>日09时00分（北京时间）前递交投标文件</w:t>
      </w:r>
      <w:r>
        <w:rPr>
          <w:rFonts w:hint="eastAsia" w:ascii="宋体" w:hAnsi="宋体" w:cs="宋体"/>
          <w:b w:val="0"/>
          <w:bCs w:val="0"/>
          <w:color w:val="auto"/>
          <w:kern w:val="10"/>
          <w:sz w:val="24"/>
          <w:szCs w:val="24"/>
          <w:highlight w:val="none"/>
        </w:rPr>
        <w:t>。</w:t>
      </w:r>
    </w:p>
    <w:p w14:paraId="2BBA1282">
      <w:pPr>
        <w:adjustRightInd w:val="0"/>
        <w:spacing w:line="360" w:lineRule="auto"/>
        <w:ind w:firstLine="0" w:firstLineChars="0"/>
        <w:rPr>
          <w:rFonts w:hint="eastAsia" w:ascii="宋体" w:hAnsi="宋体" w:cs="宋体"/>
          <w:b/>
          <w:bCs/>
          <w:color w:val="auto"/>
          <w:kern w:val="10"/>
          <w:sz w:val="24"/>
          <w:szCs w:val="24"/>
          <w:highlight w:val="none"/>
        </w:rPr>
      </w:pPr>
      <w:r>
        <w:rPr>
          <w:rFonts w:hint="eastAsia" w:ascii="宋体" w:hAnsi="宋体" w:cs="宋体"/>
          <w:b/>
          <w:bCs/>
          <w:color w:val="auto"/>
          <w:kern w:val="10"/>
          <w:sz w:val="24"/>
          <w:szCs w:val="24"/>
          <w:highlight w:val="none"/>
        </w:rPr>
        <w:t xml:space="preserve">一、项目基本情况 </w:t>
      </w:r>
    </w:p>
    <w:p w14:paraId="1AB6BA1B">
      <w:pPr>
        <w:adjustRightInd w:val="0"/>
        <w:spacing w:line="360" w:lineRule="auto"/>
        <w:ind w:firstLine="480" w:firstLineChars="200"/>
        <w:rPr>
          <w:rFonts w:hint="default" w:ascii="宋体" w:hAnsi="宋体" w:eastAsia="宋体" w:cs="宋体"/>
          <w:b w:val="0"/>
          <w:bCs w:val="0"/>
          <w:color w:val="auto"/>
          <w:kern w:val="10"/>
          <w:sz w:val="24"/>
          <w:szCs w:val="24"/>
          <w:highlight w:val="none"/>
          <w:lang w:val="en-US"/>
        </w:rPr>
      </w:pPr>
      <w:r>
        <w:rPr>
          <w:rFonts w:hint="eastAsia" w:ascii="宋体" w:hAnsi="宋体" w:eastAsia="宋体" w:cs="宋体"/>
          <w:b w:val="0"/>
          <w:bCs w:val="0"/>
          <w:color w:val="auto"/>
          <w:kern w:val="10"/>
          <w:sz w:val="24"/>
          <w:szCs w:val="24"/>
          <w:highlight w:val="none"/>
        </w:rPr>
        <w:t>1、项目编号：豫财招标采购-2026-129</w:t>
      </w:r>
    </w:p>
    <w:p w14:paraId="3D4CE6A0">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2、项目名称：</w:t>
      </w:r>
      <w:r>
        <w:rPr>
          <w:rFonts w:hint="eastAsia" w:ascii="宋体" w:hAnsi="宋体" w:cs="宋体"/>
          <w:b w:val="0"/>
          <w:bCs w:val="0"/>
          <w:color w:val="auto"/>
          <w:kern w:val="10"/>
          <w:sz w:val="24"/>
          <w:szCs w:val="24"/>
          <w:highlight w:val="none"/>
          <w:lang w:eastAsia="zh-CN"/>
        </w:rPr>
        <w:t>河南省周口监狱通讯网络平台项目</w:t>
      </w:r>
    </w:p>
    <w:p w14:paraId="1C0CE24A">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 xml:space="preserve">3、采购方式：公开招标 </w:t>
      </w:r>
    </w:p>
    <w:p w14:paraId="6BED1CE1">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4、预算金额：</w:t>
      </w:r>
      <w:r>
        <w:rPr>
          <w:rFonts w:hint="eastAsia" w:ascii="宋体" w:hAnsi="宋体" w:cs="宋体"/>
          <w:b w:val="0"/>
          <w:bCs w:val="0"/>
          <w:color w:val="auto"/>
          <w:kern w:val="10"/>
          <w:sz w:val="24"/>
          <w:szCs w:val="24"/>
          <w:highlight w:val="none"/>
          <w:lang w:val="en-US" w:eastAsia="zh-CN"/>
        </w:rPr>
        <w:t>5850000.00</w:t>
      </w:r>
      <w:r>
        <w:rPr>
          <w:rFonts w:hint="eastAsia" w:ascii="宋体" w:hAnsi="宋体" w:cs="宋体"/>
          <w:b w:val="0"/>
          <w:bCs w:val="0"/>
          <w:color w:val="auto"/>
          <w:kern w:val="10"/>
          <w:sz w:val="24"/>
          <w:szCs w:val="24"/>
          <w:highlight w:val="none"/>
        </w:rPr>
        <w:t xml:space="preserve">元 </w:t>
      </w:r>
    </w:p>
    <w:p w14:paraId="28FBED35">
      <w:pPr>
        <w:adjustRightInd w:val="0"/>
        <w:spacing w:line="360" w:lineRule="auto"/>
        <w:ind w:firstLine="720" w:firstLineChars="3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最高限价：</w:t>
      </w:r>
      <w:r>
        <w:rPr>
          <w:rFonts w:hint="eastAsia" w:ascii="宋体" w:hAnsi="宋体" w:cs="宋体"/>
          <w:b w:val="0"/>
          <w:bCs w:val="0"/>
          <w:color w:val="auto"/>
          <w:kern w:val="10"/>
          <w:sz w:val="24"/>
          <w:szCs w:val="24"/>
          <w:highlight w:val="none"/>
          <w:lang w:val="en-US" w:eastAsia="zh-CN"/>
        </w:rPr>
        <w:t>5850000.00</w:t>
      </w:r>
      <w:r>
        <w:rPr>
          <w:rFonts w:hint="eastAsia" w:ascii="宋体" w:hAnsi="宋体" w:cs="宋体"/>
          <w:b w:val="0"/>
          <w:bCs w:val="0"/>
          <w:color w:val="auto"/>
          <w:kern w:val="10"/>
          <w:sz w:val="24"/>
          <w:szCs w:val="24"/>
          <w:highlight w:val="none"/>
        </w:rPr>
        <w:t xml:space="preserve">元  </w:t>
      </w:r>
    </w:p>
    <w:tbl>
      <w:tblPr>
        <w:tblStyle w:val="27"/>
        <w:tblpPr w:leftFromText="180" w:rightFromText="180" w:vertAnchor="text" w:horzAnchor="page" w:tblpX="906" w:tblpY="372"/>
        <w:tblOverlap w:val="never"/>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2210"/>
        <w:gridCol w:w="2188"/>
        <w:gridCol w:w="2121"/>
        <w:gridCol w:w="2478"/>
      </w:tblGrid>
      <w:tr w14:paraId="7BD4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60" w:type="dxa"/>
            <w:vAlign w:val="center"/>
          </w:tcPr>
          <w:p w14:paraId="01E3E693">
            <w:pPr>
              <w:widowControl/>
              <w:wordWrap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序号</w:t>
            </w:r>
          </w:p>
        </w:tc>
        <w:tc>
          <w:tcPr>
            <w:tcW w:w="2210" w:type="dxa"/>
            <w:vAlign w:val="center"/>
          </w:tcPr>
          <w:p w14:paraId="54EDE70C">
            <w:pPr>
              <w:widowControl/>
              <w:wordWrap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包号</w:t>
            </w:r>
          </w:p>
        </w:tc>
        <w:tc>
          <w:tcPr>
            <w:tcW w:w="2188" w:type="dxa"/>
            <w:vAlign w:val="center"/>
          </w:tcPr>
          <w:p w14:paraId="0E861A83">
            <w:pPr>
              <w:widowControl/>
              <w:wordWrap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包名称</w:t>
            </w:r>
          </w:p>
        </w:tc>
        <w:tc>
          <w:tcPr>
            <w:tcW w:w="2121" w:type="dxa"/>
            <w:vAlign w:val="center"/>
          </w:tcPr>
          <w:p w14:paraId="23A2ED51">
            <w:pPr>
              <w:widowControl/>
              <w:wordWrap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包预算（元）</w:t>
            </w:r>
          </w:p>
        </w:tc>
        <w:tc>
          <w:tcPr>
            <w:tcW w:w="2478" w:type="dxa"/>
            <w:vAlign w:val="center"/>
          </w:tcPr>
          <w:p w14:paraId="4C224894">
            <w:pPr>
              <w:widowControl/>
              <w:wordWrap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包最高限价（元）</w:t>
            </w:r>
          </w:p>
        </w:tc>
      </w:tr>
      <w:tr w14:paraId="7A28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160" w:type="dxa"/>
            <w:vAlign w:val="center"/>
          </w:tcPr>
          <w:p w14:paraId="509656AC">
            <w:pPr>
              <w:widowControl/>
              <w:wordWrap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2210" w:type="dxa"/>
            <w:vAlign w:val="center"/>
          </w:tcPr>
          <w:p w14:paraId="3077410C">
            <w:pPr>
              <w:widowControl/>
              <w:wordWrap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豫政采(2)20260178-1</w:t>
            </w:r>
          </w:p>
        </w:tc>
        <w:tc>
          <w:tcPr>
            <w:tcW w:w="2188" w:type="dxa"/>
            <w:vAlign w:val="center"/>
          </w:tcPr>
          <w:p w14:paraId="0A860177">
            <w:pPr>
              <w:widowControl/>
              <w:wordWrap w:val="0"/>
              <w:spacing w:line="360" w:lineRule="auto"/>
              <w:jc w:val="center"/>
              <w:rPr>
                <w:rFonts w:hint="default" w:ascii="宋体" w:hAnsi="宋体" w:eastAsia="宋体" w:cs="宋体"/>
                <w:color w:val="auto"/>
                <w:kern w:val="0"/>
                <w:sz w:val="24"/>
                <w:szCs w:val="24"/>
                <w:highlight w:val="none"/>
                <w:lang w:val="en-US" w:eastAsia="zh-CN" w:bidi="ar"/>
              </w:rPr>
            </w:pPr>
            <w:r>
              <w:rPr>
                <w:rFonts w:hint="eastAsia" w:ascii="宋体" w:hAnsi="宋体" w:cs="宋体"/>
                <w:b w:val="0"/>
                <w:bCs w:val="0"/>
                <w:color w:val="auto"/>
                <w:kern w:val="10"/>
                <w:sz w:val="24"/>
                <w:szCs w:val="24"/>
                <w:highlight w:val="none"/>
                <w:lang w:eastAsia="zh-CN"/>
              </w:rPr>
              <w:t>河南省周口监狱通讯网络平台项目</w:t>
            </w:r>
          </w:p>
        </w:tc>
        <w:tc>
          <w:tcPr>
            <w:tcW w:w="2121" w:type="dxa"/>
            <w:vAlign w:val="center"/>
          </w:tcPr>
          <w:p w14:paraId="7A3B5EAA">
            <w:pPr>
              <w:widowControl/>
              <w:wordWrap w:val="0"/>
              <w:spacing w:line="360" w:lineRule="auto"/>
              <w:jc w:val="center"/>
              <w:rPr>
                <w:rFonts w:hint="default" w:ascii="宋体" w:hAnsi="宋体" w:eastAsia="宋体" w:cs="宋体"/>
                <w:color w:val="auto"/>
                <w:kern w:val="0"/>
                <w:sz w:val="24"/>
                <w:szCs w:val="24"/>
                <w:highlight w:val="none"/>
                <w:lang w:val="en-US" w:eastAsia="zh-CN" w:bidi="ar"/>
              </w:rPr>
            </w:pPr>
            <w:r>
              <w:rPr>
                <w:rFonts w:hint="eastAsia" w:ascii="宋体" w:hAnsi="宋体" w:cs="宋体"/>
                <w:b w:val="0"/>
                <w:bCs w:val="0"/>
                <w:color w:val="auto"/>
                <w:kern w:val="10"/>
                <w:sz w:val="24"/>
                <w:szCs w:val="24"/>
                <w:highlight w:val="none"/>
                <w:lang w:val="en-US" w:eastAsia="zh-CN"/>
              </w:rPr>
              <w:t>5850000.00</w:t>
            </w:r>
          </w:p>
        </w:tc>
        <w:tc>
          <w:tcPr>
            <w:tcW w:w="2478" w:type="dxa"/>
            <w:vAlign w:val="center"/>
          </w:tcPr>
          <w:p w14:paraId="1DA89ADC">
            <w:pPr>
              <w:widowControl/>
              <w:wordWrap w:val="0"/>
              <w:spacing w:line="360" w:lineRule="auto"/>
              <w:jc w:val="center"/>
              <w:rPr>
                <w:rFonts w:hint="default" w:ascii="宋体" w:hAnsi="宋体" w:eastAsia="宋体" w:cs="宋体"/>
                <w:color w:val="auto"/>
                <w:kern w:val="0"/>
                <w:sz w:val="24"/>
                <w:szCs w:val="24"/>
                <w:highlight w:val="none"/>
                <w:lang w:val="en-US" w:eastAsia="zh-CN" w:bidi="ar"/>
              </w:rPr>
            </w:pPr>
            <w:r>
              <w:rPr>
                <w:rFonts w:hint="eastAsia" w:ascii="宋体" w:hAnsi="宋体" w:cs="宋体"/>
                <w:b w:val="0"/>
                <w:bCs w:val="0"/>
                <w:color w:val="auto"/>
                <w:kern w:val="10"/>
                <w:sz w:val="24"/>
                <w:szCs w:val="24"/>
                <w:highlight w:val="none"/>
                <w:lang w:val="en-US" w:eastAsia="zh-CN"/>
              </w:rPr>
              <w:t>5850000.00</w:t>
            </w:r>
          </w:p>
        </w:tc>
      </w:tr>
    </w:tbl>
    <w:p w14:paraId="0C11F8D6">
      <w:pPr>
        <w:adjustRightInd w:val="0"/>
        <w:spacing w:line="360" w:lineRule="auto"/>
        <w:ind w:firstLine="480" w:firstLineChars="200"/>
        <w:rPr>
          <w:rFonts w:hint="eastAsia" w:ascii="宋体" w:hAnsi="宋体" w:eastAsia="宋体" w:cs="宋体"/>
          <w:color w:val="auto"/>
          <w:kern w:val="10"/>
          <w:sz w:val="24"/>
          <w:szCs w:val="24"/>
          <w:highlight w:val="none"/>
          <w:lang w:eastAsia="zh-CN"/>
        </w:rPr>
      </w:pPr>
    </w:p>
    <w:p w14:paraId="002EB230">
      <w:pPr>
        <w:adjustRightInd w:val="0"/>
        <w:spacing w:line="360" w:lineRule="auto"/>
        <w:ind w:firstLine="480" w:firstLineChars="200"/>
        <w:rPr>
          <w:rFonts w:hint="eastAsia" w:ascii="宋体" w:hAnsi="宋体" w:cs="宋体"/>
          <w:color w:val="auto"/>
          <w:kern w:val="10"/>
          <w:sz w:val="24"/>
          <w:szCs w:val="24"/>
          <w:highlight w:val="none"/>
        </w:rPr>
      </w:pPr>
      <w:r>
        <w:rPr>
          <w:rFonts w:hint="eastAsia" w:ascii="宋体" w:hAnsi="宋体" w:cs="宋体"/>
          <w:color w:val="auto"/>
          <w:kern w:val="10"/>
          <w:sz w:val="24"/>
          <w:szCs w:val="24"/>
          <w:highlight w:val="none"/>
        </w:rPr>
        <w:t xml:space="preserve">5、采购需求（包括但不限于标的的名称、数量、简要技术需求或服务要求等） </w:t>
      </w:r>
    </w:p>
    <w:p w14:paraId="149D9626">
      <w:pPr>
        <w:adjustRightInd w:val="0"/>
        <w:spacing w:line="360" w:lineRule="auto"/>
        <w:ind w:firstLine="480" w:firstLineChars="200"/>
        <w:rPr>
          <w:rFonts w:hint="eastAsia" w:ascii="宋体" w:hAnsi="宋体" w:cs="宋体"/>
          <w:color w:val="auto"/>
          <w:kern w:val="10"/>
          <w:sz w:val="24"/>
          <w:szCs w:val="24"/>
          <w:highlight w:val="none"/>
          <w:lang w:val="en-US" w:eastAsia="zh-CN"/>
        </w:rPr>
      </w:pPr>
      <w:r>
        <w:rPr>
          <w:rFonts w:hint="eastAsia" w:ascii="宋体" w:hAnsi="宋体" w:cs="宋体"/>
          <w:color w:val="auto"/>
          <w:kern w:val="10"/>
          <w:sz w:val="24"/>
          <w:szCs w:val="24"/>
          <w:highlight w:val="none"/>
        </w:rPr>
        <w:t>5.1 招标范围：</w:t>
      </w:r>
      <w:r>
        <w:rPr>
          <w:rFonts w:hint="eastAsia" w:ascii="宋体" w:hAnsi="宋体" w:cs="宋体"/>
          <w:b w:val="0"/>
          <w:bCs w:val="0"/>
          <w:color w:val="auto"/>
          <w:kern w:val="10"/>
          <w:sz w:val="24"/>
          <w:szCs w:val="24"/>
          <w:highlight w:val="none"/>
          <w:lang w:eastAsia="zh-CN"/>
        </w:rPr>
        <w:t>河南省周口监狱通讯网络平台</w:t>
      </w:r>
      <w:r>
        <w:rPr>
          <w:rFonts w:hint="eastAsia" w:ascii="宋体" w:hAnsi="宋体" w:cs="宋体"/>
          <w:b w:val="0"/>
          <w:bCs w:val="0"/>
          <w:color w:val="auto"/>
          <w:kern w:val="10"/>
          <w:sz w:val="24"/>
          <w:szCs w:val="24"/>
          <w:highlight w:val="none"/>
          <w:lang w:val="en-US" w:eastAsia="zh-CN"/>
        </w:rPr>
        <w:t>服务（详见项目需求及技术要求）</w:t>
      </w:r>
      <w:r>
        <w:rPr>
          <w:rFonts w:hint="eastAsia" w:ascii="宋体" w:hAnsi="宋体" w:cs="宋体"/>
          <w:color w:val="auto"/>
          <w:kern w:val="10"/>
          <w:sz w:val="24"/>
          <w:szCs w:val="24"/>
          <w:highlight w:val="none"/>
          <w:lang w:val="en-US" w:eastAsia="zh-CN"/>
        </w:rPr>
        <w:t>；</w:t>
      </w:r>
    </w:p>
    <w:p w14:paraId="37C1A215">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 xml:space="preserve">5.2 </w:t>
      </w:r>
      <w:r>
        <w:rPr>
          <w:rFonts w:hint="eastAsia" w:ascii="宋体" w:hAnsi="宋体" w:cs="宋体"/>
          <w:b w:val="0"/>
          <w:bCs w:val="0"/>
          <w:color w:val="auto"/>
          <w:kern w:val="10"/>
          <w:sz w:val="24"/>
          <w:szCs w:val="24"/>
          <w:highlight w:val="none"/>
          <w:lang w:val="en-US" w:eastAsia="zh-CN"/>
        </w:rPr>
        <w:t>服务期限</w:t>
      </w:r>
      <w:r>
        <w:rPr>
          <w:rFonts w:hint="eastAsia" w:ascii="宋体" w:hAnsi="宋体" w:cs="宋体"/>
          <w:b w:val="0"/>
          <w:bCs w:val="0"/>
          <w:color w:val="auto"/>
          <w:kern w:val="10"/>
          <w:sz w:val="24"/>
          <w:szCs w:val="24"/>
          <w:highlight w:val="none"/>
        </w:rPr>
        <w:t>：</w:t>
      </w:r>
      <w:r>
        <w:rPr>
          <w:rFonts w:hint="eastAsia" w:ascii="宋体" w:hAnsi="宋体" w:cs="宋体"/>
          <w:color w:val="auto"/>
          <w:kern w:val="10"/>
          <w:sz w:val="24"/>
          <w:szCs w:val="24"/>
          <w:highlight w:val="none"/>
        </w:rPr>
        <w:t>自合同签订之日起</w:t>
      </w:r>
      <w:r>
        <w:rPr>
          <w:rFonts w:hint="eastAsia" w:ascii="宋体" w:hAnsi="宋体" w:cs="宋体"/>
          <w:b w:val="0"/>
          <w:bCs w:val="0"/>
          <w:color w:val="auto"/>
          <w:kern w:val="10"/>
          <w:sz w:val="24"/>
          <w:szCs w:val="24"/>
          <w:highlight w:val="none"/>
          <w:lang w:val="en-US" w:eastAsia="zh-CN"/>
        </w:rPr>
        <w:t>3年</w:t>
      </w:r>
      <w:r>
        <w:rPr>
          <w:rFonts w:hint="eastAsia" w:ascii="宋体" w:hAnsi="宋体" w:cs="宋体"/>
          <w:b w:val="0"/>
          <w:bCs w:val="0"/>
          <w:color w:val="auto"/>
          <w:kern w:val="10"/>
          <w:sz w:val="24"/>
          <w:szCs w:val="24"/>
          <w:highlight w:val="none"/>
        </w:rPr>
        <w:t>；</w:t>
      </w:r>
    </w:p>
    <w:p w14:paraId="79243AEB">
      <w:pPr>
        <w:adjustRightInd w:val="0"/>
        <w:spacing w:line="360" w:lineRule="auto"/>
        <w:ind w:firstLine="480" w:firstLineChars="200"/>
        <w:rPr>
          <w:rFonts w:hint="eastAsia" w:ascii="宋体" w:hAnsi="宋体" w:cs="宋体"/>
          <w:b w:val="0"/>
          <w:bCs w:val="0"/>
          <w:color w:val="auto"/>
          <w:kern w:val="10"/>
          <w:sz w:val="24"/>
          <w:szCs w:val="24"/>
          <w:highlight w:val="none"/>
          <w:lang w:val="en-US" w:eastAsia="zh-CN"/>
        </w:rPr>
      </w:pPr>
      <w:r>
        <w:rPr>
          <w:rFonts w:hint="eastAsia" w:ascii="宋体" w:hAnsi="宋体" w:cs="宋体"/>
          <w:b w:val="0"/>
          <w:bCs w:val="0"/>
          <w:color w:val="auto"/>
          <w:kern w:val="10"/>
          <w:sz w:val="24"/>
          <w:szCs w:val="24"/>
          <w:highlight w:val="none"/>
          <w:lang w:val="en-US" w:eastAsia="zh-CN"/>
        </w:rPr>
        <w:t>5.3 交付期限：合同签订后20日内将所有配套终端及配套产品送达至采购人指定地点，合同签订后一个月内完成全部建设内容并确保达到采购人使用要求，并通知甲方组织整体验收。</w:t>
      </w:r>
    </w:p>
    <w:p w14:paraId="2187802B">
      <w:pPr>
        <w:adjustRightInd w:val="0"/>
        <w:spacing w:line="360" w:lineRule="auto"/>
        <w:ind w:firstLine="480" w:firstLineChars="200"/>
        <w:rPr>
          <w:rFonts w:hint="default" w:ascii="宋体" w:hAnsi="宋体" w:cs="宋体"/>
          <w:b w:val="0"/>
          <w:bCs w:val="0"/>
          <w:color w:val="auto"/>
          <w:kern w:val="10"/>
          <w:sz w:val="24"/>
          <w:szCs w:val="24"/>
          <w:highlight w:val="none"/>
          <w:lang w:val="en-US" w:eastAsia="zh-CN"/>
        </w:rPr>
      </w:pPr>
      <w:r>
        <w:rPr>
          <w:rFonts w:hint="eastAsia" w:ascii="宋体" w:hAnsi="宋体" w:cs="宋体"/>
          <w:b w:val="0"/>
          <w:bCs w:val="0"/>
          <w:color w:val="auto"/>
          <w:kern w:val="10"/>
          <w:sz w:val="24"/>
          <w:szCs w:val="24"/>
          <w:highlight w:val="none"/>
          <w:lang w:val="en-US" w:eastAsia="zh-CN"/>
        </w:rPr>
        <w:t>5.4 终端质保期：3年</w:t>
      </w:r>
    </w:p>
    <w:p w14:paraId="4427BA27">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5.</w:t>
      </w:r>
      <w:r>
        <w:rPr>
          <w:rFonts w:hint="eastAsia" w:ascii="宋体" w:hAnsi="宋体" w:cs="宋体"/>
          <w:b w:val="0"/>
          <w:bCs w:val="0"/>
          <w:color w:val="auto"/>
          <w:kern w:val="10"/>
          <w:sz w:val="24"/>
          <w:szCs w:val="24"/>
          <w:highlight w:val="none"/>
          <w:lang w:val="en-US" w:eastAsia="zh-CN"/>
        </w:rPr>
        <w:t>5</w:t>
      </w:r>
      <w:r>
        <w:rPr>
          <w:rFonts w:hint="eastAsia" w:ascii="宋体" w:hAnsi="宋体" w:cs="宋体"/>
          <w:b w:val="0"/>
          <w:bCs w:val="0"/>
          <w:color w:val="auto"/>
          <w:kern w:val="10"/>
          <w:sz w:val="24"/>
          <w:szCs w:val="24"/>
          <w:highlight w:val="none"/>
        </w:rPr>
        <w:t xml:space="preserve"> 质量要求：合格，符合国家标准和招标人要求；</w:t>
      </w:r>
    </w:p>
    <w:p w14:paraId="5B34887E">
      <w:pPr>
        <w:adjustRightInd w:val="0"/>
        <w:spacing w:line="360" w:lineRule="auto"/>
        <w:ind w:firstLine="480" w:firstLineChars="200"/>
        <w:rPr>
          <w:rFonts w:hint="eastAsia" w:ascii="宋体" w:hAnsi="宋体" w:cs="宋体"/>
          <w:color w:val="auto"/>
          <w:kern w:val="10"/>
          <w:sz w:val="24"/>
          <w:szCs w:val="24"/>
          <w:highlight w:val="none"/>
        </w:rPr>
      </w:pPr>
      <w:r>
        <w:rPr>
          <w:rFonts w:hint="eastAsia" w:ascii="宋体" w:hAnsi="宋体" w:cs="宋体"/>
          <w:color w:val="auto"/>
          <w:kern w:val="10"/>
          <w:sz w:val="24"/>
          <w:szCs w:val="24"/>
          <w:highlight w:val="none"/>
        </w:rPr>
        <w:t>6、合同履行期限：</w:t>
      </w:r>
      <w:r>
        <w:rPr>
          <w:rFonts w:hint="eastAsia" w:ascii="宋体" w:hAnsi="宋体" w:cs="宋体"/>
          <w:b w:val="0"/>
          <w:bCs w:val="0"/>
          <w:color w:val="auto"/>
          <w:kern w:val="10"/>
          <w:sz w:val="24"/>
          <w:szCs w:val="24"/>
          <w:highlight w:val="none"/>
        </w:rPr>
        <w:t>自合同生效至</w:t>
      </w:r>
      <w:r>
        <w:rPr>
          <w:rFonts w:hint="eastAsia" w:ascii="宋体" w:hAnsi="宋体" w:cs="宋体"/>
          <w:b w:val="0"/>
          <w:bCs w:val="0"/>
          <w:color w:val="auto"/>
          <w:kern w:val="10"/>
          <w:sz w:val="24"/>
          <w:szCs w:val="24"/>
          <w:highlight w:val="none"/>
          <w:lang w:val="en-US" w:eastAsia="zh-CN"/>
        </w:rPr>
        <w:t>项目</w:t>
      </w:r>
      <w:r>
        <w:rPr>
          <w:rFonts w:hint="eastAsia" w:ascii="宋体" w:hAnsi="宋体" w:cs="宋体"/>
          <w:b w:val="0"/>
          <w:bCs w:val="0"/>
          <w:color w:val="auto"/>
          <w:kern w:val="10"/>
          <w:sz w:val="24"/>
          <w:szCs w:val="24"/>
          <w:highlight w:val="none"/>
        </w:rPr>
        <w:t>结束</w:t>
      </w:r>
      <w:r>
        <w:rPr>
          <w:rFonts w:hint="eastAsia" w:ascii="宋体" w:hAnsi="宋体" w:cs="宋体"/>
          <w:b w:val="0"/>
          <w:bCs w:val="0"/>
          <w:color w:val="auto"/>
          <w:kern w:val="10"/>
          <w:sz w:val="24"/>
          <w:szCs w:val="24"/>
          <w:highlight w:val="none"/>
          <w:lang w:eastAsia="zh-CN"/>
        </w:rPr>
        <w:t>。</w:t>
      </w:r>
      <w:r>
        <w:rPr>
          <w:rFonts w:hint="eastAsia" w:ascii="宋体" w:hAnsi="宋体" w:cs="宋体"/>
          <w:b w:val="0"/>
          <w:bCs w:val="0"/>
          <w:color w:val="auto"/>
          <w:kern w:val="10"/>
          <w:sz w:val="24"/>
          <w:szCs w:val="24"/>
          <w:highlight w:val="none"/>
        </w:rPr>
        <w:t xml:space="preserve"> </w:t>
      </w:r>
    </w:p>
    <w:p w14:paraId="63CCAF99">
      <w:pPr>
        <w:adjustRightInd w:val="0"/>
        <w:spacing w:line="360" w:lineRule="auto"/>
        <w:ind w:firstLine="480" w:firstLineChars="200"/>
        <w:rPr>
          <w:rFonts w:hint="eastAsia" w:ascii="宋体" w:hAnsi="宋体" w:cs="宋体"/>
          <w:color w:val="auto"/>
          <w:kern w:val="10"/>
          <w:sz w:val="24"/>
          <w:szCs w:val="24"/>
          <w:highlight w:val="none"/>
        </w:rPr>
      </w:pPr>
      <w:r>
        <w:rPr>
          <w:rFonts w:hint="eastAsia" w:ascii="宋体" w:hAnsi="宋体" w:cs="宋体"/>
          <w:color w:val="auto"/>
          <w:kern w:val="10"/>
          <w:sz w:val="24"/>
          <w:szCs w:val="24"/>
          <w:highlight w:val="none"/>
        </w:rPr>
        <w:t xml:space="preserve">7、本项目是否接受联合体投标：否 </w:t>
      </w:r>
    </w:p>
    <w:p w14:paraId="7B6B90A6">
      <w:pPr>
        <w:adjustRightInd w:val="0"/>
        <w:spacing w:line="360" w:lineRule="auto"/>
        <w:ind w:firstLine="480" w:firstLineChars="200"/>
        <w:rPr>
          <w:rFonts w:hint="eastAsia" w:ascii="宋体" w:hAnsi="宋体" w:cs="宋体"/>
          <w:color w:val="auto"/>
          <w:kern w:val="10"/>
          <w:sz w:val="24"/>
          <w:szCs w:val="24"/>
          <w:highlight w:val="none"/>
        </w:rPr>
      </w:pPr>
      <w:r>
        <w:rPr>
          <w:rFonts w:hint="eastAsia" w:ascii="宋体" w:hAnsi="宋体" w:cs="宋体"/>
          <w:color w:val="auto"/>
          <w:kern w:val="10"/>
          <w:sz w:val="24"/>
          <w:szCs w:val="24"/>
          <w:highlight w:val="none"/>
        </w:rPr>
        <w:t>8、是否接受进口产品：否</w:t>
      </w:r>
    </w:p>
    <w:p w14:paraId="2FED3E51">
      <w:pPr>
        <w:adjustRightInd w:val="0"/>
        <w:spacing w:line="360" w:lineRule="auto"/>
        <w:ind w:firstLine="480" w:firstLineChars="200"/>
        <w:rPr>
          <w:rFonts w:hint="eastAsia" w:ascii="宋体" w:hAnsi="宋体" w:eastAsia="宋体" w:cs="宋体"/>
          <w:color w:val="auto"/>
          <w:kern w:val="10"/>
          <w:sz w:val="24"/>
          <w:szCs w:val="24"/>
          <w:highlight w:val="none"/>
          <w:lang w:eastAsia="zh-CN"/>
        </w:rPr>
      </w:pPr>
      <w:r>
        <w:rPr>
          <w:rFonts w:hint="eastAsia" w:ascii="宋体" w:hAnsi="宋体" w:cs="宋体"/>
          <w:color w:val="auto"/>
          <w:kern w:val="10"/>
          <w:sz w:val="24"/>
          <w:szCs w:val="24"/>
          <w:highlight w:val="none"/>
        </w:rPr>
        <w:t>9、是否专门面向中小企业：</w:t>
      </w:r>
      <w:r>
        <w:rPr>
          <w:rFonts w:hint="eastAsia" w:ascii="宋体" w:hAnsi="宋体" w:cs="宋体"/>
          <w:color w:val="auto"/>
          <w:kern w:val="10"/>
          <w:sz w:val="24"/>
          <w:szCs w:val="24"/>
          <w:highlight w:val="none"/>
          <w:lang w:val="en-US" w:eastAsia="zh-CN"/>
        </w:rPr>
        <w:t>否</w:t>
      </w:r>
    </w:p>
    <w:p w14:paraId="565843E3">
      <w:pPr>
        <w:adjustRightInd w:val="0"/>
        <w:spacing w:line="360" w:lineRule="auto"/>
        <w:ind w:firstLine="0" w:firstLineChars="0"/>
        <w:rPr>
          <w:rFonts w:hint="eastAsia" w:ascii="宋体" w:hAnsi="宋体" w:cs="宋体"/>
          <w:b/>
          <w:bCs/>
          <w:color w:val="auto"/>
          <w:kern w:val="10"/>
          <w:sz w:val="24"/>
          <w:szCs w:val="24"/>
          <w:highlight w:val="none"/>
        </w:rPr>
      </w:pPr>
      <w:r>
        <w:rPr>
          <w:rFonts w:hint="eastAsia" w:ascii="宋体" w:hAnsi="宋体" w:cs="宋体"/>
          <w:b/>
          <w:bCs/>
          <w:color w:val="auto"/>
          <w:kern w:val="10"/>
          <w:sz w:val="24"/>
          <w:szCs w:val="24"/>
          <w:highlight w:val="none"/>
        </w:rPr>
        <w:t xml:space="preserve">二、申请人资格要求： </w:t>
      </w:r>
    </w:p>
    <w:p w14:paraId="18FA303B">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 xml:space="preserve">1、满足《中华人民共和国政府采购法》第二十二条规定； </w:t>
      </w:r>
    </w:p>
    <w:p w14:paraId="73AE054F">
      <w:pPr>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2、落实政府采购政策满足的资格要求：</w:t>
      </w:r>
      <w:r>
        <w:rPr>
          <w:rFonts w:hint="eastAsia" w:ascii="宋体" w:hAnsi="宋体" w:cs="宋体"/>
          <w:b w:val="0"/>
          <w:bCs w:val="0"/>
          <w:color w:val="auto"/>
          <w:kern w:val="10"/>
          <w:sz w:val="24"/>
          <w:szCs w:val="24"/>
          <w:highlight w:val="none"/>
          <w:lang w:val="en-US" w:eastAsia="zh-CN"/>
        </w:rPr>
        <w:t>/。</w:t>
      </w:r>
    </w:p>
    <w:p w14:paraId="2D81E24D">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 xml:space="preserve">3、本项目的特定资格要求 </w:t>
      </w:r>
    </w:p>
    <w:p w14:paraId="36DCB76A">
      <w:pPr>
        <w:widowControl/>
        <w:numPr>
          <w:ilvl w:val="0"/>
          <w:numId w:val="0"/>
        </w:numPr>
        <w:tabs>
          <w:tab w:val="left" w:pos="420"/>
        </w:tabs>
        <w:adjustRightInd w:val="0"/>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3.1资质要求：具有中华人民共和国基础电信业务或增值电信业务。（提供经营许可证）</w:t>
      </w:r>
    </w:p>
    <w:p w14:paraId="327EC0CD">
      <w:pPr>
        <w:widowControl/>
        <w:numPr>
          <w:ilvl w:val="0"/>
          <w:numId w:val="0"/>
        </w:numPr>
        <w:tabs>
          <w:tab w:val="left" w:pos="420"/>
        </w:tabs>
        <w:adjustRightInd w:val="0"/>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3.2设备要求：投标人需承诺其提供的设备是全新的、未使用过的设备且所提供终端经测试未达到采购人提出的功能或性能要求时，免费进行软硬件增加、变更或升级，直至满足要求为止（自行承诺，格式自拟）。</w:t>
      </w:r>
    </w:p>
    <w:p w14:paraId="38D2978B">
      <w:pPr>
        <w:widowControl/>
        <w:numPr>
          <w:ilvl w:val="0"/>
          <w:numId w:val="0"/>
        </w:numPr>
        <w:tabs>
          <w:tab w:val="left" w:pos="42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根据《关于在政府采购活动中查询及使用信用记录有关问题的通知》（财库﹝2016﹞125号）和豫财购﹝2016﹞15号的规定，对列入失信被执行人、重大税收违法失信主体、政府采购严重违法失信行为记录名单的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eastAsia="宋体" w:cs="宋体"/>
          <w:color w:val="auto"/>
          <w:kern w:val="0"/>
          <w:sz w:val="24"/>
          <w:szCs w:val="24"/>
          <w:highlight w:val="none"/>
          <w:lang w:eastAsia="zh-CN" w:bidi="ar"/>
        </w:rPr>
        <w:t>投标人</w:t>
      </w:r>
      <w:r>
        <w:rPr>
          <w:rFonts w:hint="eastAsia" w:ascii="宋体" w:hAnsi="宋体" w:eastAsia="宋体" w:cs="宋体"/>
          <w:color w:val="auto"/>
          <w:kern w:val="0"/>
          <w:sz w:val="24"/>
          <w:szCs w:val="24"/>
          <w:highlight w:val="none"/>
          <w:lang w:bidi="ar"/>
        </w:rPr>
        <w:t>，拒绝参与本项目政府采购活动；（查询渠道：“中国执行信息公开网（zxgk.court.gov.cn）（信用中国网站可跳转）”查询“失信被执行人名单”“信用中国（http://www.creditchina.gov.cn/”网站中查询“重大税收违法失信主体”“中国政府采购网（www.ccgp.gov.cn）”网站中查询“政府采购严重违法失信行为记录名单”。）</w:t>
      </w:r>
      <w:r>
        <w:rPr>
          <w:rFonts w:hint="eastAsia" w:ascii="宋体" w:hAnsi="宋体" w:eastAsia="宋体" w:cs="宋体"/>
          <w:color w:val="auto"/>
          <w:kern w:val="0"/>
          <w:sz w:val="24"/>
          <w:szCs w:val="24"/>
          <w:highlight w:val="none"/>
          <w:lang w:eastAsia="zh-CN" w:bidi="ar"/>
        </w:rPr>
        <w:t>采购人、采购代理机构通过“信用中国”网站（www.creditchina.gov.cn）、中国政府采购网（www.ccgp.gov.cn）等渠道查询相关主体信用记录,信用信息查询记录及相关证据与其他采购文件一并保存。查询时间：本项目评审结束之前。</w:t>
      </w:r>
    </w:p>
    <w:p w14:paraId="55DC03E0">
      <w:pPr>
        <w:pStyle w:val="9"/>
        <w:ind w:firstLine="720" w:firstLineChars="300"/>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单位负责人为同一人或者存在直接控股、管理关系的不同</w:t>
      </w:r>
      <w:r>
        <w:rPr>
          <w:rFonts w:hint="eastAsia" w:ascii="宋体" w:hAnsi="宋体" w:eastAsia="宋体" w:cs="宋体"/>
          <w:color w:val="auto"/>
          <w:kern w:val="0"/>
          <w:sz w:val="24"/>
          <w:szCs w:val="24"/>
          <w:highlight w:val="none"/>
          <w:lang w:eastAsia="zh-CN" w:bidi="ar"/>
        </w:rPr>
        <w:t>投标人</w:t>
      </w:r>
      <w:r>
        <w:rPr>
          <w:rFonts w:hint="eastAsia" w:ascii="宋体" w:hAnsi="宋体" w:eastAsia="宋体" w:cs="宋体"/>
          <w:color w:val="auto"/>
          <w:kern w:val="0"/>
          <w:sz w:val="24"/>
          <w:szCs w:val="24"/>
          <w:highlight w:val="none"/>
          <w:lang w:bidi="ar"/>
        </w:rPr>
        <w:t>，不得参加同一合同项下的政府采购活动。</w:t>
      </w:r>
      <w:r>
        <w:rPr>
          <w:rFonts w:hint="eastAsia"/>
          <w:color w:val="auto"/>
          <w:highlight w:val="none"/>
        </w:rPr>
        <w:t>【</w:t>
      </w:r>
      <w:r>
        <w:rPr>
          <w:rFonts w:hint="eastAsia" w:ascii="宋体" w:hAnsi="宋体" w:eastAsia="宋体" w:cs="宋体"/>
          <w:color w:val="auto"/>
          <w:kern w:val="0"/>
          <w:sz w:val="24"/>
          <w:szCs w:val="24"/>
          <w:highlight w:val="none"/>
          <w:lang w:bidi="ar"/>
        </w:rPr>
        <w:t>提供“ 国家企业信用信息公示系统 ”中查询截图并加盖单位公章（需包含公司基本信息、股东信息及股权变更信息）</w:t>
      </w:r>
      <w:r>
        <w:rPr>
          <w:rFonts w:hint="eastAsia" w:ascii="宋体" w:hAnsi="宋体" w:eastAsia="宋体" w:cs="宋体"/>
          <w:color w:val="auto"/>
          <w:kern w:val="0"/>
          <w:sz w:val="24"/>
          <w:szCs w:val="24"/>
          <w:highlight w:val="none"/>
          <w:lang w:val="en-US" w:eastAsia="zh-CN" w:bidi="ar"/>
        </w:rPr>
        <w:t>或附承诺书，格式自拟加盖公章。</w:t>
      </w:r>
      <w:r>
        <w:rPr>
          <w:rFonts w:hint="eastAsia" w:ascii="宋体" w:hAnsi="宋体" w:eastAsia="宋体" w:cs="宋体"/>
          <w:color w:val="auto"/>
          <w:kern w:val="0"/>
          <w:sz w:val="24"/>
          <w:szCs w:val="24"/>
          <w:highlight w:val="none"/>
          <w:lang w:eastAsia="zh-CN" w:bidi="ar"/>
        </w:rPr>
        <w:t>】</w:t>
      </w:r>
    </w:p>
    <w:p w14:paraId="30C64B0E">
      <w:pPr>
        <w:adjustRightInd w:val="0"/>
        <w:spacing w:line="360" w:lineRule="auto"/>
        <w:ind w:firstLine="0" w:firstLineChars="0"/>
        <w:rPr>
          <w:rFonts w:hint="eastAsia" w:ascii="宋体" w:hAnsi="宋体" w:cs="宋体"/>
          <w:b/>
          <w:bCs/>
          <w:color w:val="auto"/>
          <w:kern w:val="10"/>
          <w:sz w:val="24"/>
          <w:szCs w:val="24"/>
          <w:highlight w:val="none"/>
        </w:rPr>
      </w:pPr>
      <w:r>
        <w:rPr>
          <w:rFonts w:hint="eastAsia" w:ascii="宋体" w:hAnsi="宋体" w:cs="宋体"/>
          <w:b/>
          <w:bCs/>
          <w:color w:val="auto"/>
          <w:kern w:val="10"/>
          <w:sz w:val="24"/>
          <w:szCs w:val="24"/>
          <w:highlight w:val="none"/>
        </w:rPr>
        <w:t xml:space="preserve">三、获取招标文件 </w:t>
      </w:r>
    </w:p>
    <w:p w14:paraId="014554BB">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1.时间：20</w:t>
      </w:r>
      <w:r>
        <w:rPr>
          <w:rFonts w:hint="eastAsia" w:ascii="宋体" w:hAnsi="宋体" w:cs="宋体"/>
          <w:b w:val="0"/>
          <w:bCs w:val="0"/>
          <w:color w:val="auto"/>
          <w:kern w:val="10"/>
          <w:sz w:val="24"/>
          <w:szCs w:val="24"/>
          <w:highlight w:val="none"/>
          <w:lang w:val="en-US" w:eastAsia="zh-CN"/>
        </w:rPr>
        <w:t>26</w:t>
      </w:r>
      <w:r>
        <w:rPr>
          <w:rFonts w:hint="eastAsia" w:ascii="宋体" w:hAnsi="宋体" w:cs="宋体"/>
          <w:b w:val="0"/>
          <w:bCs w:val="0"/>
          <w:color w:val="auto"/>
          <w:kern w:val="10"/>
          <w:sz w:val="24"/>
          <w:szCs w:val="24"/>
          <w:highlight w:val="none"/>
        </w:rPr>
        <w:t>年</w:t>
      </w:r>
      <w:r>
        <w:rPr>
          <w:rFonts w:hint="eastAsia" w:ascii="宋体" w:hAnsi="宋体" w:cs="宋体"/>
          <w:b w:val="0"/>
          <w:bCs w:val="0"/>
          <w:color w:val="auto"/>
          <w:kern w:val="10"/>
          <w:sz w:val="24"/>
          <w:szCs w:val="24"/>
          <w:highlight w:val="none"/>
          <w:lang w:val="en-US" w:eastAsia="zh-CN"/>
        </w:rPr>
        <w:t>02</w:t>
      </w:r>
      <w:r>
        <w:rPr>
          <w:rFonts w:hint="eastAsia" w:ascii="宋体" w:hAnsi="宋体" w:cs="宋体"/>
          <w:b w:val="0"/>
          <w:bCs w:val="0"/>
          <w:color w:val="auto"/>
          <w:kern w:val="10"/>
          <w:sz w:val="24"/>
          <w:szCs w:val="24"/>
          <w:highlight w:val="none"/>
        </w:rPr>
        <w:t>月</w:t>
      </w:r>
      <w:r>
        <w:rPr>
          <w:rFonts w:hint="eastAsia" w:ascii="宋体" w:hAnsi="宋体" w:cs="宋体"/>
          <w:b w:val="0"/>
          <w:bCs w:val="0"/>
          <w:color w:val="auto"/>
          <w:kern w:val="10"/>
          <w:sz w:val="24"/>
          <w:szCs w:val="24"/>
          <w:highlight w:val="none"/>
          <w:lang w:val="en-US" w:eastAsia="zh-CN"/>
        </w:rPr>
        <w:t>26</w:t>
      </w:r>
      <w:r>
        <w:rPr>
          <w:rFonts w:hint="eastAsia" w:ascii="宋体" w:hAnsi="宋体" w:cs="宋体"/>
          <w:b w:val="0"/>
          <w:bCs w:val="0"/>
          <w:color w:val="auto"/>
          <w:kern w:val="10"/>
          <w:sz w:val="24"/>
          <w:szCs w:val="24"/>
          <w:highlight w:val="none"/>
        </w:rPr>
        <w:t>日 至20</w:t>
      </w:r>
      <w:r>
        <w:rPr>
          <w:rFonts w:hint="eastAsia" w:ascii="宋体" w:hAnsi="宋体" w:cs="宋体"/>
          <w:b w:val="0"/>
          <w:bCs w:val="0"/>
          <w:color w:val="auto"/>
          <w:kern w:val="10"/>
          <w:sz w:val="24"/>
          <w:szCs w:val="24"/>
          <w:highlight w:val="none"/>
          <w:lang w:val="en-US" w:eastAsia="zh-CN"/>
        </w:rPr>
        <w:t>26</w:t>
      </w:r>
      <w:r>
        <w:rPr>
          <w:rFonts w:hint="eastAsia" w:ascii="宋体" w:hAnsi="宋体" w:cs="宋体"/>
          <w:b w:val="0"/>
          <w:bCs w:val="0"/>
          <w:color w:val="auto"/>
          <w:kern w:val="10"/>
          <w:sz w:val="24"/>
          <w:szCs w:val="24"/>
          <w:highlight w:val="none"/>
        </w:rPr>
        <w:t>年</w:t>
      </w:r>
      <w:r>
        <w:rPr>
          <w:rFonts w:hint="eastAsia" w:ascii="宋体" w:hAnsi="宋体" w:cs="宋体"/>
          <w:b w:val="0"/>
          <w:bCs w:val="0"/>
          <w:color w:val="auto"/>
          <w:kern w:val="10"/>
          <w:sz w:val="24"/>
          <w:szCs w:val="24"/>
          <w:highlight w:val="none"/>
          <w:lang w:val="en-US" w:eastAsia="zh-CN"/>
        </w:rPr>
        <w:t>03</w:t>
      </w:r>
      <w:r>
        <w:rPr>
          <w:rFonts w:hint="eastAsia" w:ascii="宋体" w:hAnsi="宋体" w:cs="宋体"/>
          <w:b w:val="0"/>
          <w:bCs w:val="0"/>
          <w:color w:val="auto"/>
          <w:kern w:val="10"/>
          <w:sz w:val="24"/>
          <w:szCs w:val="24"/>
          <w:highlight w:val="none"/>
        </w:rPr>
        <w:t>月</w:t>
      </w:r>
      <w:r>
        <w:rPr>
          <w:rFonts w:hint="eastAsia" w:ascii="宋体" w:hAnsi="宋体" w:cs="宋体"/>
          <w:b w:val="0"/>
          <w:bCs w:val="0"/>
          <w:color w:val="auto"/>
          <w:kern w:val="10"/>
          <w:sz w:val="24"/>
          <w:szCs w:val="24"/>
          <w:highlight w:val="none"/>
          <w:lang w:val="en-US" w:eastAsia="zh-CN"/>
        </w:rPr>
        <w:t>03</w:t>
      </w:r>
      <w:r>
        <w:rPr>
          <w:rFonts w:hint="eastAsia" w:ascii="宋体" w:hAnsi="宋体" w:cs="宋体"/>
          <w:b w:val="0"/>
          <w:bCs w:val="0"/>
          <w:color w:val="auto"/>
          <w:kern w:val="10"/>
          <w:sz w:val="24"/>
          <w:szCs w:val="24"/>
          <w:highlight w:val="none"/>
        </w:rPr>
        <w:t xml:space="preserve">日，每天上午00:00至12:00，下午12:00至23:59（北京时间，法定节假日除外。） </w:t>
      </w:r>
    </w:p>
    <w:p w14:paraId="082450B0">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2.地点：使用CA密钥登录河南省公共资源交易中心网站按网上提示下载投标项目所含格式(.hnzf)的招标文件及资料。</w:t>
      </w:r>
      <w:r>
        <w:rPr>
          <w:rFonts w:hint="eastAsia" w:ascii="宋体" w:hAnsi="宋体" w:cs="宋体"/>
          <w:b w:val="0"/>
          <w:bCs w:val="0"/>
          <w:color w:val="auto"/>
          <w:kern w:val="10"/>
          <w:sz w:val="24"/>
          <w:szCs w:val="24"/>
          <w:highlight w:val="none"/>
          <w:lang w:eastAsia="zh-CN"/>
        </w:rPr>
        <w:t>投标人</w:t>
      </w:r>
      <w:r>
        <w:rPr>
          <w:rFonts w:hint="eastAsia" w:ascii="宋体" w:hAnsi="宋体" w:cs="宋体"/>
          <w:b w:val="0"/>
          <w:bCs w:val="0"/>
          <w:color w:val="auto"/>
          <w:kern w:val="10"/>
          <w:sz w:val="24"/>
          <w:szCs w:val="24"/>
          <w:highlight w:val="none"/>
        </w:rPr>
        <w:t xml:space="preserve">未按规定在网上下载招标文件的，其投标将被拒绝； </w:t>
      </w:r>
    </w:p>
    <w:p w14:paraId="42652A93">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3.方式：凭CA密钥登陆按网上提示下载招标文件及资料。</w:t>
      </w:r>
    </w:p>
    <w:p w14:paraId="17DF33AC">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 xml:space="preserve">4.售价：0元 </w:t>
      </w:r>
    </w:p>
    <w:p w14:paraId="6CAD7074">
      <w:pPr>
        <w:adjustRightInd w:val="0"/>
        <w:spacing w:line="360" w:lineRule="auto"/>
        <w:ind w:firstLine="0" w:firstLineChars="0"/>
        <w:rPr>
          <w:rFonts w:hint="eastAsia" w:ascii="宋体" w:hAnsi="宋体" w:cs="宋体"/>
          <w:b/>
          <w:bCs/>
          <w:color w:val="auto"/>
          <w:kern w:val="10"/>
          <w:sz w:val="24"/>
          <w:szCs w:val="24"/>
          <w:highlight w:val="none"/>
        </w:rPr>
      </w:pPr>
      <w:r>
        <w:rPr>
          <w:rFonts w:hint="eastAsia" w:ascii="宋体" w:hAnsi="宋体" w:cs="宋体"/>
          <w:b/>
          <w:bCs/>
          <w:color w:val="auto"/>
          <w:kern w:val="10"/>
          <w:sz w:val="24"/>
          <w:szCs w:val="24"/>
          <w:highlight w:val="none"/>
        </w:rPr>
        <w:t xml:space="preserve">四、投标截止时间及地点 </w:t>
      </w:r>
    </w:p>
    <w:p w14:paraId="39B42397">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1.时间：2</w:t>
      </w:r>
      <w:r>
        <w:rPr>
          <w:rFonts w:hint="eastAsia" w:ascii="宋体" w:hAnsi="宋体" w:cs="宋体"/>
          <w:b w:val="0"/>
          <w:bCs w:val="0"/>
          <w:color w:val="auto"/>
          <w:kern w:val="10"/>
          <w:sz w:val="24"/>
          <w:szCs w:val="24"/>
          <w:highlight w:val="none"/>
          <w:lang w:val="en-US" w:eastAsia="zh-CN"/>
        </w:rPr>
        <w:t>026</w:t>
      </w:r>
      <w:r>
        <w:rPr>
          <w:rFonts w:hint="eastAsia" w:ascii="宋体" w:hAnsi="宋体" w:cs="宋体"/>
          <w:b w:val="0"/>
          <w:bCs w:val="0"/>
          <w:color w:val="auto"/>
          <w:kern w:val="10"/>
          <w:sz w:val="24"/>
          <w:szCs w:val="24"/>
          <w:highlight w:val="none"/>
        </w:rPr>
        <w:t>年</w:t>
      </w:r>
      <w:r>
        <w:rPr>
          <w:rFonts w:hint="eastAsia" w:ascii="宋体" w:hAnsi="宋体" w:cs="宋体"/>
          <w:b w:val="0"/>
          <w:bCs w:val="0"/>
          <w:color w:val="auto"/>
          <w:kern w:val="10"/>
          <w:sz w:val="24"/>
          <w:szCs w:val="24"/>
          <w:highlight w:val="none"/>
          <w:lang w:val="en-US" w:eastAsia="zh-CN"/>
        </w:rPr>
        <w:t>03</w:t>
      </w:r>
      <w:r>
        <w:rPr>
          <w:rFonts w:hint="eastAsia" w:ascii="宋体" w:hAnsi="宋体" w:cs="宋体"/>
          <w:b w:val="0"/>
          <w:bCs w:val="0"/>
          <w:color w:val="auto"/>
          <w:kern w:val="10"/>
          <w:sz w:val="24"/>
          <w:szCs w:val="24"/>
          <w:highlight w:val="none"/>
        </w:rPr>
        <w:t>月</w:t>
      </w:r>
      <w:r>
        <w:rPr>
          <w:rFonts w:hint="eastAsia" w:ascii="宋体" w:hAnsi="宋体" w:cs="宋体"/>
          <w:b w:val="0"/>
          <w:bCs w:val="0"/>
          <w:color w:val="auto"/>
          <w:kern w:val="10"/>
          <w:sz w:val="24"/>
          <w:szCs w:val="24"/>
          <w:highlight w:val="none"/>
          <w:lang w:val="en-US" w:eastAsia="zh-CN"/>
        </w:rPr>
        <w:t>18</w:t>
      </w:r>
      <w:r>
        <w:rPr>
          <w:rFonts w:hint="eastAsia" w:ascii="宋体" w:hAnsi="宋体" w:cs="宋体"/>
          <w:b w:val="0"/>
          <w:bCs w:val="0"/>
          <w:color w:val="auto"/>
          <w:kern w:val="10"/>
          <w:sz w:val="24"/>
          <w:szCs w:val="24"/>
          <w:highlight w:val="none"/>
        </w:rPr>
        <w:t xml:space="preserve">日09时00分（北京时间） </w:t>
      </w:r>
    </w:p>
    <w:p w14:paraId="2098442A">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2.地点：加密电子投标文件须在投标截止时间前通过“河南省公共资源交易中心（http://hnsggzyjy.henan.gov.cn/）”系统指定位置上传。逾期上传的或者未上传指定地点的投标文件，采购人不予受理。</w:t>
      </w:r>
    </w:p>
    <w:p w14:paraId="423A4EF7">
      <w:pPr>
        <w:adjustRightInd w:val="0"/>
        <w:spacing w:line="360" w:lineRule="auto"/>
        <w:ind w:firstLine="0" w:firstLineChars="0"/>
        <w:rPr>
          <w:rFonts w:hint="eastAsia" w:ascii="宋体" w:hAnsi="宋体" w:cs="宋体"/>
          <w:b/>
          <w:bCs/>
          <w:color w:val="auto"/>
          <w:kern w:val="10"/>
          <w:sz w:val="24"/>
          <w:szCs w:val="24"/>
          <w:highlight w:val="none"/>
        </w:rPr>
      </w:pPr>
      <w:r>
        <w:rPr>
          <w:rFonts w:hint="eastAsia" w:ascii="宋体" w:hAnsi="宋体" w:cs="宋体"/>
          <w:b/>
          <w:bCs/>
          <w:color w:val="auto"/>
          <w:kern w:val="10"/>
          <w:sz w:val="24"/>
          <w:szCs w:val="24"/>
          <w:highlight w:val="none"/>
        </w:rPr>
        <w:t xml:space="preserve">五、开标时间及地点 </w:t>
      </w:r>
    </w:p>
    <w:p w14:paraId="3A267025">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1.时间：</w:t>
      </w:r>
      <w:r>
        <w:rPr>
          <w:rFonts w:hint="eastAsia" w:ascii="宋体" w:hAnsi="宋体" w:cs="宋体"/>
          <w:b w:val="0"/>
          <w:bCs w:val="0"/>
          <w:color w:val="auto"/>
          <w:kern w:val="10"/>
          <w:sz w:val="24"/>
          <w:szCs w:val="24"/>
          <w:highlight w:val="none"/>
          <w:lang w:val="en-US" w:eastAsia="zh-CN"/>
        </w:rPr>
        <w:t>2026</w:t>
      </w:r>
      <w:r>
        <w:rPr>
          <w:rFonts w:hint="eastAsia" w:ascii="宋体" w:hAnsi="宋体" w:cs="宋体"/>
          <w:b w:val="0"/>
          <w:bCs w:val="0"/>
          <w:color w:val="auto"/>
          <w:kern w:val="10"/>
          <w:sz w:val="24"/>
          <w:szCs w:val="24"/>
          <w:highlight w:val="none"/>
        </w:rPr>
        <w:t>年</w:t>
      </w:r>
      <w:r>
        <w:rPr>
          <w:rFonts w:hint="eastAsia" w:ascii="宋体" w:hAnsi="宋体" w:cs="宋体"/>
          <w:b w:val="0"/>
          <w:bCs w:val="0"/>
          <w:color w:val="auto"/>
          <w:kern w:val="10"/>
          <w:sz w:val="24"/>
          <w:szCs w:val="24"/>
          <w:highlight w:val="none"/>
          <w:lang w:val="en-US" w:eastAsia="zh-CN"/>
        </w:rPr>
        <w:t>03</w:t>
      </w:r>
      <w:r>
        <w:rPr>
          <w:rFonts w:hint="eastAsia" w:ascii="宋体" w:hAnsi="宋体" w:cs="宋体"/>
          <w:b w:val="0"/>
          <w:bCs w:val="0"/>
          <w:color w:val="auto"/>
          <w:kern w:val="10"/>
          <w:sz w:val="24"/>
          <w:szCs w:val="24"/>
          <w:highlight w:val="none"/>
        </w:rPr>
        <w:t>月</w:t>
      </w:r>
      <w:r>
        <w:rPr>
          <w:rFonts w:hint="eastAsia" w:ascii="宋体" w:hAnsi="宋体" w:cs="宋体"/>
          <w:b w:val="0"/>
          <w:bCs w:val="0"/>
          <w:color w:val="auto"/>
          <w:kern w:val="10"/>
          <w:sz w:val="24"/>
          <w:szCs w:val="24"/>
          <w:highlight w:val="none"/>
          <w:lang w:val="en-US" w:eastAsia="zh-CN"/>
        </w:rPr>
        <w:t>18</w:t>
      </w:r>
      <w:r>
        <w:rPr>
          <w:rFonts w:hint="eastAsia" w:ascii="宋体" w:hAnsi="宋体" w:cs="宋体"/>
          <w:b w:val="0"/>
          <w:bCs w:val="0"/>
          <w:color w:val="auto"/>
          <w:kern w:val="10"/>
          <w:sz w:val="24"/>
          <w:szCs w:val="24"/>
          <w:highlight w:val="none"/>
        </w:rPr>
        <w:t xml:space="preserve">日09时00分（北京时间） </w:t>
      </w:r>
    </w:p>
    <w:p w14:paraId="20C8CA62">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2.地点：河南省公共资源交易中心远程开标室(二)-6（</w:t>
      </w:r>
      <w:r>
        <w:rPr>
          <w:rFonts w:hint="eastAsia" w:ascii="宋体" w:hAnsi="宋体" w:eastAsia="宋体" w:cs="宋体"/>
          <w:color w:val="auto"/>
          <w:sz w:val="24"/>
          <w:szCs w:val="24"/>
          <w:highlight w:val="none"/>
        </w:rPr>
        <w:t>郑州市经二路与纬四路向南50米路西）</w:t>
      </w:r>
      <w:r>
        <w:rPr>
          <w:rFonts w:hint="eastAsia" w:ascii="宋体" w:hAnsi="宋体" w:cs="宋体"/>
          <w:b w:val="0"/>
          <w:bCs w:val="0"/>
          <w:color w:val="auto"/>
          <w:kern w:val="10"/>
          <w:sz w:val="24"/>
          <w:szCs w:val="24"/>
          <w:highlight w:val="none"/>
        </w:rPr>
        <w:t xml:space="preserve"> </w:t>
      </w:r>
    </w:p>
    <w:p w14:paraId="336D9430">
      <w:pPr>
        <w:adjustRightInd w:val="0"/>
        <w:spacing w:line="360" w:lineRule="auto"/>
        <w:ind w:firstLine="0" w:firstLineChars="0"/>
        <w:rPr>
          <w:rFonts w:hint="eastAsia" w:ascii="宋体" w:hAnsi="宋体" w:cs="宋体"/>
          <w:b/>
          <w:bCs/>
          <w:color w:val="auto"/>
          <w:kern w:val="10"/>
          <w:sz w:val="24"/>
          <w:szCs w:val="24"/>
          <w:highlight w:val="none"/>
        </w:rPr>
      </w:pPr>
      <w:r>
        <w:rPr>
          <w:rFonts w:hint="eastAsia" w:ascii="宋体" w:hAnsi="宋体" w:cs="宋体"/>
          <w:b/>
          <w:bCs/>
          <w:color w:val="auto"/>
          <w:kern w:val="10"/>
          <w:sz w:val="24"/>
          <w:szCs w:val="24"/>
          <w:highlight w:val="none"/>
        </w:rPr>
        <w:t xml:space="preserve">六、发布公告的媒介及招标公告期限 </w:t>
      </w:r>
    </w:p>
    <w:p w14:paraId="3D052965">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本次招标公告在</w:t>
      </w:r>
      <w:r>
        <w:rPr>
          <w:rFonts w:hint="eastAsia" w:ascii="宋体" w:hAnsi="宋体" w:eastAsia="宋体" w:cs="宋体"/>
          <w:b w:val="0"/>
          <w:bCs w:val="0"/>
          <w:color w:val="auto"/>
          <w:kern w:val="10"/>
          <w:sz w:val="24"/>
          <w:szCs w:val="24"/>
          <w:highlight w:val="none"/>
        </w:rPr>
        <w:t>《河南省政府采购网》</w:t>
      </w:r>
      <w:r>
        <w:rPr>
          <w:rFonts w:hint="eastAsia" w:ascii="宋体" w:hAnsi="宋体" w:eastAsia="宋体" w:cs="宋体"/>
          <w:b w:val="0"/>
          <w:bCs w:val="0"/>
          <w:color w:val="auto"/>
          <w:kern w:val="10"/>
          <w:sz w:val="24"/>
          <w:szCs w:val="24"/>
          <w:highlight w:val="none"/>
          <w:lang w:eastAsia="zh-CN"/>
        </w:rPr>
        <w:t>、</w:t>
      </w:r>
      <w:r>
        <w:rPr>
          <w:rFonts w:hint="eastAsia" w:ascii="宋体" w:hAnsi="宋体" w:eastAsia="宋体" w:cs="宋体"/>
          <w:color w:val="auto"/>
          <w:kern w:val="10"/>
          <w:sz w:val="24"/>
          <w:szCs w:val="24"/>
          <w:highlight w:val="none"/>
          <w:shd w:val="clear"/>
        </w:rPr>
        <w:t>《河南省公共资源交易中心网》</w:t>
      </w:r>
      <w:r>
        <w:rPr>
          <w:rFonts w:hint="eastAsia" w:ascii="宋体" w:hAnsi="宋体" w:cs="宋体"/>
          <w:b w:val="0"/>
          <w:bCs w:val="0"/>
          <w:color w:val="auto"/>
          <w:kern w:val="10"/>
          <w:sz w:val="24"/>
          <w:szCs w:val="24"/>
          <w:highlight w:val="none"/>
        </w:rPr>
        <w:t>上发布。招标公告期限为五个工作日。</w:t>
      </w:r>
    </w:p>
    <w:p w14:paraId="3A7FFA81">
      <w:pPr>
        <w:adjustRightInd w:val="0"/>
        <w:spacing w:line="360" w:lineRule="auto"/>
        <w:ind w:firstLine="0" w:firstLineChars="0"/>
        <w:rPr>
          <w:rFonts w:hint="eastAsia" w:ascii="宋体" w:hAnsi="宋体" w:cs="宋体"/>
          <w:b/>
          <w:bCs/>
          <w:color w:val="auto"/>
          <w:kern w:val="10"/>
          <w:sz w:val="24"/>
          <w:szCs w:val="24"/>
          <w:highlight w:val="none"/>
        </w:rPr>
      </w:pPr>
      <w:r>
        <w:rPr>
          <w:rFonts w:hint="eastAsia" w:ascii="宋体" w:hAnsi="宋体" w:cs="宋体"/>
          <w:b/>
          <w:bCs/>
          <w:color w:val="auto"/>
          <w:kern w:val="10"/>
          <w:sz w:val="24"/>
          <w:szCs w:val="24"/>
          <w:highlight w:val="none"/>
        </w:rPr>
        <w:t xml:space="preserve">七、其他补充事宜 </w:t>
      </w:r>
    </w:p>
    <w:p w14:paraId="183A4ADD">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（1）本项目采用“远程不见面”开标方式，远程开标大厅网址为（</w:t>
      </w:r>
      <w:r>
        <w:rPr>
          <w:rFonts w:hint="eastAsia" w:ascii="宋体" w:hAnsi="宋体" w:cs="宋体"/>
          <w:color w:val="auto"/>
          <w:sz w:val="24"/>
          <w:szCs w:val="24"/>
          <w:highlight w:val="none"/>
          <w:shd w:val="clear" w:color="auto" w:fill="FFFFFF"/>
        </w:rPr>
        <w:t>http://www.hnggzy.net/</w:t>
      </w:r>
      <w:r>
        <w:rPr>
          <w:rFonts w:hint="eastAsia" w:ascii="宋体" w:hAnsi="宋体" w:cs="宋体"/>
          <w:b w:val="0"/>
          <w:bCs w:val="0"/>
          <w:color w:val="auto"/>
          <w:kern w:val="10"/>
          <w:sz w:val="24"/>
          <w:szCs w:val="24"/>
          <w:highlight w:val="none"/>
        </w:rPr>
        <w:t>），</w:t>
      </w:r>
      <w:r>
        <w:rPr>
          <w:rFonts w:hint="eastAsia" w:ascii="宋体" w:hAnsi="宋体" w:cs="宋体"/>
          <w:b w:val="0"/>
          <w:bCs w:val="0"/>
          <w:color w:val="auto"/>
          <w:kern w:val="10"/>
          <w:sz w:val="24"/>
          <w:szCs w:val="24"/>
          <w:highlight w:val="none"/>
          <w:lang w:eastAsia="zh-CN"/>
        </w:rPr>
        <w:t>投标人</w:t>
      </w:r>
      <w:r>
        <w:rPr>
          <w:rFonts w:hint="eastAsia" w:ascii="宋体" w:hAnsi="宋体" w:cs="宋体"/>
          <w:b w:val="0"/>
          <w:bCs w:val="0"/>
          <w:color w:val="auto"/>
          <w:kern w:val="10"/>
          <w:sz w:val="24"/>
          <w:szCs w:val="24"/>
          <w:highlight w:val="none"/>
        </w:rPr>
        <w:t>无需到河南省公共资源交易中心现场参加开标会议，无需到达现场提交原件资料。</w:t>
      </w:r>
      <w:r>
        <w:rPr>
          <w:rFonts w:hint="eastAsia" w:ascii="宋体" w:hAnsi="宋体" w:cs="宋体"/>
          <w:b w:val="0"/>
          <w:bCs w:val="0"/>
          <w:color w:val="auto"/>
          <w:kern w:val="10"/>
          <w:sz w:val="24"/>
          <w:szCs w:val="24"/>
          <w:highlight w:val="none"/>
          <w:lang w:eastAsia="zh-CN"/>
        </w:rPr>
        <w:t>投标人</w:t>
      </w:r>
      <w:r>
        <w:rPr>
          <w:rFonts w:hint="eastAsia" w:ascii="宋体" w:hAnsi="宋体" w:cs="宋体"/>
          <w:b w:val="0"/>
          <w:bCs w:val="0"/>
          <w:color w:val="auto"/>
          <w:kern w:val="10"/>
          <w:sz w:val="24"/>
          <w:szCs w:val="24"/>
          <w:highlight w:val="none"/>
        </w:rPr>
        <w:t>应当在投标截止时间前，登录远程开标大厅，在线准时参加开标活动并进行文件解密、答疑澄清等；</w:t>
      </w:r>
    </w:p>
    <w:p w14:paraId="5C5249C6">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（2）加密电子投标文件逾期上传的，将不予受理；</w:t>
      </w:r>
    </w:p>
    <w:p w14:paraId="495FC710">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（3）</w:t>
      </w:r>
      <w:r>
        <w:rPr>
          <w:rFonts w:hint="eastAsia" w:ascii="宋体" w:hAnsi="宋体" w:cs="宋体"/>
          <w:b w:val="0"/>
          <w:bCs w:val="0"/>
          <w:color w:val="auto"/>
          <w:kern w:val="10"/>
          <w:sz w:val="24"/>
          <w:szCs w:val="24"/>
          <w:highlight w:val="none"/>
          <w:lang w:eastAsia="zh-CN"/>
        </w:rPr>
        <w:t>投标人</w:t>
      </w:r>
      <w:r>
        <w:rPr>
          <w:rFonts w:hint="eastAsia" w:ascii="宋体" w:hAnsi="宋体" w:cs="宋体"/>
          <w:b w:val="0"/>
          <w:bCs w:val="0"/>
          <w:color w:val="auto"/>
          <w:kern w:val="10"/>
          <w:sz w:val="24"/>
          <w:szCs w:val="24"/>
          <w:highlight w:val="none"/>
        </w:rPr>
        <w:t>未在规定时间解密的，其投标文件采购人将拒绝接收。</w:t>
      </w:r>
    </w:p>
    <w:p w14:paraId="33D0AFCA">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lang w:eastAsia="zh-CN"/>
        </w:rPr>
        <w:t>（</w:t>
      </w:r>
      <w:r>
        <w:rPr>
          <w:rFonts w:hint="eastAsia" w:ascii="宋体" w:hAnsi="宋体" w:cs="宋体"/>
          <w:b w:val="0"/>
          <w:bCs w:val="0"/>
          <w:color w:val="auto"/>
          <w:kern w:val="10"/>
          <w:sz w:val="24"/>
          <w:szCs w:val="24"/>
          <w:highlight w:val="none"/>
          <w:lang w:val="en-US" w:eastAsia="zh-CN"/>
        </w:rPr>
        <w:t>4</w:t>
      </w:r>
      <w:r>
        <w:rPr>
          <w:rFonts w:hint="eastAsia" w:ascii="宋体" w:hAnsi="宋体" w:cs="宋体"/>
          <w:b w:val="0"/>
          <w:bCs w:val="0"/>
          <w:color w:val="auto"/>
          <w:kern w:val="10"/>
          <w:sz w:val="24"/>
          <w:szCs w:val="24"/>
          <w:highlight w:val="none"/>
          <w:lang w:eastAsia="zh-CN"/>
        </w:rPr>
        <w:t>）本项目执行优先采购节能环保、环境标志性产品、优先采购自主创新产品，扶持不发达地区和少数民族地区，促进中小企业、监狱企业、残疾人福利性单位发展等相关政府采购政策</w:t>
      </w:r>
      <w:r>
        <w:rPr>
          <w:rFonts w:hint="eastAsia" w:ascii="宋体" w:hAnsi="宋体" w:cs="宋体"/>
          <w:b w:val="0"/>
          <w:bCs w:val="0"/>
          <w:color w:val="auto"/>
          <w:kern w:val="10"/>
          <w:sz w:val="24"/>
          <w:szCs w:val="24"/>
          <w:highlight w:val="none"/>
        </w:rPr>
        <w:t>。本项目支持河南省政府采购合同融资政策。</w:t>
      </w:r>
    </w:p>
    <w:p w14:paraId="59253CBF">
      <w:pPr>
        <w:adjustRightInd w:val="0"/>
        <w:spacing w:line="360" w:lineRule="auto"/>
        <w:ind w:firstLine="482" w:firstLineChars="200"/>
        <w:rPr>
          <w:rFonts w:hint="eastAsia" w:ascii="宋体" w:hAnsi="宋体" w:eastAsia="宋体" w:cs="宋体"/>
          <w:b/>
          <w:bCs/>
          <w:color w:val="auto"/>
          <w:kern w:val="10"/>
          <w:sz w:val="24"/>
          <w:szCs w:val="24"/>
          <w:highlight w:val="none"/>
          <w:lang w:eastAsia="zh-CN"/>
        </w:rPr>
      </w:pPr>
      <w:r>
        <w:rPr>
          <w:rFonts w:hint="eastAsia" w:ascii="宋体" w:hAnsi="宋体" w:cs="宋体"/>
          <w:b/>
          <w:bCs/>
          <w:color w:val="auto"/>
          <w:kern w:val="10"/>
          <w:sz w:val="24"/>
          <w:szCs w:val="24"/>
          <w:highlight w:val="none"/>
          <w:lang w:eastAsia="zh-CN"/>
        </w:rPr>
        <w:t>（</w:t>
      </w:r>
      <w:r>
        <w:rPr>
          <w:rFonts w:hint="eastAsia" w:ascii="宋体" w:hAnsi="宋体" w:cs="宋体"/>
          <w:b/>
          <w:bCs/>
          <w:color w:val="auto"/>
          <w:kern w:val="10"/>
          <w:sz w:val="24"/>
          <w:szCs w:val="24"/>
          <w:highlight w:val="none"/>
          <w:lang w:val="en-US" w:eastAsia="zh-CN"/>
        </w:rPr>
        <w:t>5</w:t>
      </w:r>
      <w:r>
        <w:rPr>
          <w:rFonts w:hint="eastAsia" w:ascii="宋体" w:hAnsi="宋体" w:cs="宋体"/>
          <w:b/>
          <w:bCs/>
          <w:color w:val="auto"/>
          <w:kern w:val="10"/>
          <w:sz w:val="24"/>
          <w:szCs w:val="24"/>
          <w:highlight w:val="none"/>
          <w:lang w:eastAsia="zh-CN"/>
        </w:rPr>
        <w:t>）</w:t>
      </w:r>
      <w:r>
        <w:rPr>
          <w:rFonts w:hint="eastAsia" w:ascii="宋体" w:hAnsi="宋体" w:cs="宋体"/>
          <w:b/>
          <w:bCs/>
          <w:color w:val="auto"/>
          <w:kern w:val="10"/>
          <w:sz w:val="24"/>
          <w:szCs w:val="24"/>
          <w:highlight w:val="none"/>
          <w:lang w:val="en-US" w:eastAsia="zh-CN"/>
        </w:rPr>
        <w:t>依据《中华人民共和国政府采购法实施条例》释义:银行、保险、石油石化、电力、电信等有行业特殊情况的，采购人、采购代理机构可按照其特点在采购文件中作出专门规定。本项目属于“电信”行业，取得营业执照的分支机构应提供总公司授权可以以分公司名义参与投标，招标文件中涉及的“法定代表人”在前述特殊行业中即对应为“分支机构(分公司)负责人”。</w:t>
      </w:r>
    </w:p>
    <w:p w14:paraId="5813611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val="0"/>
          <w:bCs w:val="0"/>
          <w:color w:val="auto"/>
          <w:kern w:val="10"/>
          <w:sz w:val="24"/>
          <w:szCs w:val="24"/>
          <w:highlight w:val="none"/>
          <w:lang w:eastAsia="zh-CN"/>
        </w:rPr>
        <w:t>（</w:t>
      </w:r>
      <w:r>
        <w:rPr>
          <w:rFonts w:hint="eastAsia" w:ascii="宋体" w:hAnsi="宋体" w:cs="宋体"/>
          <w:b w:val="0"/>
          <w:bCs w:val="0"/>
          <w:color w:val="auto"/>
          <w:kern w:val="10"/>
          <w:sz w:val="24"/>
          <w:szCs w:val="24"/>
          <w:highlight w:val="none"/>
          <w:lang w:val="en-US" w:eastAsia="zh-CN"/>
        </w:rPr>
        <w:t>6</w:t>
      </w:r>
      <w:r>
        <w:rPr>
          <w:rFonts w:hint="eastAsia" w:ascii="宋体" w:hAnsi="宋体" w:cs="宋体"/>
          <w:b w:val="0"/>
          <w:bCs w:val="0"/>
          <w:color w:val="auto"/>
          <w:kern w:val="10"/>
          <w:sz w:val="24"/>
          <w:szCs w:val="24"/>
          <w:highlight w:val="none"/>
          <w:lang w:eastAsia="zh-CN"/>
        </w:rPr>
        <w:t>）</w:t>
      </w:r>
      <w:r>
        <w:rPr>
          <w:rFonts w:hint="eastAsia" w:ascii="宋体" w:hAnsi="宋体" w:cs="宋体"/>
          <w:color w:val="auto"/>
          <w:sz w:val="24"/>
          <w:szCs w:val="24"/>
          <w:highlight w:val="none"/>
        </w:rPr>
        <w:t>本项目招标代理服务费参照</w:t>
      </w:r>
      <w:r>
        <w:rPr>
          <w:rFonts w:hint="eastAsia" w:ascii="宋体" w:hAnsi="宋体" w:eastAsia="宋体" w:cs="宋体"/>
          <w:color w:val="auto"/>
          <w:sz w:val="24"/>
          <w:szCs w:val="24"/>
          <w:highlight w:val="none"/>
        </w:rPr>
        <w:t>豫招协[2023]002号文件的规定收取</w:t>
      </w:r>
      <w:r>
        <w:rPr>
          <w:rFonts w:hint="eastAsia" w:ascii="宋体" w:hAnsi="宋体" w:cs="宋体"/>
          <w:color w:val="auto"/>
          <w:sz w:val="24"/>
          <w:szCs w:val="24"/>
          <w:highlight w:val="none"/>
        </w:rPr>
        <w:t>，按其标准向中标人收取。</w:t>
      </w:r>
    </w:p>
    <w:p w14:paraId="1EAE0FA5">
      <w:pPr>
        <w:adjustRightInd w:val="0"/>
        <w:spacing w:line="360" w:lineRule="auto"/>
        <w:ind w:firstLine="0" w:firstLineChars="0"/>
        <w:rPr>
          <w:rFonts w:hint="eastAsia" w:ascii="宋体" w:hAnsi="宋体" w:cs="宋体"/>
          <w:b/>
          <w:bCs/>
          <w:color w:val="auto"/>
          <w:kern w:val="10"/>
          <w:sz w:val="24"/>
          <w:szCs w:val="24"/>
          <w:highlight w:val="none"/>
        </w:rPr>
      </w:pPr>
      <w:r>
        <w:rPr>
          <w:rFonts w:hint="eastAsia" w:ascii="宋体" w:hAnsi="宋体" w:cs="宋体"/>
          <w:b/>
          <w:bCs/>
          <w:color w:val="auto"/>
          <w:kern w:val="10"/>
          <w:sz w:val="24"/>
          <w:szCs w:val="24"/>
          <w:highlight w:val="none"/>
        </w:rPr>
        <w:t>八、凡对本次招标提出询问，请按照以下方式联系</w:t>
      </w:r>
    </w:p>
    <w:p w14:paraId="4ED2543F">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 xml:space="preserve">1. 采购人信息 </w:t>
      </w:r>
    </w:p>
    <w:p w14:paraId="1DB27134">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名称：</w:t>
      </w:r>
      <w:r>
        <w:rPr>
          <w:rFonts w:hint="eastAsia" w:ascii="宋体" w:hAnsi="宋体" w:cs="宋体"/>
          <w:b w:val="0"/>
          <w:bCs w:val="0"/>
          <w:color w:val="auto"/>
          <w:kern w:val="10"/>
          <w:sz w:val="24"/>
          <w:szCs w:val="24"/>
          <w:highlight w:val="none"/>
          <w:lang w:eastAsia="zh-CN"/>
        </w:rPr>
        <w:t>河南省周口监狱</w:t>
      </w:r>
      <w:r>
        <w:rPr>
          <w:rFonts w:hint="eastAsia" w:ascii="宋体" w:hAnsi="宋体" w:cs="宋体"/>
          <w:b w:val="0"/>
          <w:bCs w:val="0"/>
          <w:color w:val="auto"/>
          <w:kern w:val="10"/>
          <w:sz w:val="24"/>
          <w:szCs w:val="24"/>
          <w:highlight w:val="none"/>
        </w:rPr>
        <w:t xml:space="preserve"> </w:t>
      </w:r>
    </w:p>
    <w:p w14:paraId="6812E63D">
      <w:pPr>
        <w:adjustRightInd w:val="0"/>
        <w:spacing w:line="360" w:lineRule="auto"/>
        <w:ind w:firstLine="480" w:firstLineChars="200"/>
        <w:rPr>
          <w:rFonts w:hint="eastAsia" w:ascii="宋体" w:hAnsi="宋体" w:eastAsia="宋体" w:cs="宋体"/>
          <w:b w:val="0"/>
          <w:bCs w:val="0"/>
          <w:color w:val="auto"/>
          <w:kern w:val="10"/>
          <w:sz w:val="24"/>
          <w:szCs w:val="24"/>
          <w:highlight w:val="none"/>
          <w:lang w:eastAsia="zh-CN"/>
        </w:rPr>
      </w:pPr>
      <w:r>
        <w:rPr>
          <w:rFonts w:hint="eastAsia" w:ascii="宋体" w:hAnsi="宋体" w:cs="宋体"/>
          <w:b w:val="0"/>
          <w:bCs w:val="0"/>
          <w:color w:val="auto"/>
          <w:kern w:val="10"/>
          <w:sz w:val="24"/>
          <w:szCs w:val="24"/>
          <w:highlight w:val="none"/>
        </w:rPr>
        <w:t>地址：河南省西华县东关城</w:t>
      </w:r>
    </w:p>
    <w:p w14:paraId="6CBD86C8">
      <w:pPr>
        <w:pStyle w:val="19"/>
        <w:spacing w:line="360" w:lineRule="auto"/>
        <w:ind w:firstLine="480" w:firstLineChars="200"/>
        <w:rPr>
          <w:rFonts w:hint="default" w:ascii="宋体" w:hAnsi="宋体" w:eastAsia="宋体" w:cs="宋体"/>
          <w:b w:val="0"/>
          <w:bCs w:val="0"/>
          <w:color w:val="auto"/>
          <w:kern w:val="10"/>
          <w:sz w:val="24"/>
          <w:szCs w:val="24"/>
          <w:highlight w:val="none"/>
          <w:lang w:val="en-US" w:eastAsia="zh-CN" w:bidi="ar-SA"/>
        </w:rPr>
      </w:pPr>
      <w:r>
        <w:rPr>
          <w:rFonts w:hint="eastAsia" w:ascii="宋体" w:hAnsi="宋体" w:eastAsia="宋体" w:cs="宋体"/>
          <w:b w:val="0"/>
          <w:bCs w:val="0"/>
          <w:color w:val="auto"/>
          <w:kern w:val="10"/>
          <w:sz w:val="24"/>
          <w:szCs w:val="24"/>
          <w:highlight w:val="none"/>
          <w:lang w:val="en-US" w:eastAsia="zh-CN" w:bidi="ar-SA"/>
        </w:rPr>
        <w:t>联系人：孙老师</w:t>
      </w:r>
    </w:p>
    <w:p w14:paraId="2A7AD341">
      <w:pPr>
        <w:pStyle w:val="19"/>
        <w:spacing w:line="360" w:lineRule="auto"/>
        <w:ind w:firstLine="480" w:firstLineChars="200"/>
        <w:rPr>
          <w:rFonts w:hint="default" w:ascii="宋体" w:hAnsi="宋体" w:eastAsia="宋体" w:cs="宋体"/>
          <w:b w:val="0"/>
          <w:bCs w:val="0"/>
          <w:color w:val="auto"/>
          <w:kern w:val="10"/>
          <w:sz w:val="24"/>
          <w:szCs w:val="24"/>
          <w:highlight w:val="none"/>
          <w:lang w:val="en-US" w:eastAsia="zh-CN" w:bidi="ar-SA"/>
        </w:rPr>
      </w:pPr>
      <w:r>
        <w:rPr>
          <w:rFonts w:hint="eastAsia" w:ascii="宋体" w:hAnsi="宋体" w:eastAsia="宋体" w:cs="宋体"/>
          <w:b w:val="0"/>
          <w:bCs w:val="0"/>
          <w:color w:val="auto"/>
          <w:kern w:val="10"/>
          <w:sz w:val="24"/>
          <w:szCs w:val="24"/>
          <w:highlight w:val="none"/>
          <w:lang w:val="en-US" w:eastAsia="zh-CN" w:bidi="ar-SA"/>
        </w:rPr>
        <w:t>联系电话：0394-8797698、18736069572</w:t>
      </w:r>
    </w:p>
    <w:p w14:paraId="5CB99CE6">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2.采购代理机构信息</w:t>
      </w:r>
      <w:r>
        <w:rPr>
          <w:rFonts w:hint="eastAsia" w:ascii="宋体" w:hAnsi="宋体" w:cs="宋体"/>
          <w:b w:val="0"/>
          <w:bCs w:val="0"/>
          <w:color w:val="auto"/>
          <w:kern w:val="10"/>
          <w:sz w:val="24"/>
          <w:szCs w:val="24"/>
          <w:highlight w:val="none"/>
          <w:lang w:val="en-US" w:eastAsia="zh-CN"/>
        </w:rPr>
        <w:t xml:space="preserve"> </w:t>
      </w:r>
      <w:r>
        <w:rPr>
          <w:rFonts w:hint="eastAsia" w:ascii="宋体" w:hAnsi="宋体" w:cs="宋体"/>
          <w:b w:val="0"/>
          <w:bCs w:val="0"/>
          <w:color w:val="auto"/>
          <w:kern w:val="10"/>
          <w:sz w:val="24"/>
          <w:szCs w:val="24"/>
          <w:highlight w:val="none"/>
        </w:rPr>
        <w:t xml:space="preserve"> </w:t>
      </w:r>
    </w:p>
    <w:p w14:paraId="6B8C4B88">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 xml:space="preserve">名称：方大国际工程咨询股份有限公司 </w:t>
      </w:r>
    </w:p>
    <w:p w14:paraId="3400EF5C">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 xml:space="preserve">地址：郑州市郑东新区康宁街与普济路交会处德威广场12层 </w:t>
      </w:r>
    </w:p>
    <w:p w14:paraId="011DA1CB">
      <w:pPr>
        <w:adjustRightInd w:val="0"/>
        <w:spacing w:line="360" w:lineRule="auto"/>
        <w:ind w:firstLine="480" w:firstLineChars="200"/>
        <w:rPr>
          <w:rFonts w:hint="eastAsia" w:ascii="宋体" w:hAnsi="宋体" w:cs="宋体"/>
          <w:b w:val="0"/>
          <w:bCs w:val="0"/>
          <w:color w:val="auto"/>
          <w:kern w:val="10"/>
          <w:sz w:val="24"/>
          <w:szCs w:val="24"/>
          <w:highlight w:val="none"/>
          <w:lang w:val="en-US" w:eastAsia="zh-CN"/>
        </w:rPr>
      </w:pPr>
      <w:r>
        <w:rPr>
          <w:rFonts w:hint="eastAsia" w:ascii="宋体" w:hAnsi="宋体" w:cs="宋体"/>
          <w:b w:val="0"/>
          <w:bCs w:val="0"/>
          <w:color w:val="auto"/>
          <w:kern w:val="10"/>
          <w:sz w:val="24"/>
          <w:szCs w:val="24"/>
          <w:highlight w:val="none"/>
        </w:rPr>
        <w:t>联系人：</w:t>
      </w:r>
      <w:r>
        <w:rPr>
          <w:rFonts w:hint="eastAsia" w:ascii="宋体" w:hAnsi="宋体" w:cs="宋体"/>
          <w:b w:val="0"/>
          <w:bCs w:val="0"/>
          <w:color w:val="auto"/>
          <w:kern w:val="10"/>
          <w:sz w:val="24"/>
          <w:szCs w:val="24"/>
          <w:highlight w:val="none"/>
          <w:lang w:val="en-US" w:eastAsia="zh-CN"/>
        </w:rPr>
        <w:t xml:space="preserve">朱雅乐 </w:t>
      </w:r>
      <w:r>
        <w:rPr>
          <w:rFonts w:hint="eastAsia" w:ascii="宋体" w:hAnsi="宋体" w:cs="宋体"/>
          <w:b w:val="0"/>
          <w:bCs w:val="0"/>
          <w:color w:val="auto"/>
          <w:kern w:val="10"/>
          <w:sz w:val="24"/>
          <w:szCs w:val="24"/>
          <w:highlight w:val="none"/>
          <w:lang w:eastAsia="zh-CN"/>
        </w:rPr>
        <w:t>杜</w:t>
      </w:r>
      <w:r>
        <w:rPr>
          <w:rFonts w:hint="eastAsia" w:ascii="宋体" w:hAnsi="宋体" w:cs="宋体"/>
          <w:b w:val="0"/>
          <w:bCs w:val="0"/>
          <w:color w:val="auto"/>
          <w:kern w:val="10"/>
          <w:sz w:val="24"/>
          <w:szCs w:val="24"/>
          <w:highlight w:val="none"/>
          <w:lang w:val="en-US" w:eastAsia="zh-CN"/>
        </w:rPr>
        <w:t xml:space="preserve">创业  </w:t>
      </w:r>
    </w:p>
    <w:p w14:paraId="4D919E4D">
      <w:pPr>
        <w:adjustRightInd w:val="0"/>
        <w:spacing w:line="360" w:lineRule="auto"/>
        <w:ind w:firstLine="480" w:firstLineChars="200"/>
        <w:rPr>
          <w:rFonts w:hint="eastAsia" w:ascii="宋体" w:hAnsi="宋体" w:cs="宋体"/>
          <w:b w:val="0"/>
          <w:bCs w:val="0"/>
          <w:color w:val="auto"/>
          <w:kern w:val="10"/>
          <w:sz w:val="24"/>
          <w:szCs w:val="24"/>
          <w:highlight w:val="none"/>
          <w:lang w:eastAsia="zh-CN"/>
        </w:rPr>
      </w:pPr>
      <w:r>
        <w:rPr>
          <w:rFonts w:hint="eastAsia" w:ascii="宋体" w:hAnsi="宋体" w:cs="宋体"/>
          <w:b w:val="0"/>
          <w:bCs w:val="0"/>
          <w:color w:val="auto"/>
          <w:kern w:val="10"/>
          <w:sz w:val="24"/>
          <w:szCs w:val="24"/>
          <w:highlight w:val="none"/>
        </w:rPr>
        <w:t>联系方式：0371-85967760</w:t>
      </w:r>
      <w:r>
        <w:rPr>
          <w:rFonts w:hint="eastAsia" w:ascii="宋体" w:hAnsi="宋体" w:cs="宋体"/>
          <w:b w:val="0"/>
          <w:bCs w:val="0"/>
          <w:color w:val="auto"/>
          <w:kern w:val="10"/>
          <w:sz w:val="24"/>
          <w:szCs w:val="24"/>
          <w:highlight w:val="none"/>
          <w:lang w:eastAsia="zh-CN"/>
        </w:rPr>
        <w:t>、</w:t>
      </w:r>
      <w:r>
        <w:rPr>
          <w:rFonts w:hint="eastAsia" w:ascii="宋体" w:hAnsi="宋体" w:cs="宋体"/>
          <w:b w:val="0"/>
          <w:bCs w:val="0"/>
          <w:color w:val="auto"/>
          <w:kern w:val="10"/>
          <w:sz w:val="24"/>
          <w:szCs w:val="24"/>
          <w:highlight w:val="none"/>
        </w:rPr>
        <w:t>0371-86120322</w:t>
      </w:r>
      <w:r>
        <w:rPr>
          <w:rFonts w:hint="eastAsia" w:ascii="宋体" w:hAnsi="宋体" w:cs="宋体"/>
          <w:b w:val="0"/>
          <w:bCs w:val="0"/>
          <w:color w:val="auto"/>
          <w:kern w:val="10"/>
          <w:sz w:val="24"/>
          <w:szCs w:val="24"/>
          <w:highlight w:val="none"/>
          <w:lang w:eastAsia="zh-CN"/>
        </w:rPr>
        <w:t>、0371-85969785</w:t>
      </w:r>
    </w:p>
    <w:p w14:paraId="7ACF17E5">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 xml:space="preserve">3.项目联系方式 </w:t>
      </w:r>
    </w:p>
    <w:p w14:paraId="0C5ACF1C">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项目联系人：</w:t>
      </w:r>
      <w:r>
        <w:rPr>
          <w:rFonts w:hint="eastAsia" w:ascii="宋体" w:hAnsi="宋体" w:cs="宋体"/>
          <w:b w:val="0"/>
          <w:bCs w:val="0"/>
          <w:color w:val="auto"/>
          <w:kern w:val="10"/>
          <w:sz w:val="24"/>
          <w:szCs w:val="24"/>
          <w:highlight w:val="none"/>
          <w:lang w:val="en-US" w:eastAsia="zh-CN"/>
        </w:rPr>
        <w:t xml:space="preserve">朱雅乐 </w:t>
      </w:r>
      <w:r>
        <w:rPr>
          <w:rFonts w:hint="eastAsia" w:ascii="宋体" w:hAnsi="宋体" w:cs="宋体"/>
          <w:b w:val="0"/>
          <w:bCs w:val="0"/>
          <w:color w:val="auto"/>
          <w:kern w:val="10"/>
          <w:sz w:val="24"/>
          <w:szCs w:val="24"/>
          <w:highlight w:val="none"/>
          <w:lang w:eastAsia="zh-CN"/>
        </w:rPr>
        <w:t>杜</w:t>
      </w:r>
      <w:r>
        <w:rPr>
          <w:rFonts w:hint="eastAsia" w:ascii="宋体" w:hAnsi="宋体" w:cs="宋体"/>
          <w:b w:val="0"/>
          <w:bCs w:val="0"/>
          <w:color w:val="auto"/>
          <w:kern w:val="10"/>
          <w:sz w:val="24"/>
          <w:szCs w:val="24"/>
          <w:highlight w:val="none"/>
          <w:lang w:val="en-US" w:eastAsia="zh-CN"/>
        </w:rPr>
        <w:t>创业</w:t>
      </w:r>
    </w:p>
    <w:p w14:paraId="6A62FBB3">
      <w:pPr>
        <w:adjustRightInd w:val="0"/>
        <w:spacing w:line="360" w:lineRule="auto"/>
        <w:ind w:firstLine="480" w:firstLineChars="200"/>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联系方式：0371-85967760、0371-86120322、0371-85969785</w:t>
      </w:r>
    </w:p>
    <w:p w14:paraId="300FD2EC">
      <w:pPr>
        <w:pStyle w:val="9"/>
        <w:rPr>
          <w:rFonts w:eastAsia="宋体" w:cs="宋体"/>
          <w:bCs/>
          <w:color w:val="auto"/>
          <w:sz w:val="24"/>
          <w:szCs w:val="24"/>
          <w:highlight w:val="none"/>
        </w:rPr>
      </w:pPr>
    </w:p>
    <w:p w14:paraId="44B960AC">
      <w:pPr>
        <w:pStyle w:val="15"/>
        <w:rPr>
          <w:rFonts w:hint="eastAsia"/>
          <w:color w:val="auto"/>
          <w:highlight w:val="none"/>
          <w:lang w:eastAsia="zh-CN"/>
        </w:rPr>
      </w:pPr>
    </w:p>
    <w:p w14:paraId="2EB348B6">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lang w:val="en-US" w:eastAsia="zh-CN"/>
        </w:rPr>
        <w:t xml:space="preserve"> </w:t>
      </w:r>
    </w:p>
    <w:p w14:paraId="0757D7D4">
      <w:pPr>
        <w:pStyle w:val="48"/>
        <w:rPr>
          <w:rFonts w:hint="eastAsia"/>
          <w:color w:val="auto"/>
          <w:highlight w:val="none"/>
        </w:rPr>
      </w:pPr>
    </w:p>
    <w:p w14:paraId="0160FA32">
      <w:pPr>
        <w:pStyle w:val="43"/>
        <w:rPr>
          <w:rFonts w:hint="eastAsia" w:ascii="宋体" w:hAnsi="宋体" w:cs="宋体"/>
          <w:color w:val="auto"/>
          <w:szCs w:val="24"/>
          <w:highlight w:val="none"/>
        </w:rPr>
      </w:pPr>
    </w:p>
    <w:p w14:paraId="0CF5D9B9">
      <w:pPr>
        <w:pStyle w:val="43"/>
        <w:rPr>
          <w:rFonts w:hint="eastAsia" w:ascii="宋体" w:hAnsi="宋体" w:cs="宋体"/>
          <w:color w:val="auto"/>
          <w:szCs w:val="24"/>
          <w:highlight w:val="none"/>
        </w:rPr>
      </w:pPr>
    </w:p>
    <w:p w14:paraId="5BE7A998">
      <w:pPr>
        <w:rPr>
          <w:rFonts w:hint="eastAsia" w:ascii="宋体" w:hAnsi="宋体" w:cs="宋体"/>
          <w:color w:val="auto"/>
          <w:sz w:val="24"/>
          <w:szCs w:val="24"/>
          <w:highlight w:val="none"/>
        </w:rPr>
      </w:pPr>
    </w:p>
    <w:p w14:paraId="2DB31B0C">
      <w:pPr>
        <w:rPr>
          <w:rFonts w:hint="eastAsia" w:ascii="宋体" w:hAnsi="宋体" w:cs="宋体"/>
          <w:color w:val="auto"/>
          <w:sz w:val="24"/>
          <w:szCs w:val="24"/>
          <w:highlight w:val="none"/>
        </w:rPr>
      </w:pPr>
    </w:p>
    <w:p w14:paraId="69C84D9A">
      <w:pPr>
        <w:rPr>
          <w:rFonts w:hint="eastAsia" w:ascii="宋体" w:hAnsi="宋体" w:cs="宋体"/>
          <w:color w:val="auto"/>
          <w:sz w:val="24"/>
          <w:szCs w:val="24"/>
          <w:highlight w:val="none"/>
        </w:rPr>
      </w:pPr>
    </w:p>
    <w:p w14:paraId="5943AE8D">
      <w:pPr>
        <w:rPr>
          <w:rFonts w:hint="eastAsia" w:ascii="宋体" w:hAnsi="宋体" w:cs="宋体"/>
          <w:color w:val="auto"/>
          <w:sz w:val="24"/>
          <w:szCs w:val="24"/>
          <w:highlight w:val="none"/>
        </w:rPr>
      </w:pPr>
    </w:p>
    <w:p w14:paraId="4E8ADF30">
      <w:pPr>
        <w:rPr>
          <w:rFonts w:hint="eastAsia" w:ascii="宋体" w:hAnsi="宋体" w:cs="宋体"/>
          <w:color w:val="auto"/>
          <w:sz w:val="24"/>
          <w:szCs w:val="24"/>
          <w:highlight w:val="none"/>
        </w:rPr>
      </w:pPr>
    </w:p>
    <w:p w14:paraId="0E8C634D">
      <w:pPr>
        <w:rPr>
          <w:rFonts w:hint="eastAsia" w:ascii="宋体" w:hAnsi="宋体" w:cs="宋体"/>
          <w:color w:val="auto"/>
          <w:sz w:val="24"/>
          <w:szCs w:val="24"/>
          <w:highlight w:val="none"/>
        </w:rPr>
      </w:pPr>
    </w:p>
    <w:p w14:paraId="576C256D">
      <w:pPr>
        <w:rPr>
          <w:rFonts w:hint="eastAsia" w:ascii="宋体" w:hAnsi="宋体" w:cs="宋体"/>
          <w:color w:val="auto"/>
          <w:sz w:val="24"/>
          <w:szCs w:val="24"/>
          <w:highlight w:val="none"/>
        </w:rPr>
      </w:pPr>
    </w:p>
    <w:p w14:paraId="4207AD03">
      <w:pPr>
        <w:rPr>
          <w:rFonts w:hint="eastAsia" w:ascii="宋体" w:hAnsi="宋体" w:cs="宋体"/>
          <w:color w:val="auto"/>
          <w:sz w:val="24"/>
          <w:szCs w:val="24"/>
          <w:highlight w:val="none"/>
        </w:rPr>
      </w:pPr>
    </w:p>
    <w:p w14:paraId="141E218A">
      <w:pPr>
        <w:rPr>
          <w:rFonts w:hint="eastAsia" w:ascii="宋体" w:hAnsi="宋体" w:cs="宋体"/>
          <w:color w:val="auto"/>
          <w:sz w:val="24"/>
          <w:szCs w:val="24"/>
          <w:highlight w:val="none"/>
        </w:rPr>
      </w:pPr>
    </w:p>
    <w:p w14:paraId="7C7C57BE">
      <w:pPr>
        <w:rPr>
          <w:rFonts w:hint="eastAsia" w:ascii="宋体" w:hAnsi="宋体" w:cs="宋体"/>
          <w:color w:val="auto"/>
          <w:sz w:val="24"/>
          <w:szCs w:val="24"/>
          <w:highlight w:val="none"/>
        </w:rPr>
      </w:pPr>
    </w:p>
    <w:p w14:paraId="345175AB">
      <w:pPr>
        <w:rPr>
          <w:rFonts w:hint="eastAsia" w:ascii="宋体" w:hAnsi="宋体" w:cs="宋体"/>
          <w:color w:val="auto"/>
          <w:sz w:val="24"/>
          <w:szCs w:val="24"/>
          <w:highlight w:val="none"/>
        </w:rPr>
      </w:pPr>
    </w:p>
    <w:p w14:paraId="4F990D9D">
      <w:pPr>
        <w:rPr>
          <w:rFonts w:hint="eastAsia" w:ascii="宋体" w:hAnsi="宋体" w:cs="宋体"/>
          <w:color w:val="auto"/>
          <w:sz w:val="24"/>
          <w:szCs w:val="24"/>
          <w:highlight w:val="none"/>
        </w:rPr>
      </w:pPr>
    </w:p>
    <w:p w14:paraId="5FD0020A">
      <w:pPr>
        <w:spacing w:line="360" w:lineRule="auto"/>
        <w:rPr>
          <w:rFonts w:hint="eastAsia" w:ascii="宋体" w:hAnsi="宋体" w:cs="宋体"/>
          <w:color w:val="auto"/>
          <w:sz w:val="24"/>
          <w:szCs w:val="24"/>
          <w:highlight w:val="none"/>
        </w:rPr>
      </w:pPr>
    </w:p>
    <w:p w14:paraId="71C8A721">
      <w:pPr>
        <w:pStyle w:val="43"/>
        <w:rPr>
          <w:rFonts w:hint="eastAsia" w:ascii="宋体" w:hAnsi="宋体" w:cs="宋体"/>
          <w:color w:val="auto"/>
          <w:szCs w:val="24"/>
          <w:highlight w:val="none"/>
        </w:rPr>
      </w:pPr>
    </w:p>
    <w:p w14:paraId="7E4D623E">
      <w:pPr>
        <w:pStyle w:val="43"/>
        <w:rPr>
          <w:rFonts w:hint="eastAsia" w:ascii="宋体" w:hAnsi="宋体" w:cs="宋体"/>
          <w:color w:val="auto"/>
          <w:szCs w:val="24"/>
          <w:highlight w:val="none"/>
        </w:rPr>
      </w:pPr>
    </w:p>
    <w:p w14:paraId="49E3DF71">
      <w:pPr>
        <w:pStyle w:val="2"/>
        <w:numPr>
          <w:ilvl w:val="0"/>
          <w:numId w:val="3"/>
        </w:numPr>
        <w:spacing w:line="360" w:lineRule="auto"/>
        <w:jc w:val="center"/>
        <w:rPr>
          <w:rFonts w:hint="eastAsia" w:ascii="宋体" w:hAnsi="宋体" w:cs="宋体"/>
          <w:color w:val="auto"/>
          <w:szCs w:val="44"/>
          <w:highlight w:val="none"/>
        </w:rPr>
      </w:pPr>
      <w:bookmarkStart w:id="10" w:name="_Toc190678808"/>
      <w:r>
        <w:rPr>
          <w:rFonts w:ascii="宋体" w:hAnsi="宋体" w:cs="宋体"/>
          <w:color w:val="auto"/>
          <w:szCs w:val="44"/>
          <w:highlight w:val="none"/>
        </w:rPr>
        <w:t xml:space="preserve">  </w:t>
      </w:r>
      <w:bookmarkStart w:id="11" w:name="_Toc24494"/>
      <w:bookmarkStart w:id="12" w:name="_Toc15329"/>
      <w:bookmarkStart w:id="13" w:name="_Toc9099"/>
      <w:bookmarkStart w:id="14" w:name="_Toc15076"/>
      <w:bookmarkStart w:id="15" w:name="_Toc72"/>
      <w:bookmarkStart w:id="16" w:name="_Toc15902"/>
      <w:bookmarkStart w:id="17" w:name="_Toc6723"/>
      <w:bookmarkStart w:id="18" w:name="_Toc15398"/>
      <w:bookmarkStart w:id="19" w:name="_Toc4252"/>
      <w:r>
        <w:rPr>
          <w:rFonts w:hint="eastAsia" w:ascii="宋体" w:hAnsi="宋体" w:cs="宋体"/>
          <w:color w:val="auto"/>
          <w:szCs w:val="44"/>
          <w:highlight w:val="none"/>
          <w:lang w:eastAsia="zh-CN"/>
        </w:rPr>
        <w:t>投标人</w:t>
      </w:r>
      <w:r>
        <w:rPr>
          <w:rFonts w:hint="eastAsia" w:ascii="宋体" w:hAnsi="宋体" w:cs="宋体"/>
          <w:color w:val="auto"/>
          <w:szCs w:val="44"/>
          <w:highlight w:val="none"/>
        </w:rPr>
        <w:t>须知</w:t>
      </w:r>
      <w:bookmarkEnd w:id="10"/>
      <w:bookmarkEnd w:id="11"/>
      <w:bookmarkEnd w:id="12"/>
      <w:bookmarkEnd w:id="13"/>
      <w:bookmarkEnd w:id="14"/>
      <w:bookmarkEnd w:id="15"/>
      <w:bookmarkEnd w:id="16"/>
      <w:bookmarkEnd w:id="17"/>
      <w:bookmarkEnd w:id="18"/>
      <w:bookmarkEnd w:id="19"/>
    </w:p>
    <w:p w14:paraId="64D3A732">
      <w:pPr>
        <w:spacing w:line="360" w:lineRule="auto"/>
        <w:ind w:firstLine="420"/>
        <w:jc w:val="center"/>
        <w:outlineLvl w:val="1"/>
        <w:rPr>
          <w:rFonts w:hint="eastAsia" w:ascii="宋体" w:hAnsi="宋体" w:cs="宋体"/>
          <w:b/>
          <w:bCs/>
          <w:color w:val="auto"/>
          <w:sz w:val="24"/>
          <w:szCs w:val="24"/>
          <w:highlight w:val="none"/>
        </w:rPr>
      </w:pPr>
      <w:r>
        <w:rPr>
          <w:rFonts w:hint="eastAsia" w:ascii="宋体" w:hAnsi="宋体" w:cs="宋体"/>
          <w:color w:val="auto"/>
          <w:sz w:val="24"/>
          <w:szCs w:val="24"/>
          <w:highlight w:val="none"/>
        </w:rPr>
        <w:br w:type="page"/>
      </w:r>
      <w:bookmarkStart w:id="20" w:name="_Toc26274"/>
      <w:bookmarkStart w:id="21" w:name="_Toc19710"/>
      <w:bookmarkStart w:id="22" w:name="_Toc30190"/>
      <w:bookmarkStart w:id="23" w:name="_Toc7712"/>
      <w:bookmarkStart w:id="24" w:name="_Toc28040"/>
      <w:bookmarkStart w:id="25" w:name="_Toc14514"/>
      <w:bookmarkStart w:id="26" w:name="_Toc27251"/>
      <w:bookmarkStart w:id="27" w:name="_Toc190678809"/>
      <w:bookmarkStart w:id="28" w:name="_Toc23708"/>
      <w:bookmarkStart w:id="29" w:name="_Toc21685"/>
      <w:r>
        <w:rPr>
          <w:rFonts w:hint="eastAsia" w:ascii="宋体" w:hAnsi="宋体" w:cs="宋体"/>
          <w:b/>
          <w:bCs/>
          <w:color w:val="auto"/>
          <w:sz w:val="24"/>
          <w:szCs w:val="24"/>
          <w:highlight w:val="none"/>
          <w:lang w:eastAsia="zh-CN"/>
        </w:rPr>
        <w:t>投标人</w:t>
      </w:r>
      <w:r>
        <w:rPr>
          <w:rFonts w:hint="eastAsia" w:ascii="宋体" w:hAnsi="宋体" w:cs="宋体"/>
          <w:b/>
          <w:bCs/>
          <w:color w:val="auto"/>
          <w:sz w:val="24"/>
          <w:szCs w:val="24"/>
          <w:highlight w:val="none"/>
        </w:rPr>
        <w:t>须知前附表</w:t>
      </w:r>
      <w:bookmarkEnd w:id="20"/>
      <w:bookmarkEnd w:id="21"/>
      <w:bookmarkEnd w:id="22"/>
      <w:bookmarkEnd w:id="23"/>
      <w:bookmarkEnd w:id="24"/>
      <w:bookmarkEnd w:id="25"/>
      <w:bookmarkEnd w:id="26"/>
      <w:bookmarkEnd w:id="27"/>
      <w:bookmarkEnd w:id="28"/>
      <w:bookmarkEnd w:id="29"/>
    </w:p>
    <w:tbl>
      <w:tblPr>
        <w:tblStyle w:val="26"/>
        <w:tblW w:w="10008" w:type="dxa"/>
        <w:jc w:val="center"/>
        <w:tblLayout w:type="fixed"/>
        <w:tblCellMar>
          <w:top w:w="0" w:type="dxa"/>
          <w:left w:w="108" w:type="dxa"/>
          <w:bottom w:w="0" w:type="dxa"/>
          <w:right w:w="108" w:type="dxa"/>
        </w:tblCellMar>
      </w:tblPr>
      <w:tblGrid>
        <w:gridCol w:w="863"/>
        <w:gridCol w:w="393"/>
        <w:gridCol w:w="2176"/>
        <w:gridCol w:w="6576"/>
      </w:tblGrid>
      <w:tr w14:paraId="73350845">
        <w:tblPrEx>
          <w:tblCellMar>
            <w:top w:w="0" w:type="dxa"/>
            <w:left w:w="108" w:type="dxa"/>
            <w:bottom w:w="0" w:type="dxa"/>
            <w:right w:w="108" w:type="dxa"/>
          </w:tblCellMar>
        </w:tblPrEx>
        <w:trPr>
          <w:trHeight w:val="541"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6FD6E227">
            <w:pPr>
              <w:snapToGrid w:val="0"/>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条款号</w:t>
            </w:r>
          </w:p>
        </w:tc>
        <w:tc>
          <w:tcPr>
            <w:tcW w:w="2176" w:type="dxa"/>
            <w:tcBorders>
              <w:top w:val="single" w:color="auto" w:sz="4" w:space="0"/>
              <w:left w:val="single" w:color="auto" w:sz="4" w:space="0"/>
              <w:bottom w:val="single" w:color="auto" w:sz="4" w:space="0"/>
              <w:right w:val="single" w:color="auto" w:sz="4" w:space="0"/>
            </w:tcBorders>
            <w:vAlign w:val="center"/>
          </w:tcPr>
          <w:p w14:paraId="5BA954B2">
            <w:pPr>
              <w:snapToGrid w:val="0"/>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款</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名</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称</w:t>
            </w:r>
          </w:p>
        </w:tc>
        <w:tc>
          <w:tcPr>
            <w:tcW w:w="6576" w:type="dxa"/>
            <w:tcBorders>
              <w:top w:val="single" w:color="auto" w:sz="4" w:space="0"/>
              <w:left w:val="single" w:color="auto" w:sz="4" w:space="0"/>
              <w:bottom w:val="single" w:color="auto" w:sz="4" w:space="0"/>
              <w:right w:val="single" w:color="auto" w:sz="4" w:space="0"/>
            </w:tcBorders>
            <w:vAlign w:val="center"/>
          </w:tcPr>
          <w:p w14:paraId="4B5646BF">
            <w:pPr>
              <w:snapToGrid w:val="0"/>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编</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列</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内</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容</w:t>
            </w:r>
          </w:p>
        </w:tc>
      </w:tr>
      <w:tr w14:paraId="394B6FAB">
        <w:tblPrEx>
          <w:tblCellMar>
            <w:top w:w="0" w:type="dxa"/>
            <w:left w:w="108" w:type="dxa"/>
            <w:bottom w:w="0" w:type="dxa"/>
            <w:right w:w="108" w:type="dxa"/>
          </w:tblCellMar>
        </w:tblPrEx>
        <w:trPr>
          <w:trHeight w:val="918"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284FDB34">
            <w:pPr>
              <w:snapToGrid w:val="0"/>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1</w:t>
            </w:r>
          </w:p>
        </w:tc>
        <w:tc>
          <w:tcPr>
            <w:tcW w:w="2176" w:type="dxa"/>
            <w:tcBorders>
              <w:top w:val="single" w:color="auto" w:sz="4" w:space="0"/>
              <w:left w:val="single" w:color="auto" w:sz="4" w:space="0"/>
              <w:bottom w:val="single" w:color="auto" w:sz="4" w:space="0"/>
              <w:right w:val="single" w:color="auto" w:sz="4" w:space="0"/>
            </w:tcBorders>
            <w:vAlign w:val="center"/>
          </w:tcPr>
          <w:p w14:paraId="73AA77C1">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采购人</w:t>
            </w:r>
          </w:p>
        </w:tc>
        <w:tc>
          <w:tcPr>
            <w:tcW w:w="6576" w:type="dxa"/>
            <w:tcBorders>
              <w:top w:val="single" w:color="auto" w:sz="4" w:space="0"/>
              <w:left w:val="single" w:color="auto" w:sz="4" w:space="0"/>
              <w:bottom w:val="single" w:color="auto" w:sz="4" w:space="0"/>
              <w:right w:val="single" w:color="auto" w:sz="4" w:space="0"/>
            </w:tcBorders>
            <w:vAlign w:val="center"/>
          </w:tcPr>
          <w:p w14:paraId="0F395B1C">
            <w:pPr>
              <w:adjustRightInd w:val="0"/>
              <w:spacing w:line="360" w:lineRule="auto"/>
              <w:rPr>
                <w:rFonts w:hint="eastAsia" w:ascii="宋体" w:hAnsi="宋体" w:eastAsia="宋体" w:cs="宋体"/>
                <w:b w:val="0"/>
                <w:bCs w:val="0"/>
                <w:color w:val="auto"/>
                <w:kern w:val="10"/>
                <w:sz w:val="24"/>
                <w:szCs w:val="24"/>
                <w:highlight w:val="none"/>
              </w:rPr>
            </w:pPr>
            <w:r>
              <w:rPr>
                <w:rFonts w:hint="eastAsia" w:ascii="宋体" w:hAnsi="宋体" w:eastAsia="宋体" w:cs="宋体"/>
                <w:b w:val="0"/>
                <w:bCs w:val="0"/>
                <w:color w:val="auto"/>
                <w:kern w:val="10"/>
                <w:sz w:val="24"/>
                <w:szCs w:val="24"/>
                <w:highlight w:val="none"/>
              </w:rPr>
              <w:t>名称：</w:t>
            </w:r>
            <w:r>
              <w:rPr>
                <w:rFonts w:hint="eastAsia" w:ascii="宋体" w:hAnsi="宋体" w:cs="宋体"/>
                <w:b w:val="0"/>
                <w:bCs w:val="0"/>
                <w:color w:val="auto"/>
                <w:kern w:val="10"/>
                <w:sz w:val="24"/>
                <w:szCs w:val="24"/>
                <w:highlight w:val="none"/>
                <w:lang w:eastAsia="zh-CN"/>
              </w:rPr>
              <w:t>河南省周口监狱</w:t>
            </w:r>
            <w:r>
              <w:rPr>
                <w:rFonts w:hint="eastAsia" w:ascii="宋体" w:hAnsi="宋体" w:eastAsia="宋体" w:cs="宋体"/>
                <w:b w:val="0"/>
                <w:bCs w:val="0"/>
                <w:color w:val="auto"/>
                <w:kern w:val="10"/>
                <w:sz w:val="24"/>
                <w:szCs w:val="24"/>
                <w:highlight w:val="none"/>
              </w:rPr>
              <w:t xml:space="preserve"> </w:t>
            </w:r>
          </w:p>
          <w:p w14:paraId="4A338672">
            <w:pPr>
              <w:adjustRightInd w:val="0"/>
              <w:spacing w:line="360" w:lineRule="auto"/>
              <w:rPr>
                <w:rFonts w:hint="eastAsia" w:ascii="宋体" w:hAnsi="宋体" w:eastAsia="宋体" w:cs="宋体"/>
                <w:b w:val="0"/>
                <w:bCs w:val="0"/>
                <w:color w:val="auto"/>
                <w:kern w:val="10"/>
                <w:sz w:val="24"/>
                <w:szCs w:val="24"/>
                <w:highlight w:val="none"/>
                <w:lang w:eastAsia="zh-CN"/>
              </w:rPr>
            </w:pPr>
            <w:r>
              <w:rPr>
                <w:rFonts w:hint="eastAsia" w:ascii="宋体" w:hAnsi="宋体" w:eastAsia="宋体" w:cs="宋体"/>
                <w:b w:val="0"/>
                <w:bCs w:val="0"/>
                <w:color w:val="auto"/>
                <w:kern w:val="10"/>
                <w:sz w:val="24"/>
                <w:szCs w:val="24"/>
                <w:highlight w:val="none"/>
              </w:rPr>
              <w:t>地址：河南省西华县东关城</w:t>
            </w:r>
          </w:p>
          <w:p w14:paraId="1899D889">
            <w:pPr>
              <w:adjustRightInd w:val="0"/>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联系人：</w:t>
            </w:r>
            <w:r>
              <w:rPr>
                <w:rFonts w:hint="eastAsia" w:ascii="宋体" w:hAnsi="宋体" w:eastAsia="宋体" w:cs="宋体"/>
                <w:b w:val="0"/>
                <w:bCs w:val="0"/>
                <w:color w:val="auto"/>
                <w:kern w:val="10"/>
                <w:sz w:val="24"/>
                <w:szCs w:val="24"/>
                <w:highlight w:val="none"/>
                <w:lang w:val="en-US" w:eastAsia="zh-CN" w:bidi="ar-SA"/>
              </w:rPr>
              <w:t>孙老师</w:t>
            </w:r>
          </w:p>
          <w:p w14:paraId="3048ACD3">
            <w:pPr>
              <w:adjustRightIn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联系电话：0394-</w:t>
            </w:r>
            <w:r>
              <w:rPr>
                <w:rFonts w:hint="eastAsia" w:ascii="宋体" w:hAnsi="宋体" w:eastAsia="宋体" w:cs="宋体"/>
                <w:b w:val="0"/>
                <w:bCs w:val="0"/>
                <w:color w:val="auto"/>
                <w:kern w:val="10"/>
                <w:sz w:val="24"/>
                <w:szCs w:val="24"/>
                <w:highlight w:val="none"/>
                <w:lang w:val="en-US" w:eastAsia="zh-CN" w:bidi="ar-SA"/>
              </w:rPr>
              <w:t>8797698、18736069572</w:t>
            </w:r>
          </w:p>
        </w:tc>
      </w:tr>
      <w:tr w14:paraId="7001B98C">
        <w:tblPrEx>
          <w:tblCellMar>
            <w:top w:w="0" w:type="dxa"/>
            <w:left w:w="108" w:type="dxa"/>
            <w:bottom w:w="0" w:type="dxa"/>
            <w:right w:w="108" w:type="dxa"/>
          </w:tblCellMar>
        </w:tblPrEx>
        <w:trPr>
          <w:trHeight w:val="606"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0DC0F556">
            <w:pPr>
              <w:snapToGrid w:val="0"/>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2</w:t>
            </w:r>
          </w:p>
        </w:tc>
        <w:tc>
          <w:tcPr>
            <w:tcW w:w="2176" w:type="dxa"/>
            <w:tcBorders>
              <w:top w:val="single" w:color="auto" w:sz="4" w:space="0"/>
              <w:left w:val="single" w:color="auto" w:sz="4" w:space="0"/>
              <w:bottom w:val="single" w:color="auto" w:sz="4" w:space="0"/>
              <w:right w:val="single" w:color="auto" w:sz="4" w:space="0"/>
            </w:tcBorders>
            <w:vAlign w:val="center"/>
          </w:tcPr>
          <w:p w14:paraId="07B27F03">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w:t>
            </w:r>
          </w:p>
        </w:tc>
        <w:tc>
          <w:tcPr>
            <w:tcW w:w="6576" w:type="dxa"/>
            <w:tcBorders>
              <w:top w:val="single" w:color="auto" w:sz="4" w:space="0"/>
              <w:left w:val="single" w:color="auto" w:sz="4" w:space="0"/>
              <w:bottom w:val="single" w:color="auto" w:sz="4" w:space="0"/>
              <w:right w:val="single" w:color="auto" w:sz="4" w:space="0"/>
            </w:tcBorders>
            <w:vAlign w:val="center"/>
          </w:tcPr>
          <w:p w14:paraId="2F043E2F">
            <w:pPr>
              <w:adjustRightInd w:val="0"/>
              <w:spacing w:line="360" w:lineRule="auto"/>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 xml:space="preserve">名称：方大国际工程咨询股份有限公司 </w:t>
            </w:r>
          </w:p>
          <w:p w14:paraId="166C5CD6">
            <w:pPr>
              <w:adjustRightInd w:val="0"/>
              <w:spacing w:line="360" w:lineRule="auto"/>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rPr>
              <w:t xml:space="preserve">地址：郑州市郑东新区康宁街与普济路交会处德威广场12层 </w:t>
            </w:r>
          </w:p>
          <w:p w14:paraId="5BECCB83">
            <w:pPr>
              <w:adjustRightInd w:val="0"/>
              <w:spacing w:line="360" w:lineRule="auto"/>
              <w:rPr>
                <w:rFonts w:hint="default" w:ascii="宋体" w:hAnsi="宋体" w:cs="宋体"/>
                <w:b w:val="0"/>
                <w:bCs w:val="0"/>
                <w:color w:val="auto"/>
                <w:kern w:val="10"/>
                <w:sz w:val="24"/>
                <w:szCs w:val="24"/>
                <w:highlight w:val="none"/>
                <w:lang w:val="en-US" w:eastAsia="zh-CN"/>
              </w:rPr>
            </w:pPr>
            <w:r>
              <w:rPr>
                <w:rFonts w:hint="eastAsia" w:ascii="宋体" w:hAnsi="宋体" w:cs="宋体"/>
                <w:b w:val="0"/>
                <w:bCs w:val="0"/>
                <w:color w:val="auto"/>
                <w:kern w:val="10"/>
                <w:sz w:val="24"/>
                <w:szCs w:val="24"/>
                <w:highlight w:val="none"/>
              </w:rPr>
              <w:t>联系人：</w:t>
            </w:r>
            <w:r>
              <w:rPr>
                <w:rFonts w:hint="eastAsia" w:ascii="宋体" w:hAnsi="宋体" w:cs="宋体"/>
                <w:b w:val="0"/>
                <w:bCs w:val="0"/>
                <w:color w:val="auto"/>
                <w:kern w:val="10"/>
                <w:sz w:val="24"/>
                <w:szCs w:val="24"/>
                <w:highlight w:val="none"/>
                <w:lang w:val="en-US" w:eastAsia="zh-CN"/>
              </w:rPr>
              <w:t xml:space="preserve">朱雅乐 </w:t>
            </w:r>
            <w:r>
              <w:rPr>
                <w:rFonts w:hint="eastAsia" w:ascii="宋体" w:hAnsi="宋体" w:cs="宋体"/>
                <w:b w:val="0"/>
                <w:bCs w:val="0"/>
                <w:color w:val="auto"/>
                <w:kern w:val="10"/>
                <w:sz w:val="24"/>
                <w:szCs w:val="24"/>
                <w:highlight w:val="none"/>
                <w:lang w:eastAsia="zh-CN"/>
              </w:rPr>
              <w:t>杜</w:t>
            </w:r>
            <w:r>
              <w:rPr>
                <w:rFonts w:hint="eastAsia" w:ascii="宋体" w:hAnsi="宋体" w:cs="宋体"/>
                <w:b w:val="0"/>
                <w:bCs w:val="0"/>
                <w:color w:val="auto"/>
                <w:kern w:val="10"/>
                <w:sz w:val="24"/>
                <w:szCs w:val="24"/>
                <w:highlight w:val="none"/>
                <w:lang w:val="en-US" w:eastAsia="zh-CN"/>
              </w:rPr>
              <w:t xml:space="preserve">创业 </w:t>
            </w:r>
          </w:p>
          <w:p w14:paraId="373B2D75">
            <w:pPr>
              <w:snapToGrid w:val="0"/>
              <w:spacing w:line="360" w:lineRule="auto"/>
              <w:jc w:val="left"/>
              <w:rPr>
                <w:rFonts w:hint="eastAsia" w:ascii="宋体" w:hAnsi="宋体" w:cs="宋体"/>
                <w:color w:val="auto"/>
                <w:sz w:val="24"/>
                <w:szCs w:val="24"/>
                <w:highlight w:val="none"/>
              </w:rPr>
            </w:pPr>
            <w:r>
              <w:rPr>
                <w:rFonts w:hint="eastAsia" w:ascii="宋体" w:hAnsi="宋体" w:cs="宋体"/>
                <w:b w:val="0"/>
                <w:bCs w:val="0"/>
                <w:color w:val="auto"/>
                <w:kern w:val="10"/>
                <w:sz w:val="24"/>
                <w:szCs w:val="24"/>
                <w:highlight w:val="none"/>
              </w:rPr>
              <w:t>联系方式：0371-85967760</w:t>
            </w:r>
            <w:r>
              <w:rPr>
                <w:rFonts w:hint="eastAsia" w:ascii="宋体" w:hAnsi="宋体" w:cs="宋体"/>
                <w:b w:val="0"/>
                <w:bCs w:val="0"/>
                <w:color w:val="auto"/>
                <w:kern w:val="10"/>
                <w:sz w:val="24"/>
                <w:szCs w:val="24"/>
                <w:highlight w:val="none"/>
                <w:lang w:eastAsia="zh-CN"/>
              </w:rPr>
              <w:t>、</w:t>
            </w:r>
            <w:r>
              <w:rPr>
                <w:rFonts w:hint="eastAsia" w:ascii="宋体" w:hAnsi="宋体" w:cs="宋体"/>
                <w:b w:val="0"/>
                <w:bCs w:val="0"/>
                <w:color w:val="auto"/>
                <w:kern w:val="10"/>
                <w:sz w:val="24"/>
                <w:szCs w:val="24"/>
                <w:highlight w:val="none"/>
              </w:rPr>
              <w:t>0371-86120322</w:t>
            </w:r>
            <w:r>
              <w:rPr>
                <w:rFonts w:hint="eastAsia" w:ascii="宋体" w:hAnsi="宋体" w:cs="宋体"/>
                <w:b w:val="0"/>
                <w:bCs w:val="0"/>
                <w:color w:val="auto"/>
                <w:kern w:val="10"/>
                <w:sz w:val="24"/>
                <w:szCs w:val="24"/>
                <w:highlight w:val="none"/>
                <w:lang w:eastAsia="zh-CN"/>
              </w:rPr>
              <w:t>、0371-85969785</w:t>
            </w:r>
          </w:p>
        </w:tc>
      </w:tr>
      <w:tr w14:paraId="5B9D47C7">
        <w:tblPrEx>
          <w:tblCellMar>
            <w:top w:w="0" w:type="dxa"/>
            <w:left w:w="108" w:type="dxa"/>
            <w:bottom w:w="0" w:type="dxa"/>
            <w:right w:w="108" w:type="dxa"/>
          </w:tblCellMar>
        </w:tblPrEx>
        <w:trPr>
          <w:trHeight w:val="567"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7EBA3C1D">
            <w:pPr>
              <w:snapToGrid w:val="0"/>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3</w:t>
            </w:r>
          </w:p>
        </w:tc>
        <w:tc>
          <w:tcPr>
            <w:tcW w:w="2176" w:type="dxa"/>
            <w:tcBorders>
              <w:top w:val="single" w:color="auto" w:sz="4" w:space="0"/>
              <w:left w:val="single" w:color="auto" w:sz="4" w:space="0"/>
              <w:bottom w:val="single" w:color="auto" w:sz="4" w:space="0"/>
              <w:right w:val="single" w:color="auto" w:sz="4" w:space="0"/>
            </w:tcBorders>
            <w:vAlign w:val="center"/>
          </w:tcPr>
          <w:p w14:paraId="42283C25">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576" w:type="dxa"/>
            <w:tcBorders>
              <w:top w:val="single" w:color="auto" w:sz="4" w:space="0"/>
              <w:left w:val="single" w:color="auto" w:sz="4" w:space="0"/>
              <w:bottom w:val="single" w:color="auto" w:sz="4" w:space="0"/>
              <w:right w:val="single" w:color="auto" w:sz="4" w:space="0"/>
            </w:tcBorders>
            <w:vAlign w:val="center"/>
          </w:tcPr>
          <w:p w14:paraId="75D6CD9E">
            <w:pPr>
              <w:snapToGri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河南省周口监狱通讯网络平台项目</w:t>
            </w:r>
          </w:p>
        </w:tc>
      </w:tr>
      <w:tr w14:paraId="335BA7EB">
        <w:tblPrEx>
          <w:tblCellMar>
            <w:top w:w="0" w:type="dxa"/>
            <w:left w:w="108" w:type="dxa"/>
            <w:bottom w:w="0" w:type="dxa"/>
            <w:right w:w="108" w:type="dxa"/>
          </w:tblCellMar>
        </w:tblPrEx>
        <w:trPr>
          <w:trHeight w:val="567"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7A4AB503">
            <w:pPr>
              <w:snapToGrid w:val="0"/>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4</w:t>
            </w:r>
          </w:p>
        </w:tc>
        <w:tc>
          <w:tcPr>
            <w:tcW w:w="2176" w:type="dxa"/>
            <w:tcBorders>
              <w:top w:val="single" w:color="auto" w:sz="4" w:space="0"/>
              <w:left w:val="single" w:color="auto" w:sz="4" w:space="0"/>
              <w:bottom w:val="single" w:color="auto" w:sz="4" w:space="0"/>
              <w:right w:val="single" w:color="auto" w:sz="4" w:space="0"/>
            </w:tcBorders>
            <w:vAlign w:val="center"/>
          </w:tcPr>
          <w:p w14:paraId="6AAFD7EF">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资金来源及比例</w:t>
            </w:r>
          </w:p>
        </w:tc>
        <w:tc>
          <w:tcPr>
            <w:tcW w:w="6576" w:type="dxa"/>
            <w:tcBorders>
              <w:top w:val="single" w:color="auto" w:sz="4" w:space="0"/>
              <w:left w:val="single" w:color="auto" w:sz="4" w:space="0"/>
              <w:bottom w:val="single" w:color="auto" w:sz="4" w:space="0"/>
              <w:right w:val="single" w:color="auto" w:sz="4" w:space="0"/>
            </w:tcBorders>
            <w:vAlign w:val="center"/>
          </w:tcPr>
          <w:p w14:paraId="62EFD9F9">
            <w:pPr>
              <w:snapToGrid w:val="0"/>
              <w:spacing w:line="360" w:lineRule="auto"/>
              <w:rPr>
                <w:rFonts w:hint="eastAsia" w:ascii="宋体" w:hAnsi="宋体" w:eastAsia="宋体" w:cs="宋体"/>
                <w:color w:val="auto"/>
                <w:sz w:val="24"/>
                <w:szCs w:val="24"/>
                <w:highlight w:val="none"/>
                <w:shd w:val="pct10" w:color="auto" w:fill="FFFFFF"/>
                <w:lang w:eastAsia="zh-CN"/>
              </w:rPr>
            </w:pPr>
            <w:r>
              <w:rPr>
                <w:rFonts w:hint="eastAsia" w:ascii="宋体" w:hAnsi="宋体" w:cs="宋体"/>
                <w:color w:val="auto"/>
                <w:sz w:val="24"/>
                <w:szCs w:val="24"/>
                <w:highlight w:val="none"/>
                <w:lang w:val="en-US" w:eastAsia="zh-CN"/>
              </w:rPr>
              <w:t>财政</w:t>
            </w:r>
            <w:r>
              <w:rPr>
                <w:rFonts w:hint="eastAsia" w:ascii="宋体" w:hAnsi="宋体" w:cs="宋体"/>
                <w:color w:val="auto"/>
                <w:sz w:val="24"/>
                <w:szCs w:val="24"/>
                <w:highlight w:val="none"/>
              </w:rPr>
              <w:t>资金，</w:t>
            </w:r>
            <w:r>
              <w:rPr>
                <w:rFonts w:ascii="宋体" w:hAnsi="宋体" w:cs="宋体"/>
                <w:color w:val="auto"/>
                <w:sz w:val="24"/>
                <w:szCs w:val="24"/>
                <w:highlight w:val="none"/>
              </w:rPr>
              <w:t>100%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资金已落实</w:t>
            </w:r>
          </w:p>
        </w:tc>
      </w:tr>
      <w:tr w14:paraId="26F46A03">
        <w:tblPrEx>
          <w:tblCellMar>
            <w:top w:w="0" w:type="dxa"/>
            <w:left w:w="108" w:type="dxa"/>
            <w:bottom w:w="0" w:type="dxa"/>
            <w:right w:w="108" w:type="dxa"/>
          </w:tblCellMar>
        </w:tblPrEx>
        <w:trPr>
          <w:trHeight w:val="617"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3DD90F13">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2176" w:type="dxa"/>
            <w:tcBorders>
              <w:top w:val="single" w:color="auto" w:sz="4" w:space="0"/>
              <w:left w:val="single" w:color="auto" w:sz="4" w:space="0"/>
              <w:bottom w:val="single" w:color="auto" w:sz="4" w:space="0"/>
              <w:right w:val="single" w:color="auto" w:sz="4" w:space="0"/>
            </w:tcBorders>
            <w:vAlign w:val="center"/>
          </w:tcPr>
          <w:p w14:paraId="1B944F53">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招标范围</w:t>
            </w:r>
          </w:p>
        </w:tc>
        <w:tc>
          <w:tcPr>
            <w:tcW w:w="6576" w:type="dxa"/>
            <w:tcBorders>
              <w:top w:val="single" w:color="auto" w:sz="4" w:space="0"/>
              <w:left w:val="single" w:color="auto" w:sz="4" w:space="0"/>
              <w:bottom w:val="single" w:color="auto" w:sz="4" w:space="0"/>
              <w:right w:val="single" w:color="auto" w:sz="4" w:space="0"/>
            </w:tcBorders>
            <w:vAlign w:val="center"/>
          </w:tcPr>
          <w:p w14:paraId="673B354A">
            <w:pPr>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河南省周口监狱通讯网络平台</w:t>
            </w:r>
            <w:r>
              <w:rPr>
                <w:rFonts w:hint="eastAsia" w:ascii="宋体" w:hAnsi="宋体" w:eastAsia="宋体" w:cs="宋体"/>
                <w:color w:val="auto"/>
                <w:sz w:val="24"/>
                <w:szCs w:val="24"/>
                <w:highlight w:val="none"/>
                <w:lang w:val="en-US" w:eastAsia="zh-CN"/>
              </w:rPr>
              <w:t>服务</w:t>
            </w:r>
            <w:r>
              <w:rPr>
                <w:rFonts w:hint="eastAsia" w:ascii="宋体" w:hAnsi="宋体" w:cs="宋体"/>
                <w:b w:val="0"/>
                <w:bCs w:val="0"/>
                <w:color w:val="auto"/>
                <w:kern w:val="10"/>
                <w:sz w:val="24"/>
                <w:szCs w:val="24"/>
                <w:highlight w:val="none"/>
                <w:lang w:val="en-US" w:eastAsia="zh-CN"/>
              </w:rPr>
              <w:t>（详见项目需求及技术要求）</w:t>
            </w:r>
            <w:r>
              <w:rPr>
                <w:rFonts w:hint="eastAsia" w:ascii="宋体" w:hAnsi="宋体" w:eastAsia="宋体" w:cs="宋体"/>
                <w:color w:val="auto"/>
                <w:sz w:val="24"/>
                <w:szCs w:val="24"/>
                <w:highlight w:val="none"/>
                <w:lang w:eastAsia="zh-CN"/>
              </w:rPr>
              <w:t>；</w:t>
            </w:r>
          </w:p>
        </w:tc>
      </w:tr>
      <w:tr w14:paraId="22E87AAE">
        <w:tblPrEx>
          <w:tblCellMar>
            <w:top w:w="0" w:type="dxa"/>
            <w:left w:w="108" w:type="dxa"/>
            <w:bottom w:w="0" w:type="dxa"/>
            <w:right w:w="108" w:type="dxa"/>
          </w:tblCellMar>
        </w:tblPrEx>
        <w:trPr>
          <w:trHeight w:val="416"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3547AA81">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2176" w:type="dxa"/>
            <w:tcBorders>
              <w:top w:val="single" w:color="auto" w:sz="4" w:space="0"/>
              <w:left w:val="single" w:color="auto" w:sz="4" w:space="0"/>
              <w:bottom w:val="single" w:color="auto" w:sz="4" w:space="0"/>
              <w:right w:val="single" w:color="auto" w:sz="4" w:space="0"/>
            </w:tcBorders>
            <w:vAlign w:val="center"/>
          </w:tcPr>
          <w:p w14:paraId="251CD349">
            <w:pPr>
              <w:snapToGrid w:val="0"/>
              <w:spacing w:line="360" w:lineRule="auto"/>
              <w:jc w:val="center"/>
              <w:rPr>
                <w:rFonts w:hint="eastAsia" w:ascii="宋体" w:hAnsi="宋体" w:cs="宋体"/>
                <w:color w:val="auto"/>
                <w:sz w:val="24"/>
                <w:szCs w:val="24"/>
                <w:highlight w:val="none"/>
              </w:rPr>
            </w:pPr>
            <w:r>
              <w:rPr>
                <w:rFonts w:hint="eastAsia" w:ascii="宋体" w:hAnsi="宋体" w:cs="宋体"/>
                <w:b w:val="0"/>
                <w:bCs w:val="0"/>
                <w:color w:val="auto"/>
                <w:kern w:val="10"/>
                <w:sz w:val="24"/>
                <w:szCs w:val="24"/>
                <w:highlight w:val="none"/>
                <w:lang w:val="en-US" w:eastAsia="zh-CN"/>
              </w:rPr>
              <w:t>服务期限</w:t>
            </w:r>
          </w:p>
        </w:tc>
        <w:tc>
          <w:tcPr>
            <w:tcW w:w="6576" w:type="dxa"/>
            <w:tcBorders>
              <w:top w:val="single" w:color="auto" w:sz="4" w:space="0"/>
              <w:left w:val="single" w:color="auto" w:sz="4" w:space="0"/>
              <w:bottom w:val="single" w:color="auto" w:sz="4" w:space="0"/>
              <w:right w:val="single" w:color="auto" w:sz="4" w:space="0"/>
            </w:tcBorders>
            <w:vAlign w:val="center"/>
          </w:tcPr>
          <w:p w14:paraId="17153A5D">
            <w:pPr>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kern w:val="10"/>
                <w:sz w:val="24"/>
                <w:szCs w:val="24"/>
                <w:highlight w:val="none"/>
              </w:rPr>
              <w:t>自合同签订之日起</w:t>
            </w:r>
            <w:r>
              <w:rPr>
                <w:rFonts w:hint="eastAsia" w:ascii="宋体" w:hAnsi="宋体" w:cs="宋体"/>
                <w:b w:val="0"/>
                <w:bCs w:val="0"/>
                <w:color w:val="auto"/>
                <w:kern w:val="10"/>
                <w:sz w:val="24"/>
                <w:szCs w:val="24"/>
                <w:highlight w:val="none"/>
                <w:lang w:val="en-US" w:eastAsia="zh-CN"/>
              </w:rPr>
              <w:t>3年</w:t>
            </w:r>
          </w:p>
        </w:tc>
      </w:tr>
      <w:tr w14:paraId="6F6D27BF">
        <w:tblPrEx>
          <w:tblCellMar>
            <w:top w:w="0" w:type="dxa"/>
            <w:left w:w="108" w:type="dxa"/>
            <w:bottom w:w="0" w:type="dxa"/>
            <w:right w:w="108" w:type="dxa"/>
          </w:tblCellMar>
        </w:tblPrEx>
        <w:trPr>
          <w:trHeight w:val="90"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1D8891AD">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176" w:type="dxa"/>
            <w:tcBorders>
              <w:top w:val="single" w:color="auto" w:sz="4" w:space="0"/>
              <w:left w:val="single" w:color="auto" w:sz="4" w:space="0"/>
              <w:bottom w:val="single" w:color="auto" w:sz="4" w:space="0"/>
              <w:right w:val="single" w:color="auto" w:sz="4" w:space="0"/>
            </w:tcBorders>
            <w:vAlign w:val="center"/>
          </w:tcPr>
          <w:p w14:paraId="76654C5F">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交付期限</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5778A6E3">
            <w:pPr>
              <w:snapToGrid w:val="0"/>
              <w:spacing w:line="360" w:lineRule="auto"/>
              <w:jc w:val="left"/>
              <w:rPr>
                <w:rFonts w:hint="eastAsia" w:ascii="宋体" w:hAnsi="宋体" w:cs="宋体"/>
                <w:color w:val="auto"/>
                <w:kern w:val="10"/>
                <w:sz w:val="24"/>
                <w:szCs w:val="24"/>
                <w:highlight w:val="none"/>
              </w:rPr>
            </w:pPr>
            <w:r>
              <w:rPr>
                <w:rFonts w:hint="eastAsia" w:ascii="宋体" w:hAnsi="宋体" w:cs="宋体"/>
                <w:color w:val="auto"/>
                <w:kern w:val="10"/>
                <w:sz w:val="24"/>
                <w:szCs w:val="24"/>
                <w:highlight w:val="none"/>
                <w:lang w:val="en-US" w:eastAsia="zh-CN"/>
              </w:rPr>
              <w:t>合同签订后20日内将所有配套终端及配套产品送达至采购人指定地点，合同签订后一个月内完成全部建设内容并确保达到采购人使用要求，并通知甲方组织整体验收。</w:t>
            </w:r>
          </w:p>
        </w:tc>
      </w:tr>
      <w:tr w14:paraId="4E9D4C84">
        <w:tblPrEx>
          <w:tblCellMar>
            <w:top w:w="0" w:type="dxa"/>
            <w:left w:w="108" w:type="dxa"/>
            <w:bottom w:w="0" w:type="dxa"/>
            <w:right w:w="108" w:type="dxa"/>
          </w:tblCellMar>
        </w:tblPrEx>
        <w:trPr>
          <w:trHeight w:val="426"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59E795D8">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2176" w:type="dxa"/>
            <w:tcBorders>
              <w:top w:val="single" w:color="auto" w:sz="4" w:space="0"/>
              <w:left w:val="single" w:color="auto" w:sz="4" w:space="0"/>
              <w:bottom w:val="single" w:color="auto" w:sz="4" w:space="0"/>
              <w:right w:val="single" w:color="auto" w:sz="4" w:space="0"/>
            </w:tcBorders>
            <w:vAlign w:val="center"/>
          </w:tcPr>
          <w:p w14:paraId="0F240CDE">
            <w:pPr>
              <w:snapToGrid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终端质保期</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24125F9B">
            <w:pPr>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3年</w:t>
            </w:r>
          </w:p>
        </w:tc>
      </w:tr>
      <w:tr w14:paraId="29D662CE">
        <w:tblPrEx>
          <w:tblCellMar>
            <w:top w:w="0" w:type="dxa"/>
            <w:left w:w="108" w:type="dxa"/>
            <w:bottom w:w="0" w:type="dxa"/>
            <w:right w:w="108" w:type="dxa"/>
          </w:tblCellMar>
        </w:tblPrEx>
        <w:trPr>
          <w:trHeight w:val="426"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3DDB7BAC">
            <w:pPr>
              <w:snapToGrid w:val="0"/>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9</w:t>
            </w:r>
          </w:p>
        </w:tc>
        <w:tc>
          <w:tcPr>
            <w:tcW w:w="2176" w:type="dxa"/>
            <w:tcBorders>
              <w:top w:val="single" w:color="auto" w:sz="4" w:space="0"/>
              <w:left w:val="single" w:color="auto" w:sz="4" w:space="0"/>
              <w:bottom w:val="single" w:color="auto" w:sz="4" w:space="0"/>
              <w:right w:val="single" w:color="auto" w:sz="4" w:space="0"/>
            </w:tcBorders>
            <w:vAlign w:val="center"/>
          </w:tcPr>
          <w:p w14:paraId="389E3FC6">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质量要求</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23CAB0AA">
            <w:pPr>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合格，符合国家标准和招标人要求</w:t>
            </w:r>
          </w:p>
        </w:tc>
      </w:tr>
      <w:tr w14:paraId="3C0D4EE8">
        <w:tblPrEx>
          <w:tblCellMar>
            <w:top w:w="0" w:type="dxa"/>
            <w:left w:w="108" w:type="dxa"/>
            <w:bottom w:w="0" w:type="dxa"/>
            <w:right w:w="108" w:type="dxa"/>
          </w:tblCellMar>
        </w:tblPrEx>
        <w:trPr>
          <w:trHeight w:val="58"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25CC5C12">
            <w:pPr>
              <w:snapToGrid w:val="0"/>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p>
        </w:tc>
        <w:tc>
          <w:tcPr>
            <w:tcW w:w="2176" w:type="dxa"/>
            <w:tcBorders>
              <w:top w:val="single" w:color="auto" w:sz="4" w:space="0"/>
              <w:left w:val="single" w:color="auto" w:sz="4" w:space="0"/>
              <w:bottom w:val="single" w:color="auto" w:sz="4" w:space="0"/>
              <w:right w:val="single" w:color="auto" w:sz="4" w:space="0"/>
            </w:tcBorders>
            <w:vAlign w:val="center"/>
          </w:tcPr>
          <w:p w14:paraId="3E794D11">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资质条件、能力和信誉</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top"/>
          </w:tcPr>
          <w:p w14:paraId="472B2BE3">
            <w:pPr>
              <w:pStyle w:val="9"/>
              <w:numPr>
                <w:ilvl w:val="0"/>
                <w:numId w:val="0"/>
              </w:numPr>
              <w:wordWrap w:val="0"/>
              <w:ind w:firstLine="480" w:firstLineChars="200"/>
              <w:jc w:val="both"/>
              <w:outlineLvl w:val="2"/>
              <w:rPr>
                <w:rFonts w:hint="eastAsia" w:ascii="宋体" w:hAnsi="宋体" w:cs="宋体"/>
                <w:b w:val="0"/>
                <w:bCs w:val="0"/>
                <w:color w:val="auto"/>
                <w:kern w:val="10"/>
                <w:sz w:val="24"/>
                <w:szCs w:val="24"/>
                <w:highlight w:val="none"/>
                <w:lang w:eastAsia="zh-CN"/>
              </w:rPr>
            </w:pPr>
            <w:r>
              <w:rPr>
                <w:rFonts w:hint="eastAsia" w:ascii="宋体" w:hAnsi="宋体" w:cs="宋体"/>
                <w:b w:val="0"/>
                <w:bCs w:val="0"/>
                <w:color w:val="auto"/>
                <w:kern w:val="10"/>
                <w:sz w:val="24"/>
                <w:szCs w:val="24"/>
                <w:highlight w:val="none"/>
                <w:lang w:val="en-US" w:eastAsia="zh-CN"/>
              </w:rPr>
              <w:t>1、</w:t>
            </w:r>
            <w:r>
              <w:rPr>
                <w:rFonts w:hint="eastAsia" w:ascii="宋体" w:hAnsi="宋体" w:cs="宋体"/>
                <w:b w:val="0"/>
                <w:bCs w:val="0"/>
                <w:color w:val="auto"/>
                <w:kern w:val="10"/>
                <w:sz w:val="24"/>
                <w:szCs w:val="24"/>
                <w:highlight w:val="none"/>
              </w:rPr>
              <w:t>满足《中华人民共和国政府采购法》第二十二条规定</w:t>
            </w:r>
            <w:r>
              <w:rPr>
                <w:rFonts w:hint="eastAsia" w:ascii="宋体" w:hAnsi="宋体" w:cs="宋体"/>
                <w:b w:val="0"/>
                <w:bCs w:val="0"/>
                <w:color w:val="auto"/>
                <w:kern w:val="10"/>
                <w:sz w:val="24"/>
                <w:szCs w:val="24"/>
                <w:highlight w:val="none"/>
                <w:lang w:eastAsia="zh-CN"/>
              </w:rPr>
              <w:t>：</w:t>
            </w:r>
          </w:p>
          <w:p w14:paraId="500C3CA7">
            <w:pPr>
              <w:pStyle w:val="9"/>
              <w:numPr>
                <w:ilvl w:val="0"/>
                <w:numId w:val="0"/>
              </w:numPr>
              <w:wordWrap w:val="0"/>
              <w:ind w:firstLine="480" w:firstLineChars="200"/>
              <w:jc w:val="both"/>
              <w:outlineLvl w:val="2"/>
              <w:rPr>
                <w:rFonts w:hint="eastAsia" w:ascii="宋体" w:hAnsi="宋体" w:cs="宋体"/>
                <w:b w:val="0"/>
                <w:bCs w:val="0"/>
                <w:color w:val="auto"/>
                <w:kern w:val="10"/>
                <w:sz w:val="24"/>
                <w:szCs w:val="24"/>
                <w:highlight w:val="none"/>
                <w:lang w:eastAsia="zh-CN"/>
              </w:rPr>
            </w:pPr>
            <w:r>
              <w:rPr>
                <w:rFonts w:hint="eastAsia" w:ascii="宋体" w:hAnsi="宋体" w:cs="宋体"/>
                <w:b w:val="0"/>
                <w:bCs w:val="0"/>
                <w:color w:val="auto"/>
                <w:kern w:val="10"/>
                <w:sz w:val="24"/>
                <w:szCs w:val="24"/>
                <w:highlight w:val="none"/>
                <w:lang w:val="en-US" w:eastAsia="zh-CN"/>
              </w:rPr>
              <w:t>（一）</w:t>
            </w:r>
            <w:r>
              <w:rPr>
                <w:rFonts w:hint="eastAsia" w:ascii="宋体" w:hAnsi="宋体" w:cs="宋体"/>
                <w:b w:val="0"/>
                <w:bCs w:val="0"/>
                <w:color w:val="auto"/>
                <w:kern w:val="10"/>
                <w:sz w:val="24"/>
                <w:szCs w:val="24"/>
                <w:highlight w:val="none"/>
              </w:rPr>
              <w:t>具有独立承担民事责任的能力；</w:t>
            </w:r>
            <w:r>
              <w:rPr>
                <w:rFonts w:hint="eastAsia" w:ascii="宋体" w:hAnsi="宋体" w:cs="宋体"/>
                <w:b w:val="0"/>
                <w:bCs w:val="0"/>
                <w:color w:val="auto"/>
                <w:kern w:val="10"/>
                <w:sz w:val="24"/>
                <w:szCs w:val="24"/>
                <w:highlight w:val="none"/>
                <w:lang w:eastAsia="zh-CN"/>
              </w:rPr>
              <w:t>（</w:t>
            </w:r>
            <w:r>
              <w:rPr>
                <w:rFonts w:hint="eastAsia" w:ascii="宋体" w:hAnsi="宋体" w:cs="宋体"/>
                <w:b w:val="0"/>
                <w:bCs w:val="0"/>
                <w:color w:val="auto"/>
                <w:sz w:val="24"/>
                <w:szCs w:val="24"/>
                <w:highlight w:val="none"/>
                <w:lang w:val="en-US" w:eastAsia="zh-CN"/>
              </w:rPr>
              <w:t>投标人应具备有效的营业执照正本或副本复印件</w:t>
            </w:r>
            <w:r>
              <w:rPr>
                <w:rFonts w:hint="eastAsia" w:ascii="宋体" w:hAnsi="宋体" w:cs="宋体"/>
                <w:b w:val="0"/>
                <w:bCs w:val="0"/>
                <w:color w:val="auto"/>
                <w:kern w:val="10"/>
                <w:sz w:val="24"/>
                <w:szCs w:val="24"/>
                <w:highlight w:val="none"/>
                <w:lang w:eastAsia="zh-CN"/>
              </w:rPr>
              <w:t>）</w:t>
            </w:r>
          </w:p>
          <w:p w14:paraId="3C2AC353">
            <w:pPr>
              <w:pStyle w:val="9"/>
              <w:numPr>
                <w:ilvl w:val="0"/>
                <w:numId w:val="0"/>
              </w:numPr>
              <w:wordWrap w:val="0"/>
              <w:ind w:firstLine="480" w:firstLineChars="200"/>
              <w:jc w:val="both"/>
              <w:outlineLvl w:val="2"/>
              <w:rPr>
                <w:rFonts w:hint="eastAsia" w:ascii="宋体" w:hAnsi="宋体" w:eastAsia="宋体" w:cs="宋体"/>
                <w:b w:val="0"/>
                <w:bCs w:val="0"/>
                <w:color w:val="auto"/>
                <w:kern w:val="10"/>
                <w:sz w:val="24"/>
                <w:szCs w:val="24"/>
                <w:highlight w:val="none"/>
                <w:lang w:eastAsia="zh-CN"/>
              </w:rPr>
            </w:pPr>
            <w:r>
              <w:rPr>
                <w:rFonts w:hint="eastAsia" w:ascii="宋体" w:hAnsi="宋体" w:cs="宋体"/>
                <w:b w:val="0"/>
                <w:bCs w:val="0"/>
                <w:color w:val="auto"/>
                <w:kern w:val="10"/>
                <w:sz w:val="24"/>
                <w:szCs w:val="24"/>
                <w:highlight w:val="none"/>
                <w:lang w:val="en-US" w:eastAsia="zh-CN"/>
              </w:rPr>
              <w:t>（二）</w:t>
            </w:r>
            <w:r>
              <w:rPr>
                <w:rFonts w:hint="eastAsia" w:ascii="宋体" w:hAnsi="宋体" w:cs="宋体"/>
                <w:b w:val="0"/>
                <w:bCs w:val="0"/>
                <w:color w:val="auto"/>
                <w:kern w:val="10"/>
                <w:sz w:val="24"/>
                <w:szCs w:val="24"/>
                <w:highlight w:val="none"/>
              </w:rPr>
              <w:t>具有良好的商业信誉和健全的财务会计制度；</w:t>
            </w:r>
            <w:r>
              <w:rPr>
                <w:rFonts w:hint="eastAsia" w:ascii="宋体" w:hAnsi="宋体" w:cs="宋体"/>
                <w:b w:val="0"/>
                <w:bCs w:val="0"/>
                <w:color w:val="auto"/>
                <w:kern w:val="10"/>
                <w:sz w:val="24"/>
                <w:szCs w:val="24"/>
                <w:highlight w:val="none"/>
                <w:lang w:val="en-US" w:eastAsia="zh-CN"/>
              </w:rPr>
              <w:t>（自行承诺，格式自拟）</w:t>
            </w:r>
          </w:p>
          <w:p w14:paraId="353DF3D1">
            <w:pPr>
              <w:pStyle w:val="9"/>
              <w:numPr>
                <w:ilvl w:val="0"/>
                <w:numId w:val="0"/>
              </w:numPr>
              <w:wordWrap w:val="0"/>
              <w:ind w:firstLine="480" w:firstLineChars="200"/>
              <w:jc w:val="both"/>
              <w:outlineLvl w:val="2"/>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kern w:val="10"/>
                <w:sz w:val="24"/>
                <w:szCs w:val="24"/>
                <w:highlight w:val="none"/>
                <w:lang w:val="en-US" w:eastAsia="zh-CN"/>
              </w:rPr>
              <w:t>（三）</w:t>
            </w:r>
            <w:r>
              <w:rPr>
                <w:rFonts w:hint="eastAsia" w:ascii="宋体" w:hAnsi="宋体" w:cs="宋体"/>
                <w:b w:val="0"/>
                <w:bCs w:val="0"/>
                <w:color w:val="auto"/>
                <w:kern w:val="10"/>
                <w:sz w:val="24"/>
                <w:szCs w:val="24"/>
                <w:highlight w:val="none"/>
              </w:rPr>
              <w:t>具有履行合同所必需的设备和专业技术能力；</w:t>
            </w:r>
            <w:r>
              <w:rPr>
                <w:rFonts w:hint="eastAsia" w:ascii="宋体" w:hAnsi="宋体" w:cs="宋体"/>
                <w:b w:val="0"/>
                <w:bCs w:val="0"/>
                <w:color w:val="auto"/>
                <w:kern w:val="10"/>
                <w:sz w:val="24"/>
                <w:szCs w:val="24"/>
                <w:highlight w:val="none"/>
                <w:lang w:val="en-US" w:eastAsia="zh-CN"/>
              </w:rPr>
              <w:t>（自行承诺，格式自拟）</w:t>
            </w:r>
          </w:p>
          <w:p w14:paraId="634A5D61">
            <w:pPr>
              <w:pStyle w:val="9"/>
              <w:numPr>
                <w:ilvl w:val="0"/>
                <w:numId w:val="0"/>
              </w:numPr>
              <w:wordWrap w:val="0"/>
              <w:ind w:firstLine="480" w:firstLineChars="200"/>
              <w:jc w:val="both"/>
              <w:outlineLvl w:val="2"/>
              <w:rPr>
                <w:rFonts w:hint="eastAsia" w:ascii="宋体" w:hAnsi="宋体" w:eastAsia="宋体" w:cs="宋体"/>
                <w:b w:val="0"/>
                <w:bCs w:val="0"/>
                <w:color w:val="auto"/>
                <w:kern w:val="10"/>
                <w:sz w:val="24"/>
                <w:szCs w:val="24"/>
                <w:highlight w:val="none"/>
                <w:lang w:val="en-US" w:eastAsia="zh-CN"/>
              </w:rPr>
            </w:pPr>
            <w:r>
              <w:rPr>
                <w:rFonts w:hint="eastAsia" w:ascii="宋体" w:hAnsi="宋体" w:cs="宋体"/>
                <w:b w:val="0"/>
                <w:bCs w:val="0"/>
                <w:color w:val="auto"/>
                <w:kern w:val="10"/>
                <w:sz w:val="24"/>
                <w:szCs w:val="24"/>
                <w:highlight w:val="none"/>
                <w:lang w:val="en-US" w:eastAsia="zh-CN"/>
              </w:rPr>
              <w:t>（四）</w:t>
            </w:r>
            <w:r>
              <w:rPr>
                <w:rFonts w:hint="eastAsia" w:ascii="宋体" w:hAnsi="宋体" w:cs="宋体"/>
                <w:b w:val="0"/>
                <w:bCs w:val="0"/>
                <w:color w:val="auto"/>
                <w:kern w:val="10"/>
                <w:sz w:val="24"/>
                <w:szCs w:val="24"/>
                <w:highlight w:val="none"/>
              </w:rPr>
              <w:t>有依法缴纳税收和社会保障资金的良好记录；</w:t>
            </w:r>
            <w:r>
              <w:rPr>
                <w:rFonts w:hint="eastAsia" w:ascii="宋体" w:hAnsi="宋体" w:cs="宋体"/>
                <w:b w:val="0"/>
                <w:bCs w:val="0"/>
                <w:color w:val="auto"/>
                <w:kern w:val="10"/>
                <w:sz w:val="24"/>
                <w:szCs w:val="24"/>
                <w:highlight w:val="none"/>
                <w:lang w:val="en-US" w:eastAsia="zh-CN"/>
              </w:rPr>
              <w:t>（自行承诺，格式自拟）</w:t>
            </w:r>
          </w:p>
          <w:p w14:paraId="3E613C6A">
            <w:pPr>
              <w:pStyle w:val="9"/>
              <w:numPr>
                <w:ilvl w:val="0"/>
                <w:numId w:val="0"/>
              </w:numPr>
              <w:wordWrap w:val="0"/>
              <w:ind w:firstLine="480" w:firstLineChars="200"/>
              <w:jc w:val="both"/>
              <w:outlineLvl w:val="2"/>
              <w:rPr>
                <w:rFonts w:hint="eastAsia" w:ascii="宋体" w:hAnsi="宋体" w:eastAsia="宋体" w:cs="宋体"/>
                <w:b w:val="0"/>
                <w:bCs w:val="0"/>
                <w:color w:val="auto"/>
                <w:kern w:val="10"/>
                <w:sz w:val="24"/>
                <w:szCs w:val="24"/>
                <w:highlight w:val="none"/>
                <w:lang w:eastAsia="zh-CN"/>
              </w:rPr>
            </w:pPr>
            <w:r>
              <w:rPr>
                <w:rFonts w:hint="eastAsia" w:ascii="宋体" w:hAnsi="宋体" w:cs="宋体"/>
                <w:b w:val="0"/>
                <w:bCs w:val="0"/>
                <w:color w:val="auto"/>
                <w:kern w:val="10"/>
                <w:sz w:val="24"/>
                <w:szCs w:val="24"/>
                <w:highlight w:val="none"/>
                <w:lang w:val="en-US" w:eastAsia="zh-CN"/>
              </w:rPr>
              <w:t>（五）</w:t>
            </w:r>
            <w:r>
              <w:rPr>
                <w:rFonts w:hint="eastAsia" w:ascii="宋体" w:hAnsi="宋体" w:cs="宋体"/>
                <w:b w:val="0"/>
                <w:bCs w:val="0"/>
                <w:color w:val="auto"/>
                <w:kern w:val="10"/>
                <w:sz w:val="24"/>
                <w:szCs w:val="24"/>
                <w:highlight w:val="none"/>
              </w:rPr>
              <w:t>参加政府采购活动前三年内，在经营活动中没有重大违法记录；</w:t>
            </w:r>
            <w:r>
              <w:rPr>
                <w:rFonts w:hint="eastAsia" w:ascii="宋体" w:hAnsi="宋体" w:cs="宋体"/>
                <w:b w:val="0"/>
                <w:bCs w:val="0"/>
                <w:color w:val="auto"/>
                <w:kern w:val="10"/>
                <w:sz w:val="24"/>
                <w:szCs w:val="24"/>
                <w:highlight w:val="none"/>
                <w:lang w:val="en-US" w:eastAsia="zh-CN"/>
              </w:rPr>
              <w:t>（自行承诺，格式自拟）</w:t>
            </w:r>
          </w:p>
          <w:p w14:paraId="34962D7F">
            <w:pPr>
              <w:pStyle w:val="9"/>
              <w:numPr>
                <w:ilvl w:val="0"/>
                <w:numId w:val="0"/>
              </w:numPr>
              <w:wordWrap w:val="0"/>
              <w:ind w:firstLine="480" w:firstLineChars="200"/>
              <w:jc w:val="both"/>
              <w:outlineLvl w:val="2"/>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lang w:val="en-US" w:eastAsia="zh-CN"/>
              </w:rPr>
              <w:t>（六）</w:t>
            </w:r>
            <w:r>
              <w:rPr>
                <w:rFonts w:hint="eastAsia" w:ascii="宋体" w:hAnsi="宋体" w:cs="宋体"/>
                <w:b w:val="0"/>
                <w:bCs w:val="0"/>
                <w:color w:val="auto"/>
                <w:kern w:val="10"/>
                <w:sz w:val="24"/>
                <w:szCs w:val="24"/>
                <w:highlight w:val="none"/>
              </w:rPr>
              <w:t>法律、行政法规规定的其他条件。</w:t>
            </w:r>
          </w:p>
          <w:p w14:paraId="09F37DDB">
            <w:pPr>
              <w:pStyle w:val="9"/>
              <w:numPr>
                <w:ilvl w:val="0"/>
                <w:numId w:val="0"/>
              </w:numPr>
              <w:wordWrap w:val="0"/>
              <w:ind w:firstLine="480" w:firstLineChars="200"/>
              <w:jc w:val="both"/>
              <w:outlineLvl w:val="2"/>
              <w:rPr>
                <w:rFonts w:hint="default"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2、落实政府采购政策满足的资格要求：</w:t>
            </w:r>
            <w:r>
              <w:rPr>
                <w:rFonts w:hint="eastAsia" w:ascii="宋体" w:hAnsi="宋体" w:cs="宋体"/>
                <w:b w:val="0"/>
                <w:bCs w:val="0"/>
                <w:color w:val="auto"/>
                <w:kern w:val="10"/>
                <w:sz w:val="24"/>
                <w:szCs w:val="24"/>
                <w:highlight w:val="none"/>
                <w:lang w:val="en-US" w:eastAsia="zh-CN"/>
              </w:rPr>
              <w:t>/</w:t>
            </w:r>
          </w:p>
          <w:p w14:paraId="17AE7F16">
            <w:pPr>
              <w:pStyle w:val="9"/>
              <w:numPr>
                <w:ilvl w:val="0"/>
                <w:numId w:val="0"/>
              </w:numPr>
              <w:wordWrap w:val="0"/>
              <w:ind w:firstLine="480" w:firstLineChars="200"/>
              <w:jc w:val="both"/>
              <w:outlineLvl w:val="2"/>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 xml:space="preserve">3、本项目的特定资格要求 </w:t>
            </w:r>
          </w:p>
          <w:p w14:paraId="161095FA">
            <w:pPr>
              <w:pStyle w:val="9"/>
              <w:numPr>
                <w:ilvl w:val="0"/>
                <w:numId w:val="0"/>
              </w:numPr>
              <w:wordWrap w:val="0"/>
              <w:ind w:firstLine="480" w:firstLineChars="200"/>
              <w:jc w:val="both"/>
              <w:outlineLvl w:val="2"/>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3.1资质要求：具有中华人民共和国基础电信业务或增值电信业务。（提供经营许可证）</w:t>
            </w:r>
          </w:p>
          <w:p w14:paraId="76FEFC1D">
            <w:pPr>
              <w:pStyle w:val="9"/>
              <w:numPr>
                <w:ilvl w:val="0"/>
                <w:numId w:val="0"/>
              </w:numPr>
              <w:wordWrap w:val="0"/>
              <w:ind w:firstLine="480" w:firstLineChars="200"/>
              <w:jc w:val="both"/>
              <w:outlineLvl w:val="2"/>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3.2</w:t>
            </w:r>
            <w:r>
              <w:rPr>
                <w:rFonts w:hint="eastAsia" w:ascii="宋体" w:hAnsi="宋体" w:eastAsia="宋体" w:cs="宋体"/>
                <w:color w:val="auto"/>
                <w:kern w:val="0"/>
                <w:sz w:val="24"/>
                <w:szCs w:val="24"/>
                <w:highlight w:val="none"/>
                <w:lang w:val="en-US" w:eastAsia="zh-CN" w:bidi="ar"/>
              </w:rPr>
              <w:t>设备要求：</w:t>
            </w:r>
            <w:r>
              <w:rPr>
                <w:rFonts w:hint="eastAsia" w:ascii="宋体" w:hAnsi="宋体" w:eastAsia="宋体" w:cs="宋体"/>
                <w:b w:val="0"/>
                <w:bCs w:val="0"/>
                <w:color w:val="auto"/>
                <w:kern w:val="10"/>
                <w:sz w:val="24"/>
                <w:szCs w:val="24"/>
                <w:highlight w:val="none"/>
                <w:lang w:val="en-US" w:eastAsia="zh-CN"/>
              </w:rPr>
              <w:t>投标人需承诺其提供的设备是全新的、未使用过的设备且所提供终端经测试未达到采购人提出的功能或性能要求时，免费进行软硬件增加、变更或升级，直至满足要求为止（自行承诺，格式自拟）。</w:t>
            </w:r>
          </w:p>
          <w:p w14:paraId="5D50DD04">
            <w:pPr>
              <w:pStyle w:val="9"/>
              <w:numPr>
                <w:ilvl w:val="0"/>
                <w:numId w:val="0"/>
              </w:numPr>
              <w:wordWrap w:val="0"/>
              <w:ind w:firstLine="480" w:firstLineChars="200"/>
              <w:jc w:val="both"/>
              <w:outlineLvl w:val="2"/>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3.3根据《关于在政府采购活动中查询及使用信用记录有关问题的通知》（财库﹝2016﹞125号）和豫财购﹝2016﹞15号的规定，对列入失信被执行人、重大税收违法失信主体、政府采购严重违法失信行为记录名单的投标人，拒绝参与本项目政府采购活动；（查询渠道：“中国执行信息公开网（zxgk.court.gov.cn）（信用中国网站可跳转）”查询“失信被执行人名单”“信用中国（http://www.creditchina.gov.cn/”网站中查询“重大税收违法失信主体”“中国政府采购网（www.ccgp.gov.cn）”网站中查询“政府采购严重违法失信行为记录名单”。）采购人、采购代理机构通过“信用中国”网站（www.creditchina.gov.cn）、中国政府采购网（www.ccgp.gov.cn）等渠道查询相关主体信用记录,信用信息查询记录及相关证据与其他采购文件一并保存。查询时间：本项目评审结束之前。</w:t>
            </w:r>
          </w:p>
          <w:p w14:paraId="0964FCCB">
            <w:pPr>
              <w:pStyle w:val="9"/>
              <w:numPr>
                <w:ilvl w:val="0"/>
                <w:numId w:val="0"/>
              </w:numPr>
              <w:wordWrap w:val="0"/>
              <w:ind w:firstLine="480" w:firstLineChars="200"/>
              <w:jc w:val="both"/>
              <w:outlineLvl w:val="2"/>
              <w:rPr>
                <w:rFonts w:hint="eastAsia"/>
                <w:color w:val="auto"/>
                <w:highlight w:val="none"/>
              </w:rPr>
            </w:pPr>
            <w:r>
              <w:rPr>
                <w:rFonts w:hint="eastAsia" w:ascii="宋体" w:hAnsi="宋体" w:eastAsia="宋体" w:cs="宋体"/>
                <w:b w:val="0"/>
                <w:bCs w:val="0"/>
                <w:color w:val="auto"/>
                <w:kern w:val="10"/>
                <w:sz w:val="24"/>
                <w:szCs w:val="24"/>
                <w:highlight w:val="none"/>
                <w:lang w:val="en-US" w:eastAsia="zh-CN"/>
              </w:rPr>
              <w:t>3.4单位负责人为同一人或者存在直接控股、管理关系的不同投标人，不得参加同一合同项下的政府采购活动。【提供“ 国家企业信用信息公示系统 ”中查询截图并加盖单位公章（需包含公司基本信息、股东信息及股权变更信息）或附承诺书，格式自拟加盖公章。】</w:t>
            </w:r>
          </w:p>
        </w:tc>
      </w:tr>
      <w:tr w14:paraId="142375DF">
        <w:tblPrEx>
          <w:tblCellMar>
            <w:top w:w="0" w:type="dxa"/>
            <w:left w:w="108" w:type="dxa"/>
            <w:bottom w:w="0" w:type="dxa"/>
            <w:right w:w="108" w:type="dxa"/>
          </w:tblCellMar>
        </w:tblPrEx>
        <w:trPr>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4767E9D2">
            <w:pPr>
              <w:snapToGrid w:val="0"/>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p>
        </w:tc>
        <w:tc>
          <w:tcPr>
            <w:tcW w:w="2176" w:type="dxa"/>
            <w:tcBorders>
              <w:top w:val="single" w:color="auto" w:sz="4" w:space="0"/>
              <w:left w:val="single" w:color="auto" w:sz="4" w:space="0"/>
              <w:bottom w:val="single" w:color="auto" w:sz="4" w:space="0"/>
              <w:right w:val="single" w:color="auto" w:sz="4" w:space="0"/>
            </w:tcBorders>
            <w:vAlign w:val="center"/>
          </w:tcPr>
          <w:p w14:paraId="11FEE810">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踏勘现场</w:t>
            </w:r>
          </w:p>
        </w:tc>
        <w:tc>
          <w:tcPr>
            <w:tcW w:w="6576" w:type="dxa"/>
            <w:tcBorders>
              <w:top w:val="single" w:color="auto" w:sz="4" w:space="0"/>
              <w:left w:val="single" w:color="auto" w:sz="4" w:space="0"/>
              <w:bottom w:val="single" w:color="auto" w:sz="4" w:space="0"/>
              <w:right w:val="single" w:color="auto" w:sz="4" w:space="0"/>
            </w:tcBorders>
            <w:vAlign w:val="center"/>
          </w:tcPr>
          <w:p w14:paraId="39833F1A">
            <w:pPr>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不组织</w:t>
            </w:r>
          </w:p>
        </w:tc>
      </w:tr>
      <w:tr w14:paraId="17B6DC1B">
        <w:tblPrEx>
          <w:tblCellMar>
            <w:top w:w="0" w:type="dxa"/>
            <w:left w:w="108" w:type="dxa"/>
            <w:bottom w:w="0" w:type="dxa"/>
            <w:right w:w="108" w:type="dxa"/>
          </w:tblCellMar>
        </w:tblPrEx>
        <w:trPr>
          <w:trHeight w:val="844"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58D604CD">
            <w:pPr>
              <w:snapToGrid w:val="0"/>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p>
        </w:tc>
        <w:tc>
          <w:tcPr>
            <w:tcW w:w="2176" w:type="dxa"/>
            <w:tcBorders>
              <w:top w:val="single" w:color="auto" w:sz="4" w:space="0"/>
              <w:left w:val="single" w:color="auto" w:sz="4" w:space="0"/>
              <w:bottom w:val="single" w:color="auto" w:sz="4" w:space="0"/>
              <w:right w:val="single" w:color="auto" w:sz="4" w:space="0"/>
            </w:tcBorders>
            <w:vAlign w:val="center"/>
          </w:tcPr>
          <w:p w14:paraId="03E6FF9B">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分包</w:t>
            </w:r>
          </w:p>
        </w:tc>
        <w:tc>
          <w:tcPr>
            <w:tcW w:w="6576" w:type="dxa"/>
            <w:tcBorders>
              <w:top w:val="single" w:color="auto" w:sz="4" w:space="0"/>
              <w:left w:val="single" w:color="auto" w:sz="4" w:space="0"/>
              <w:bottom w:val="single" w:color="auto" w:sz="4" w:space="0"/>
              <w:right w:val="single" w:color="auto" w:sz="4" w:space="0"/>
            </w:tcBorders>
            <w:vAlign w:val="center"/>
          </w:tcPr>
          <w:p w14:paraId="43BB8C01">
            <w:pPr>
              <w:pStyle w:val="8"/>
              <w:topLinePunct/>
              <w:snapToGrid w:val="0"/>
              <w:spacing w:line="360" w:lineRule="auto"/>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不允许</w:t>
            </w:r>
          </w:p>
        </w:tc>
      </w:tr>
      <w:tr w14:paraId="3317AA27">
        <w:tblPrEx>
          <w:tblCellMar>
            <w:top w:w="0" w:type="dxa"/>
            <w:left w:w="108" w:type="dxa"/>
            <w:bottom w:w="0" w:type="dxa"/>
            <w:right w:w="108" w:type="dxa"/>
          </w:tblCellMar>
        </w:tblPrEx>
        <w:trPr>
          <w:trHeight w:val="416"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71C71630">
            <w:pPr>
              <w:snapToGrid w:val="0"/>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2176" w:type="dxa"/>
            <w:tcBorders>
              <w:top w:val="single" w:color="auto" w:sz="4" w:space="0"/>
              <w:left w:val="single" w:color="auto" w:sz="4" w:space="0"/>
              <w:bottom w:val="single" w:color="auto" w:sz="4" w:space="0"/>
              <w:right w:val="single" w:color="auto" w:sz="4" w:space="0"/>
            </w:tcBorders>
            <w:vAlign w:val="center"/>
          </w:tcPr>
          <w:p w14:paraId="35B48C8D">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w:t>
            </w:r>
          </w:p>
        </w:tc>
        <w:tc>
          <w:tcPr>
            <w:tcW w:w="6576" w:type="dxa"/>
            <w:tcBorders>
              <w:top w:val="single" w:color="auto" w:sz="4" w:space="0"/>
              <w:left w:val="single" w:color="auto" w:sz="4" w:space="0"/>
              <w:bottom w:val="single" w:color="auto" w:sz="4" w:space="0"/>
              <w:right w:val="single" w:color="auto" w:sz="4" w:space="0"/>
            </w:tcBorders>
            <w:vAlign w:val="center"/>
          </w:tcPr>
          <w:p w14:paraId="2CB4265B">
            <w:pPr>
              <w:pStyle w:val="8"/>
              <w:topLinePunct/>
              <w:snapToGrid w:val="0"/>
              <w:spacing w:line="360" w:lineRule="auto"/>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允许：商务部分只允许正偏离，技术部分允许偏离；</w:t>
            </w:r>
          </w:p>
        </w:tc>
      </w:tr>
      <w:tr w14:paraId="5410D06E">
        <w:tblPrEx>
          <w:tblCellMar>
            <w:top w:w="0" w:type="dxa"/>
            <w:left w:w="108" w:type="dxa"/>
            <w:bottom w:w="0" w:type="dxa"/>
            <w:right w:w="108" w:type="dxa"/>
          </w:tblCellMar>
        </w:tblPrEx>
        <w:trPr>
          <w:trHeight w:val="787"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2328280F">
            <w:pPr>
              <w:snapToGrid w:val="0"/>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p>
        </w:tc>
        <w:tc>
          <w:tcPr>
            <w:tcW w:w="2176" w:type="dxa"/>
            <w:tcBorders>
              <w:top w:val="single" w:color="auto" w:sz="4" w:space="0"/>
              <w:left w:val="single" w:color="auto" w:sz="4" w:space="0"/>
              <w:bottom w:val="single" w:color="auto" w:sz="4" w:space="0"/>
              <w:right w:val="single" w:color="auto" w:sz="4" w:space="0"/>
            </w:tcBorders>
            <w:vAlign w:val="center"/>
          </w:tcPr>
          <w:p w14:paraId="6C0EFED6">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构成招标文件的其他材料</w:t>
            </w:r>
          </w:p>
        </w:tc>
        <w:tc>
          <w:tcPr>
            <w:tcW w:w="6576" w:type="dxa"/>
            <w:tcBorders>
              <w:top w:val="single" w:color="auto" w:sz="4" w:space="0"/>
              <w:left w:val="single" w:color="auto" w:sz="4" w:space="0"/>
              <w:bottom w:val="single" w:color="auto" w:sz="4" w:space="0"/>
              <w:right w:val="single" w:color="auto" w:sz="4" w:space="0"/>
            </w:tcBorders>
            <w:vAlign w:val="center"/>
          </w:tcPr>
          <w:p w14:paraId="0199EEB4">
            <w:pPr>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招标文件补充文件、澄清、修改、答疑</w:t>
            </w:r>
          </w:p>
        </w:tc>
      </w:tr>
      <w:tr w14:paraId="53C2EACD">
        <w:tblPrEx>
          <w:tblCellMar>
            <w:top w:w="0" w:type="dxa"/>
            <w:left w:w="108" w:type="dxa"/>
            <w:bottom w:w="0" w:type="dxa"/>
            <w:right w:w="108" w:type="dxa"/>
          </w:tblCellMar>
        </w:tblPrEx>
        <w:trPr>
          <w:trHeight w:val="496"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4D90FCF3">
            <w:pPr>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p>
        </w:tc>
        <w:tc>
          <w:tcPr>
            <w:tcW w:w="2176" w:type="dxa"/>
            <w:tcBorders>
              <w:top w:val="single" w:color="auto" w:sz="4" w:space="0"/>
              <w:left w:val="single" w:color="auto" w:sz="4" w:space="0"/>
              <w:bottom w:val="single" w:color="auto" w:sz="4" w:space="0"/>
              <w:right w:val="single" w:color="auto" w:sz="4" w:space="0"/>
            </w:tcBorders>
            <w:vAlign w:val="center"/>
          </w:tcPr>
          <w:p w14:paraId="12C31825">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w:t>
            </w:r>
          </w:p>
        </w:tc>
        <w:tc>
          <w:tcPr>
            <w:tcW w:w="6576" w:type="dxa"/>
            <w:tcBorders>
              <w:top w:val="single" w:color="auto" w:sz="4" w:space="0"/>
              <w:left w:val="single" w:color="auto" w:sz="4" w:space="0"/>
              <w:bottom w:val="single" w:color="auto" w:sz="4" w:space="0"/>
              <w:right w:val="single" w:color="auto" w:sz="4" w:space="0"/>
            </w:tcBorders>
            <w:vAlign w:val="center"/>
          </w:tcPr>
          <w:p w14:paraId="271365DA">
            <w:pPr>
              <w:pStyle w:val="69"/>
              <w:numPr>
                <w:ilvl w:val="0"/>
                <w:numId w:val="0"/>
              </w:numPr>
              <w:wordWrap w:val="0"/>
              <w:snapToGrid w:val="0"/>
              <w:spacing w:line="288" w:lineRule="auto"/>
              <w:jc w:val="left"/>
              <w:rPr>
                <w:rFonts w:hint="eastAsia" w:ascii="宋体" w:hAnsi="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本项目设最高限价：</w:t>
            </w:r>
            <w:r>
              <w:rPr>
                <w:rFonts w:hint="eastAsia" w:ascii="宋体" w:hAnsi="宋体" w:cs="宋体"/>
                <w:b/>
                <w:bCs/>
                <w:color w:val="auto"/>
                <w:sz w:val="24"/>
                <w:szCs w:val="24"/>
                <w:highlight w:val="none"/>
                <w:lang w:val="en-US" w:eastAsia="zh-CN"/>
              </w:rPr>
              <w:t>5850000.00元，</w:t>
            </w:r>
            <w:r>
              <w:rPr>
                <w:rFonts w:hint="eastAsia" w:ascii="宋体" w:hAnsi="宋体" w:cs="宋体"/>
                <w:b w:val="0"/>
                <w:bCs w:val="0"/>
                <w:color w:val="auto"/>
                <w:sz w:val="24"/>
                <w:szCs w:val="24"/>
                <w:highlight w:val="none"/>
                <w:lang w:val="en-US" w:eastAsia="zh-CN"/>
              </w:rPr>
              <w:t>投标人的投标报价不得超过最高限价，否则按废标处理。</w:t>
            </w:r>
          </w:p>
        </w:tc>
      </w:tr>
      <w:tr w14:paraId="3442FC89">
        <w:tblPrEx>
          <w:tblCellMar>
            <w:top w:w="0" w:type="dxa"/>
            <w:left w:w="108" w:type="dxa"/>
            <w:bottom w:w="0" w:type="dxa"/>
            <w:right w:w="108" w:type="dxa"/>
          </w:tblCellMar>
        </w:tblPrEx>
        <w:trPr>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014546FD">
            <w:pPr>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p>
        </w:tc>
        <w:tc>
          <w:tcPr>
            <w:tcW w:w="2176" w:type="dxa"/>
            <w:tcBorders>
              <w:top w:val="single" w:color="auto" w:sz="4" w:space="0"/>
              <w:left w:val="single" w:color="auto" w:sz="4" w:space="0"/>
              <w:bottom w:val="single" w:color="auto" w:sz="4" w:space="0"/>
              <w:right w:val="single" w:color="auto" w:sz="4" w:space="0"/>
            </w:tcBorders>
            <w:vAlign w:val="center"/>
          </w:tcPr>
          <w:p w14:paraId="2251548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576" w:type="dxa"/>
            <w:tcBorders>
              <w:top w:val="single" w:color="auto" w:sz="4" w:space="0"/>
              <w:left w:val="single" w:color="auto" w:sz="4" w:space="0"/>
              <w:bottom w:val="single" w:color="auto" w:sz="4" w:space="0"/>
              <w:right w:val="single" w:color="auto" w:sz="4" w:space="0"/>
            </w:tcBorders>
            <w:vAlign w:val="center"/>
          </w:tcPr>
          <w:p w14:paraId="68650C84">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90</w:t>
            </w:r>
            <w:r>
              <w:rPr>
                <w:rFonts w:hint="eastAsia" w:ascii="宋体" w:hAnsi="宋体" w:cs="宋体"/>
                <w:color w:val="auto"/>
                <w:sz w:val="24"/>
                <w:szCs w:val="24"/>
                <w:highlight w:val="none"/>
              </w:rPr>
              <w:t>日历天（从</w:t>
            </w:r>
            <w:r>
              <w:rPr>
                <w:rFonts w:hint="eastAsia" w:ascii="宋体" w:hAnsi="宋体" w:cs="宋体"/>
                <w:color w:val="auto"/>
                <w:sz w:val="24"/>
                <w:szCs w:val="24"/>
                <w:highlight w:val="none"/>
                <w:lang w:val="en-US" w:eastAsia="zh-CN"/>
              </w:rPr>
              <w:t>递交</w:t>
            </w:r>
            <w:r>
              <w:rPr>
                <w:rFonts w:hint="eastAsia" w:ascii="宋体" w:hAnsi="宋体" w:cs="宋体"/>
                <w:color w:val="auto"/>
                <w:sz w:val="24"/>
                <w:szCs w:val="24"/>
                <w:highlight w:val="none"/>
              </w:rPr>
              <w:t>投标文件截止日期起计算）</w:t>
            </w:r>
          </w:p>
        </w:tc>
      </w:tr>
      <w:tr w14:paraId="2BBFAD56">
        <w:tblPrEx>
          <w:tblCellMar>
            <w:top w:w="0" w:type="dxa"/>
            <w:left w:w="108" w:type="dxa"/>
            <w:bottom w:w="0" w:type="dxa"/>
            <w:right w:w="108" w:type="dxa"/>
          </w:tblCellMar>
        </w:tblPrEx>
        <w:trPr>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4BD02E89">
            <w:pPr>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7</w:t>
            </w:r>
          </w:p>
        </w:tc>
        <w:tc>
          <w:tcPr>
            <w:tcW w:w="2176" w:type="dxa"/>
            <w:tcBorders>
              <w:top w:val="single" w:color="auto" w:sz="4" w:space="0"/>
              <w:left w:val="single" w:color="auto" w:sz="4" w:space="0"/>
              <w:bottom w:val="single" w:color="auto" w:sz="4" w:space="0"/>
              <w:right w:val="single" w:color="auto" w:sz="4" w:space="0"/>
            </w:tcBorders>
            <w:vAlign w:val="center"/>
          </w:tcPr>
          <w:p w14:paraId="7A808C9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是否允许递交备选投标方案</w:t>
            </w:r>
          </w:p>
        </w:tc>
        <w:tc>
          <w:tcPr>
            <w:tcW w:w="6576" w:type="dxa"/>
            <w:tcBorders>
              <w:top w:val="single" w:color="auto" w:sz="4" w:space="0"/>
              <w:left w:val="single" w:color="auto" w:sz="4" w:space="0"/>
              <w:bottom w:val="single" w:color="auto" w:sz="4" w:space="0"/>
              <w:right w:val="single" w:color="auto" w:sz="4" w:space="0"/>
            </w:tcBorders>
            <w:vAlign w:val="center"/>
          </w:tcPr>
          <w:p w14:paraId="2D63D98F">
            <w:pPr>
              <w:pStyle w:val="8"/>
              <w:topLinePunct/>
              <w:spacing w:line="360" w:lineRule="auto"/>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不允许；</w:t>
            </w:r>
          </w:p>
        </w:tc>
      </w:tr>
      <w:tr w14:paraId="0EA49023">
        <w:tblPrEx>
          <w:tblCellMar>
            <w:top w:w="0" w:type="dxa"/>
            <w:left w:w="108" w:type="dxa"/>
            <w:bottom w:w="0" w:type="dxa"/>
            <w:right w:w="108" w:type="dxa"/>
          </w:tblCellMar>
        </w:tblPrEx>
        <w:trPr>
          <w:trHeight w:val="964"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6E1149A7">
            <w:pPr>
              <w:snapToGrid w:val="0"/>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8</w:t>
            </w:r>
          </w:p>
        </w:tc>
        <w:tc>
          <w:tcPr>
            <w:tcW w:w="2176" w:type="dxa"/>
            <w:tcBorders>
              <w:top w:val="single" w:color="auto" w:sz="4" w:space="0"/>
              <w:left w:val="single" w:color="auto" w:sz="4" w:space="0"/>
              <w:bottom w:val="single" w:color="auto" w:sz="4" w:space="0"/>
              <w:right w:val="single" w:color="auto" w:sz="4" w:space="0"/>
            </w:tcBorders>
            <w:vAlign w:val="center"/>
          </w:tcPr>
          <w:p w14:paraId="0CAA0E88">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投标文件份数及其他要求</w:t>
            </w:r>
          </w:p>
        </w:tc>
        <w:tc>
          <w:tcPr>
            <w:tcW w:w="6576" w:type="dxa"/>
            <w:tcBorders>
              <w:top w:val="single" w:color="auto" w:sz="4" w:space="0"/>
              <w:left w:val="single" w:color="auto" w:sz="4" w:space="0"/>
              <w:bottom w:val="single" w:color="auto" w:sz="4" w:space="0"/>
              <w:right w:val="single" w:color="auto" w:sz="4" w:space="0"/>
            </w:tcBorders>
            <w:vAlign w:val="center"/>
          </w:tcPr>
          <w:p w14:paraId="7A5380C1">
            <w:pPr>
              <w:pStyle w:val="69"/>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加密的电子投标文件壹份（</w:t>
            </w:r>
            <w:r>
              <w:rPr>
                <w:rFonts w:ascii="宋体" w:hAnsi="宋体" w:cs="宋体"/>
                <w:color w:val="auto"/>
                <w:sz w:val="24"/>
                <w:szCs w:val="24"/>
                <w:highlight w:val="none"/>
              </w:rPr>
              <w:t xml:space="preserve">*.hntf </w:t>
            </w:r>
            <w:r>
              <w:rPr>
                <w:rFonts w:hint="eastAsia" w:ascii="宋体" w:hAnsi="宋体" w:cs="宋体"/>
                <w:color w:val="auto"/>
                <w:sz w:val="24"/>
                <w:szCs w:val="24"/>
                <w:highlight w:val="none"/>
              </w:rPr>
              <w:t>格式，在会员系统指定位置上传）；</w:t>
            </w:r>
          </w:p>
        </w:tc>
      </w:tr>
      <w:tr w14:paraId="0A3C9FC8">
        <w:tblPrEx>
          <w:tblCellMar>
            <w:top w:w="0" w:type="dxa"/>
            <w:left w:w="108" w:type="dxa"/>
            <w:bottom w:w="0" w:type="dxa"/>
            <w:right w:w="108" w:type="dxa"/>
          </w:tblCellMar>
        </w:tblPrEx>
        <w:trPr>
          <w:trHeight w:val="1377"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5B68BA1C">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w:t>
            </w:r>
          </w:p>
        </w:tc>
        <w:tc>
          <w:tcPr>
            <w:tcW w:w="2176" w:type="dxa"/>
            <w:tcBorders>
              <w:top w:val="single" w:color="auto" w:sz="4" w:space="0"/>
              <w:left w:val="single" w:color="auto" w:sz="4" w:space="0"/>
              <w:bottom w:val="single" w:color="auto" w:sz="4" w:space="0"/>
              <w:right w:val="single" w:color="auto" w:sz="4" w:space="0"/>
            </w:tcBorders>
            <w:vAlign w:val="center"/>
          </w:tcPr>
          <w:p w14:paraId="3331E5C0">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投标文件签字或盖章要求</w:t>
            </w:r>
          </w:p>
        </w:tc>
        <w:tc>
          <w:tcPr>
            <w:tcW w:w="6576" w:type="dxa"/>
            <w:tcBorders>
              <w:top w:val="single" w:color="auto" w:sz="4" w:space="0"/>
              <w:left w:val="single" w:color="auto" w:sz="4" w:space="0"/>
              <w:bottom w:val="single" w:color="auto" w:sz="4" w:space="0"/>
              <w:right w:val="single" w:color="auto" w:sz="4" w:space="0"/>
            </w:tcBorders>
            <w:vAlign w:val="center"/>
          </w:tcPr>
          <w:p w14:paraId="0DA9AFD8">
            <w:pPr>
              <w:pStyle w:val="69"/>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加密电子投标文件</w:t>
            </w:r>
          </w:p>
          <w:p w14:paraId="3AFC9B1A">
            <w:pPr>
              <w:pStyle w:val="69"/>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）所有要求投标人加盖公章的地方都应盖投标人单位的</w:t>
            </w:r>
            <w:r>
              <w:rPr>
                <w:rFonts w:ascii="宋体" w:hAnsi="宋体" w:cs="宋体"/>
                <w:color w:val="auto"/>
                <w:sz w:val="24"/>
                <w:szCs w:val="24"/>
                <w:highlight w:val="none"/>
              </w:rPr>
              <w:t xml:space="preserve">CA </w:t>
            </w:r>
            <w:r>
              <w:rPr>
                <w:rFonts w:hint="eastAsia" w:ascii="宋体" w:hAnsi="宋体" w:cs="宋体"/>
                <w:color w:val="auto"/>
                <w:sz w:val="24"/>
                <w:szCs w:val="24"/>
                <w:highlight w:val="none"/>
              </w:rPr>
              <w:t>印章。</w:t>
            </w:r>
          </w:p>
          <w:p w14:paraId="022E76FF">
            <w:pPr>
              <w:pStyle w:val="69"/>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）所有要求法定代表人或其委托代理人签字的地方都应盖法定代表人或其委托代理人的</w:t>
            </w:r>
            <w:r>
              <w:rPr>
                <w:rFonts w:ascii="宋体" w:hAnsi="宋体" w:cs="宋体"/>
                <w:color w:val="auto"/>
                <w:sz w:val="24"/>
                <w:szCs w:val="24"/>
                <w:highlight w:val="none"/>
              </w:rPr>
              <w:t xml:space="preserve">CA </w:t>
            </w:r>
            <w:r>
              <w:rPr>
                <w:rFonts w:hint="eastAsia" w:ascii="宋体" w:hAnsi="宋体" w:cs="宋体"/>
                <w:color w:val="auto"/>
                <w:sz w:val="24"/>
                <w:szCs w:val="24"/>
                <w:highlight w:val="none"/>
              </w:rPr>
              <w:t>印章。（如委托代理人未办理</w:t>
            </w:r>
            <w:r>
              <w:rPr>
                <w:rFonts w:ascii="宋体" w:hAnsi="宋体" w:cs="宋体"/>
                <w:color w:val="auto"/>
                <w:sz w:val="24"/>
                <w:szCs w:val="24"/>
                <w:highlight w:val="none"/>
              </w:rPr>
              <w:t>CA</w:t>
            </w:r>
            <w:r>
              <w:rPr>
                <w:rFonts w:hint="eastAsia" w:ascii="宋体" w:hAnsi="宋体" w:cs="宋体"/>
                <w:color w:val="auto"/>
                <w:sz w:val="24"/>
                <w:szCs w:val="24"/>
                <w:highlight w:val="none"/>
              </w:rPr>
              <w:t>印章，手写签字扫描上传）。</w:t>
            </w:r>
          </w:p>
        </w:tc>
      </w:tr>
      <w:tr w14:paraId="73AD09A9">
        <w:tblPrEx>
          <w:tblCellMar>
            <w:top w:w="0" w:type="dxa"/>
            <w:left w:w="108" w:type="dxa"/>
            <w:bottom w:w="0" w:type="dxa"/>
            <w:right w:w="108" w:type="dxa"/>
          </w:tblCellMar>
        </w:tblPrEx>
        <w:trPr>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314823F6">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20</w:t>
            </w:r>
          </w:p>
        </w:tc>
        <w:tc>
          <w:tcPr>
            <w:tcW w:w="2176" w:type="dxa"/>
            <w:tcBorders>
              <w:top w:val="single" w:color="auto" w:sz="4" w:space="0"/>
              <w:left w:val="single" w:color="auto" w:sz="4" w:space="0"/>
              <w:bottom w:val="single" w:color="auto" w:sz="4" w:space="0"/>
              <w:right w:val="single" w:color="auto" w:sz="4" w:space="0"/>
            </w:tcBorders>
            <w:vAlign w:val="center"/>
          </w:tcPr>
          <w:p w14:paraId="7DFE74F0">
            <w:pPr>
              <w:spacing w:line="360" w:lineRule="auto"/>
              <w:jc w:val="center"/>
              <w:rPr>
                <w:rFonts w:hint="eastAsia" w:ascii="宋体" w:hAnsi="宋体" w:cs="宋体"/>
                <w:b/>
                <w:bCs/>
                <w:color w:val="auto"/>
                <w:sz w:val="24"/>
                <w:szCs w:val="24"/>
                <w:highlight w:val="none"/>
              </w:rPr>
            </w:pPr>
            <w:r>
              <w:rPr>
                <w:rFonts w:hint="default" w:ascii="宋体" w:hAnsi="宋体" w:cs="宋体"/>
                <w:b/>
                <w:bCs/>
                <w:color w:val="auto"/>
                <w:sz w:val="24"/>
                <w:szCs w:val="24"/>
                <w:highlight w:val="none"/>
              </w:rPr>
              <w:t>投标截止时间</w:t>
            </w:r>
          </w:p>
        </w:tc>
        <w:tc>
          <w:tcPr>
            <w:tcW w:w="6576" w:type="dxa"/>
            <w:tcBorders>
              <w:top w:val="single" w:color="auto" w:sz="4" w:space="0"/>
              <w:left w:val="single" w:color="auto" w:sz="4" w:space="0"/>
              <w:bottom w:val="single" w:color="auto" w:sz="4" w:space="0"/>
              <w:right w:val="single" w:color="auto" w:sz="4" w:space="0"/>
            </w:tcBorders>
            <w:vAlign w:val="center"/>
          </w:tcPr>
          <w:p w14:paraId="71FDA24A">
            <w:pPr>
              <w:spacing w:line="360" w:lineRule="auto"/>
              <w:jc w:val="left"/>
              <w:rPr>
                <w:rFonts w:hint="eastAsia" w:ascii="宋体" w:hAnsi="宋体" w:cs="宋体"/>
                <w:b/>
                <w:bCs/>
                <w:color w:val="auto"/>
                <w:kern w:val="0"/>
                <w:sz w:val="24"/>
                <w:szCs w:val="24"/>
                <w:highlight w:val="none"/>
              </w:rPr>
            </w:pPr>
            <w:r>
              <w:rPr>
                <w:rFonts w:hint="eastAsia" w:ascii="宋体" w:hAnsi="宋体" w:cs="宋体"/>
                <w:b/>
                <w:bCs/>
                <w:color w:val="auto"/>
                <w:kern w:val="2"/>
                <w:sz w:val="24"/>
                <w:szCs w:val="24"/>
                <w:highlight w:val="none"/>
              </w:rPr>
              <w:t>2</w:t>
            </w:r>
            <w:r>
              <w:rPr>
                <w:rFonts w:hint="eastAsia" w:ascii="宋体" w:hAnsi="宋体" w:cs="宋体"/>
                <w:b/>
                <w:bCs/>
                <w:color w:val="auto"/>
                <w:kern w:val="2"/>
                <w:sz w:val="24"/>
                <w:szCs w:val="24"/>
                <w:highlight w:val="none"/>
                <w:lang w:val="en-US" w:eastAsia="zh-CN"/>
              </w:rPr>
              <w:t>026</w:t>
            </w:r>
            <w:r>
              <w:rPr>
                <w:rFonts w:hint="eastAsia" w:ascii="宋体" w:hAnsi="宋体" w:cs="宋体"/>
                <w:b/>
                <w:bCs/>
                <w:color w:val="auto"/>
                <w:kern w:val="2"/>
                <w:sz w:val="24"/>
                <w:szCs w:val="24"/>
                <w:highlight w:val="none"/>
              </w:rPr>
              <w:t>年</w:t>
            </w:r>
            <w:r>
              <w:rPr>
                <w:rFonts w:hint="eastAsia" w:ascii="宋体" w:hAnsi="宋体" w:cs="宋体"/>
                <w:b/>
                <w:bCs/>
                <w:color w:val="auto"/>
                <w:kern w:val="2"/>
                <w:sz w:val="24"/>
                <w:szCs w:val="24"/>
                <w:highlight w:val="none"/>
                <w:lang w:val="en-US" w:eastAsia="zh-CN"/>
              </w:rPr>
              <w:t>03</w:t>
            </w:r>
            <w:r>
              <w:rPr>
                <w:rFonts w:hint="eastAsia" w:ascii="宋体" w:hAnsi="宋体" w:cs="宋体"/>
                <w:b/>
                <w:bCs/>
                <w:color w:val="auto"/>
                <w:kern w:val="2"/>
                <w:sz w:val="24"/>
                <w:szCs w:val="24"/>
                <w:highlight w:val="none"/>
              </w:rPr>
              <w:t>月</w:t>
            </w:r>
            <w:r>
              <w:rPr>
                <w:rFonts w:hint="eastAsia" w:ascii="宋体" w:hAnsi="宋体" w:cs="宋体"/>
                <w:b/>
                <w:bCs/>
                <w:color w:val="auto"/>
                <w:kern w:val="2"/>
                <w:sz w:val="24"/>
                <w:szCs w:val="24"/>
                <w:highlight w:val="none"/>
                <w:lang w:val="en-US" w:eastAsia="zh-CN"/>
              </w:rPr>
              <w:t>18</w:t>
            </w:r>
            <w:r>
              <w:rPr>
                <w:rFonts w:hint="eastAsia" w:ascii="宋体" w:hAnsi="宋体" w:cs="宋体"/>
                <w:b/>
                <w:bCs/>
                <w:color w:val="auto"/>
                <w:kern w:val="2"/>
                <w:sz w:val="24"/>
                <w:szCs w:val="24"/>
                <w:highlight w:val="none"/>
              </w:rPr>
              <w:t>日09时00分（北京时间）</w:t>
            </w:r>
          </w:p>
        </w:tc>
      </w:tr>
      <w:tr w14:paraId="5AA04580">
        <w:tblPrEx>
          <w:tblCellMar>
            <w:top w:w="0" w:type="dxa"/>
            <w:left w:w="108" w:type="dxa"/>
            <w:bottom w:w="0" w:type="dxa"/>
            <w:right w:w="108" w:type="dxa"/>
          </w:tblCellMar>
        </w:tblPrEx>
        <w:trPr>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0FF64A92">
            <w:pPr>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1</w:t>
            </w:r>
          </w:p>
        </w:tc>
        <w:tc>
          <w:tcPr>
            <w:tcW w:w="2176" w:type="dxa"/>
            <w:tcBorders>
              <w:top w:val="single" w:color="auto" w:sz="4" w:space="0"/>
              <w:left w:val="single" w:color="auto" w:sz="4" w:space="0"/>
              <w:bottom w:val="single" w:color="auto" w:sz="4" w:space="0"/>
              <w:right w:val="single" w:color="auto" w:sz="4" w:space="0"/>
            </w:tcBorders>
            <w:vAlign w:val="center"/>
          </w:tcPr>
          <w:p w14:paraId="00DD493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递交投标文件地点</w:t>
            </w:r>
          </w:p>
        </w:tc>
        <w:tc>
          <w:tcPr>
            <w:tcW w:w="6576" w:type="dxa"/>
            <w:tcBorders>
              <w:top w:val="single" w:color="auto" w:sz="4" w:space="0"/>
              <w:left w:val="single" w:color="auto" w:sz="4" w:space="0"/>
              <w:bottom w:val="single" w:color="auto" w:sz="4" w:space="0"/>
              <w:right w:val="single" w:color="auto" w:sz="4" w:space="0"/>
            </w:tcBorders>
            <w:vAlign w:val="center"/>
          </w:tcPr>
          <w:p w14:paraId="1BD04146">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加密电子投标文件须在投标截止时间前在河南省公共资源交易中心交易系统中加密上传成功。</w:t>
            </w:r>
          </w:p>
        </w:tc>
      </w:tr>
      <w:tr w14:paraId="1929D7E2">
        <w:tblPrEx>
          <w:tblCellMar>
            <w:top w:w="0" w:type="dxa"/>
            <w:left w:w="108" w:type="dxa"/>
            <w:bottom w:w="0" w:type="dxa"/>
            <w:right w:w="108" w:type="dxa"/>
          </w:tblCellMar>
        </w:tblPrEx>
        <w:trPr>
          <w:trHeight w:val="882"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1D954DDC">
            <w:pPr>
              <w:snapToGrid w:val="0"/>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2</w:t>
            </w:r>
          </w:p>
        </w:tc>
        <w:tc>
          <w:tcPr>
            <w:tcW w:w="2176" w:type="dxa"/>
            <w:tcBorders>
              <w:top w:val="single" w:color="auto" w:sz="4" w:space="0"/>
              <w:left w:val="single" w:color="auto" w:sz="4" w:space="0"/>
              <w:bottom w:val="single" w:color="auto" w:sz="4" w:space="0"/>
              <w:right w:val="single" w:color="auto" w:sz="4" w:space="0"/>
            </w:tcBorders>
            <w:vAlign w:val="center"/>
          </w:tcPr>
          <w:p w14:paraId="37B8C014">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评标委员会的组建</w:t>
            </w:r>
          </w:p>
        </w:tc>
        <w:tc>
          <w:tcPr>
            <w:tcW w:w="6576" w:type="dxa"/>
            <w:tcBorders>
              <w:top w:val="single" w:color="auto" w:sz="4" w:space="0"/>
              <w:left w:val="single" w:color="auto" w:sz="4" w:space="0"/>
              <w:bottom w:val="single" w:color="auto" w:sz="4" w:space="0"/>
              <w:right w:val="single" w:color="auto" w:sz="4" w:space="0"/>
            </w:tcBorders>
            <w:vAlign w:val="center"/>
          </w:tcPr>
          <w:p w14:paraId="1DCE2C68">
            <w:pPr>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评标委员会构成：</w:t>
            </w:r>
            <w:r>
              <w:rPr>
                <w:rFonts w:hint="eastAsia" w:ascii="宋体" w:hAnsi="宋体" w:cs="宋体"/>
                <w:color w:val="auto"/>
                <w:sz w:val="24"/>
                <w:szCs w:val="24"/>
                <w:highlight w:val="none"/>
                <w:lang w:val="en-US" w:eastAsia="zh-CN"/>
              </w:rPr>
              <w:t>成员人数为5人，其中评审专家不得少于成员总数的三分之二</w:t>
            </w:r>
            <w:r>
              <w:rPr>
                <w:rFonts w:hint="eastAsia" w:ascii="宋体" w:hAnsi="宋体" w:cs="宋体"/>
                <w:color w:val="auto"/>
                <w:sz w:val="24"/>
                <w:szCs w:val="24"/>
                <w:highlight w:val="none"/>
              </w:rPr>
              <w:t>。评标专家确定方式：从河南省政府采购专家库中随机抽取。</w:t>
            </w:r>
          </w:p>
        </w:tc>
      </w:tr>
      <w:tr w14:paraId="1FA5FAB5">
        <w:tblPrEx>
          <w:tblCellMar>
            <w:top w:w="0" w:type="dxa"/>
            <w:left w:w="108" w:type="dxa"/>
            <w:bottom w:w="0" w:type="dxa"/>
            <w:right w:w="108" w:type="dxa"/>
          </w:tblCellMar>
        </w:tblPrEx>
        <w:trPr>
          <w:trHeight w:val="90"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23A5D9D6">
            <w:pPr>
              <w:snapToGrid w:val="0"/>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3</w:t>
            </w:r>
          </w:p>
        </w:tc>
        <w:tc>
          <w:tcPr>
            <w:tcW w:w="2176" w:type="dxa"/>
            <w:tcBorders>
              <w:top w:val="single" w:color="auto" w:sz="4" w:space="0"/>
              <w:left w:val="single" w:color="auto" w:sz="4" w:space="0"/>
              <w:bottom w:val="single" w:color="auto" w:sz="4" w:space="0"/>
              <w:right w:val="single" w:color="auto" w:sz="4" w:space="0"/>
            </w:tcBorders>
            <w:vAlign w:val="center"/>
          </w:tcPr>
          <w:p w14:paraId="0B18CDD6">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是否授权评标委员会确定中标人</w:t>
            </w:r>
          </w:p>
        </w:tc>
        <w:tc>
          <w:tcPr>
            <w:tcW w:w="6576" w:type="dxa"/>
            <w:tcBorders>
              <w:top w:val="single" w:color="auto" w:sz="4" w:space="0"/>
              <w:left w:val="single" w:color="auto" w:sz="4" w:space="0"/>
              <w:bottom w:val="single" w:color="auto" w:sz="4" w:space="0"/>
              <w:right w:val="single" w:color="auto" w:sz="4" w:space="0"/>
            </w:tcBorders>
            <w:vAlign w:val="center"/>
          </w:tcPr>
          <w:p w14:paraId="4DEFE581">
            <w:pPr>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否，推荐的中标候选人数：</w:t>
            </w:r>
            <w:r>
              <w:rPr>
                <w:rFonts w:ascii="宋体" w:hAnsi="宋体" w:cs="宋体"/>
                <w:color w:val="auto"/>
                <w:sz w:val="24"/>
                <w:szCs w:val="24"/>
                <w:highlight w:val="none"/>
              </w:rPr>
              <w:t>3</w:t>
            </w:r>
          </w:p>
        </w:tc>
      </w:tr>
      <w:tr w14:paraId="073DA319">
        <w:tblPrEx>
          <w:tblCellMar>
            <w:top w:w="0" w:type="dxa"/>
            <w:left w:w="108" w:type="dxa"/>
            <w:bottom w:w="0" w:type="dxa"/>
            <w:right w:w="108" w:type="dxa"/>
          </w:tblCellMar>
        </w:tblPrEx>
        <w:trPr>
          <w:trHeight w:val="542"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53162ED2">
            <w:pPr>
              <w:snapToGrid w:val="0"/>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4</w:t>
            </w:r>
          </w:p>
        </w:tc>
        <w:tc>
          <w:tcPr>
            <w:tcW w:w="2176" w:type="dxa"/>
            <w:tcBorders>
              <w:top w:val="single" w:color="auto" w:sz="4" w:space="0"/>
              <w:left w:val="single" w:color="auto" w:sz="4" w:space="0"/>
              <w:bottom w:val="single" w:color="auto" w:sz="4" w:space="0"/>
              <w:right w:val="single" w:color="auto" w:sz="4" w:space="0"/>
            </w:tcBorders>
            <w:vAlign w:val="center"/>
          </w:tcPr>
          <w:p w14:paraId="0B977F2D">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公告中标结果</w:t>
            </w:r>
          </w:p>
        </w:tc>
        <w:tc>
          <w:tcPr>
            <w:tcW w:w="6576" w:type="dxa"/>
            <w:tcBorders>
              <w:top w:val="single" w:color="auto" w:sz="4" w:space="0"/>
              <w:left w:val="single" w:color="auto" w:sz="4" w:space="0"/>
              <w:bottom w:val="single" w:color="auto" w:sz="4" w:space="0"/>
              <w:right w:val="single" w:color="auto" w:sz="4" w:space="0"/>
            </w:tcBorders>
            <w:vAlign w:val="center"/>
          </w:tcPr>
          <w:p w14:paraId="5E65C036">
            <w:pPr>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公示媒介：</w:t>
            </w:r>
            <w:r>
              <w:rPr>
                <w:rFonts w:hint="eastAsia" w:ascii="宋体" w:hAnsi="宋体" w:eastAsia="宋体" w:cs="宋体"/>
                <w:b w:val="0"/>
                <w:bCs w:val="0"/>
                <w:color w:val="auto"/>
                <w:kern w:val="10"/>
                <w:sz w:val="24"/>
                <w:szCs w:val="24"/>
                <w:highlight w:val="none"/>
              </w:rPr>
              <w:t>《河南省政府采购网》</w:t>
            </w:r>
            <w:r>
              <w:rPr>
                <w:rFonts w:hint="eastAsia" w:ascii="宋体" w:hAnsi="宋体" w:eastAsia="宋体" w:cs="宋体"/>
                <w:b w:val="0"/>
                <w:bCs w:val="0"/>
                <w:color w:val="auto"/>
                <w:kern w:val="10"/>
                <w:sz w:val="24"/>
                <w:szCs w:val="24"/>
                <w:highlight w:val="none"/>
                <w:lang w:eastAsia="zh-CN"/>
              </w:rPr>
              <w:t>、</w:t>
            </w:r>
            <w:r>
              <w:rPr>
                <w:rFonts w:hint="eastAsia" w:ascii="宋体" w:hAnsi="宋体" w:eastAsia="宋体" w:cs="宋体"/>
                <w:color w:val="auto"/>
                <w:kern w:val="10"/>
                <w:sz w:val="24"/>
                <w:szCs w:val="24"/>
                <w:highlight w:val="none"/>
                <w:shd w:val="clear"/>
              </w:rPr>
              <w:t>《河南省公共资源交易中心网》</w:t>
            </w:r>
          </w:p>
          <w:p w14:paraId="6A485A98">
            <w:pPr>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公示期限：</w:t>
            </w:r>
            <w:r>
              <w:rPr>
                <w:rFonts w:ascii="宋体" w:hAnsi="宋体" w:cs="宋体"/>
                <w:color w:val="auto"/>
                <w:sz w:val="24"/>
                <w:szCs w:val="24"/>
                <w:highlight w:val="none"/>
              </w:rPr>
              <w:t>1</w:t>
            </w:r>
            <w:r>
              <w:rPr>
                <w:rFonts w:hint="eastAsia" w:ascii="宋体" w:hAnsi="宋体" w:cs="宋体"/>
                <w:color w:val="auto"/>
                <w:sz w:val="24"/>
                <w:szCs w:val="24"/>
                <w:highlight w:val="none"/>
              </w:rPr>
              <w:t>个工作日</w:t>
            </w:r>
          </w:p>
        </w:tc>
      </w:tr>
      <w:tr w14:paraId="62D99201">
        <w:tblPrEx>
          <w:tblCellMar>
            <w:top w:w="0" w:type="dxa"/>
            <w:left w:w="108" w:type="dxa"/>
            <w:bottom w:w="0" w:type="dxa"/>
            <w:right w:w="108" w:type="dxa"/>
          </w:tblCellMar>
        </w:tblPrEx>
        <w:trPr>
          <w:trHeight w:val="610"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049558F4">
            <w:pPr>
              <w:snapToGrid w:val="0"/>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p>
        </w:tc>
        <w:tc>
          <w:tcPr>
            <w:tcW w:w="2176" w:type="dxa"/>
            <w:tcBorders>
              <w:top w:val="single" w:color="auto" w:sz="4" w:space="0"/>
              <w:left w:val="single" w:color="auto" w:sz="4" w:space="0"/>
              <w:bottom w:val="single" w:color="auto" w:sz="4" w:space="0"/>
              <w:right w:val="single" w:color="auto" w:sz="4" w:space="0"/>
            </w:tcBorders>
            <w:vAlign w:val="center"/>
          </w:tcPr>
          <w:p w14:paraId="5D508F0E">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履约担保</w:t>
            </w:r>
          </w:p>
        </w:tc>
        <w:tc>
          <w:tcPr>
            <w:tcW w:w="6576" w:type="dxa"/>
            <w:tcBorders>
              <w:top w:val="single" w:color="auto" w:sz="4" w:space="0"/>
              <w:left w:val="single" w:color="auto" w:sz="4" w:space="0"/>
              <w:bottom w:val="single" w:color="auto" w:sz="4" w:space="0"/>
              <w:right w:val="single" w:color="auto" w:sz="4" w:space="0"/>
            </w:tcBorders>
            <w:vAlign w:val="center"/>
          </w:tcPr>
          <w:p w14:paraId="6806E584">
            <w:pPr>
              <w:pStyle w:val="69"/>
              <w:wordWrap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是否要求中标人提交履约保证金：要求；</w:t>
            </w:r>
          </w:p>
          <w:p w14:paraId="5F5E6C74">
            <w:pPr>
              <w:pStyle w:val="69"/>
              <w:wordWrap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履约保证金的形式：银行转账</w:t>
            </w:r>
            <w:r>
              <w:rPr>
                <w:rFonts w:hint="eastAsia" w:ascii="宋体" w:hAnsi="宋体" w:cs="宋体"/>
                <w:color w:val="auto"/>
                <w:sz w:val="24"/>
                <w:szCs w:val="24"/>
                <w:highlight w:val="none"/>
                <w:lang w:val="en-US" w:eastAsia="zh-CN"/>
              </w:rPr>
              <w:t>或保函</w:t>
            </w:r>
          </w:p>
          <w:p w14:paraId="083EB107">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履约保证金的金额：</w:t>
            </w:r>
            <w:r>
              <w:rPr>
                <w:rFonts w:hint="eastAsia" w:ascii="宋体" w:hAnsi="宋体" w:cs="宋体"/>
                <w:color w:val="auto"/>
                <w:sz w:val="24"/>
                <w:szCs w:val="24"/>
                <w:highlight w:val="none"/>
                <w:lang w:val="en-US" w:eastAsia="zh-CN"/>
              </w:rPr>
              <w:t>中标金额的6%。</w:t>
            </w:r>
          </w:p>
        </w:tc>
      </w:tr>
      <w:tr w14:paraId="1141CEF5">
        <w:tblPrEx>
          <w:tblCellMar>
            <w:top w:w="0" w:type="dxa"/>
            <w:left w:w="108" w:type="dxa"/>
            <w:bottom w:w="0" w:type="dxa"/>
            <w:right w:w="108" w:type="dxa"/>
          </w:tblCellMar>
        </w:tblPrEx>
        <w:trPr>
          <w:trHeight w:val="610"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4EDAA7F0">
            <w:pPr>
              <w:pStyle w:val="69"/>
              <w:wordWrap w:val="0"/>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p>
        </w:tc>
        <w:tc>
          <w:tcPr>
            <w:tcW w:w="2176" w:type="dxa"/>
            <w:tcBorders>
              <w:top w:val="single" w:color="auto" w:sz="4" w:space="0"/>
              <w:left w:val="single" w:color="auto" w:sz="4" w:space="0"/>
              <w:bottom w:val="single" w:color="auto" w:sz="4" w:space="0"/>
              <w:right w:val="single" w:color="auto" w:sz="4" w:space="0"/>
            </w:tcBorders>
            <w:vAlign w:val="center"/>
          </w:tcPr>
          <w:p w14:paraId="664EDF9E">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是否采用电子招标投标</w:t>
            </w:r>
          </w:p>
        </w:tc>
        <w:tc>
          <w:tcPr>
            <w:tcW w:w="6576" w:type="dxa"/>
            <w:tcBorders>
              <w:top w:val="single" w:color="auto" w:sz="4" w:space="0"/>
              <w:left w:val="single" w:color="auto" w:sz="4" w:space="0"/>
              <w:bottom w:val="single" w:color="auto" w:sz="4" w:space="0"/>
              <w:right w:val="single" w:color="auto" w:sz="4" w:space="0"/>
            </w:tcBorders>
            <w:vAlign w:val="center"/>
          </w:tcPr>
          <w:p w14:paraId="504C323D">
            <w:pPr>
              <w:pStyle w:val="69"/>
              <w:wordWrap w:val="0"/>
              <w:spacing w:line="360" w:lineRule="auto"/>
              <w:rPr>
                <w:rFonts w:hint="eastAsia" w:ascii="宋体" w:hAnsi="宋体" w:cs="宋体"/>
                <w:bCs/>
                <w:color w:val="auto"/>
                <w:kern w:val="0"/>
                <w:sz w:val="24"/>
                <w:szCs w:val="24"/>
                <w:highlight w:val="none"/>
              </w:rPr>
            </w:pPr>
            <w:r>
              <w:rPr>
                <w:rFonts w:hint="eastAsia" w:ascii="宋体" w:hAnsi="宋体" w:cs="宋体"/>
                <w:color w:val="auto"/>
                <w:sz w:val="24"/>
                <w:szCs w:val="24"/>
                <w:highlight w:val="none"/>
              </w:rPr>
              <w:t>是，具体要求：</w:t>
            </w:r>
            <w:r>
              <w:rPr>
                <w:rFonts w:hint="eastAsia" w:ascii="宋体" w:hAnsi="宋体" w:cs="宋体"/>
                <w:b/>
                <w:color w:val="auto"/>
                <w:sz w:val="24"/>
                <w:szCs w:val="24"/>
                <w:highlight w:val="none"/>
              </w:rPr>
              <w:t>本项目采用不见面开标，</w:t>
            </w:r>
            <w:r>
              <w:rPr>
                <w:rFonts w:hint="eastAsia" w:ascii="宋体" w:hAnsi="宋体" w:cs="宋体"/>
                <w:b/>
                <w:color w:val="auto"/>
                <w:sz w:val="24"/>
                <w:szCs w:val="24"/>
                <w:highlight w:val="none"/>
                <w:lang w:val="en-US" w:eastAsia="zh-CN"/>
              </w:rPr>
              <w:t>投标人</w:t>
            </w:r>
            <w:r>
              <w:rPr>
                <w:rFonts w:hint="eastAsia" w:ascii="宋体" w:hAnsi="宋体" w:cs="宋体"/>
                <w:b/>
                <w:color w:val="auto"/>
                <w:sz w:val="24"/>
                <w:szCs w:val="24"/>
                <w:highlight w:val="none"/>
              </w:rPr>
              <w:t>不到开标现场解密。</w:t>
            </w:r>
          </w:p>
        </w:tc>
      </w:tr>
      <w:tr w14:paraId="23A6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8" w:type="dxa"/>
            <w:gridSpan w:val="4"/>
            <w:vAlign w:val="center"/>
          </w:tcPr>
          <w:p w14:paraId="68055B6F">
            <w:pPr>
              <w:snapToGrid w:val="0"/>
              <w:spacing w:line="360" w:lineRule="auto"/>
              <w:jc w:val="left"/>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.需要补充的其他内容：</w:t>
            </w:r>
          </w:p>
        </w:tc>
      </w:tr>
      <w:tr w14:paraId="05DD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63" w:type="dxa"/>
            <w:vAlign w:val="center"/>
          </w:tcPr>
          <w:p w14:paraId="00B17565">
            <w:pPr>
              <w:snapToGrid w:val="0"/>
              <w:spacing w:line="360" w:lineRule="auto"/>
              <w:jc w:val="center"/>
              <w:rPr>
                <w:rFonts w:hint="default" w:ascii="宋体" w:hAnsi="宋体" w:eastAsia="宋体" w:cs="宋体"/>
                <w:color w:val="auto"/>
                <w:sz w:val="24"/>
                <w:szCs w:val="24"/>
                <w:highlight w:val="none"/>
                <w:lang w:val="en-US"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p>
        </w:tc>
        <w:tc>
          <w:tcPr>
            <w:tcW w:w="9145" w:type="dxa"/>
            <w:gridSpan w:val="3"/>
            <w:vAlign w:val="center"/>
          </w:tcPr>
          <w:p w14:paraId="1FE828C8">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本项目招标代理服务费参照</w:t>
            </w:r>
            <w:r>
              <w:rPr>
                <w:rFonts w:hint="eastAsia" w:ascii="宋体" w:hAnsi="宋体" w:eastAsia="宋体" w:cs="宋体"/>
                <w:color w:val="auto"/>
                <w:sz w:val="24"/>
                <w:szCs w:val="24"/>
                <w:highlight w:val="none"/>
              </w:rPr>
              <w:t>豫招协[2023]002号文件的规定收取</w:t>
            </w:r>
            <w:r>
              <w:rPr>
                <w:rFonts w:hint="eastAsia" w:ascii="宋体" w:hAnsi="宋体" w:cs="宋体"/>
                <w:color w:val="auto"/>
                <w:sz w:val="24"/>
                <w:szCs w:val="24"/>
                <w:highlight w:val="none"/>
              </w:rPr>
              <w:t>，按其标准向中标人收取。</w:t>
            </w:r>
          </w:p>
          <w:p w14:paraId="4BFABC24">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招标代理服务费的交纳方式：中标人在领取中标通知书前从中标人公司对公账户一次性汇入代理公司账户。</w:t>
            </w:r>
          </w:p>
          <w:p w14:paraId="3243CE3E">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账户信息如下：</w:t>
            </w:r>
          </w:p>
          <w:p w14:paraId="6D9B477E">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开户行：建行郑州经三路支行</w:t>
            </w:r>
          </w:p>
          <w:p w14:paraId="68BA448F">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名称：方大国际工程咨询股份有限公司</w:t>
            </w:r>
          </w:p>
          <w:p w14:paraId="1122D586">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账号：41001523099059662800</w:t>
            </w:r>
          </w:p>
          <w:p w14:paraId="0149541C">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在转账和汇款时，请务必注明所投项目的项目名称（简写）代理服务费。</w:t>
            </w:r>
          </w:p>
        </w:tc>
      </w:tr>
      <w:tr w14:paraId="044D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863" w:type="dxa"/>
            <w:vAlign w:val="center"/>
          </w:tcPr>
          <w:p w14:paraId="4401CB04">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27.2</w:t>
            </w:r>
          </w:p>
        </w:tc>
        <w:tc>
          <w:tcPr>
            <w:tcW w:w="9145" w:type="dxa"/>
            <w:gridSpan w:val="3"/>
            <w:vAlign w:val="center"/>
          </w:tcPr>
          <w:p w14:paraId="5087E86F">
            <w:pPr>
              <w:numPr>
                <w:ilvl w:val="0"/>
                <w:numId w:val="0"/>
              </w:numPr>
              <w:spacing w:line="360" w:lineRule="auto"/>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1.本项目对应的中小企业划分标准所属行业：软件和信息技术服务业。</w:t>
            </w:r>
          </w:p>
          <w:p w14:paraId="7F082D4C">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根据《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采购产品类别属于政府强制采购产品类别的，须按照要求提供依据国家确定的认证机构出具的、处于有效期之内的节能产品或环境标志产品认证证书原件扫描件；</w:t>
            </w:r>
          </w:p>
        </w:tc>
      </w:tr>
      <w:tr w14:paraId="5A04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63" w:type="dxa"/>
            <w:vAlign w:val="center"/>
          </w:tcPr>
          <w:p w14:paraId="26716384">
            <w:pPr>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27.3</w:t>
            </w:r>
          </w:p>
        </w:tc>
        <w:tc>
          <w:tcPr>
            <w:tcW w:w="9145" w:type="dxa"/>
            <w:gridSpan w:val="3"/>
            <w:vAlign w:val="center"/>
          </w:tcPr>
          <w:p w14:paraId="638A9D93">
            <w:pPr>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投标保证金：无需缴纳。</w:t>
            </w:r>
          </w:p>
        </w:tc>
      </w:tr>
      <w:tr w14:paraId="28A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863" w:type="dxa"/>
            <w:vAlign w:val="center"/>
          </w:tcPr>
          <w:p w14:paraId="1E512E1A">
            <w:pPr>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27.4</w:t>
            </w:r>
          </w:p>
        </w:tc>
        <w:tc>
          <w:tcPr>
            <w:tcW w:w="9145" w:type="dxa"/>
            <w:gridSpan w:val="3"/>
            <w:vAlign w:val="center"/>
          </w:tcPr>
          <w:p w14:paraId="57D11EF9">
            <w:pPr>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分公司：</w:t>
            </w:r>
            <w:r>
              <w:rPr>
                <w:rFonts w:hint="eastAsia" w:ascii="宋体" w:hAnsi="宋体" w:eastAsia="宋体" w:cs="宋体"/>
                <w:b/>
                <w:bCs/>
                <w:color w:val="auto"/>
                <w:sz w:val="24"/>
                <w:szCs w:val="24"/>
                <w:highlight w:val="none"/>
                <w:lang w:val="en-US" w:eastAsia="zh-CN"/>
              </w:rPr>
              <w:t>依据《中华人民共和国政府采购法实施条例》释义:银行、保险、石油石化、电力、电信等有行业特殊情况的，采购人、采购代理机构可按照其特点在采购文件中作出专门规定。本项目属于“电信”行业，取得营业执照的分支机构应提供总公司授权可以以分公司名义参与投标，招标文件中涉及的“法定代表人”在前述特殊行业中即对应为“分支机构(分公司)负责人”。</w:t>
            </w:r>
          </w:p>
        </w:tc>
      </w:tr>
      <w:tr w14:paraId="6D4F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863" w:type="dxa"/>
            <w:vAlign w:val="center"/>
          </w:tcPr>
          <w:p w14:paraId="628CC42D">
            <w:pPr>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27.5</w:t>
            </w:r>
          </w:p>
        </w:tc>
        <w:tc>
          <w:tcPr>
            <w:tcW w:w="9145" w:type="dxa"/>
            <w:gridSpan w:val="3"/>
            <w:vAlign w:val="center"/>
          </w:tcPr>
          <w:p w14:paraId="21429DE9">
            <w:pPr>
              <w:numPr>
                <w:ilvl w:val="0"/>
                <w:numId w:val="4"/>
              </w:numPr>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格审查注意事项：开标结束后，采购人或采购代理机构对投标人的资格进行审查。有一项不符合审查标准的，该投标人资格为不合格。对于合格投标人不足3家的，不再进入评标阶段。资格审查内容详见本文件资格要求及资格评审标准，投标人通过交易系统上传投标文件时须在“资格审查材料＂模块中上传完整的资格证明材料以供审查。</w:t>
            </w:r>
          </w:p>
          <w:p w14:paraId="6E0E6E29">
            <w:pPr>
              <w:numPr>
                <w:ilvl w:val="0"/>
                <w:numId w:val="4"/>
              </w:numPr>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投标文件制作机器码一致作废标处理。</w:t>
            </w:r>
          </w:p>
        </w:tc>
      </w:tr>
    </w:tbl>
    <w:p w14:paraId="1BC7711B">
      <w:pPr>
        <w:spacing w:line="360" w:lineRule="auto"/>
        <w:rPr>
          <w:rFonts w:hint="eastAsia" w:ascii="宋体" w:hAnsi="宋体" w:cs="宋体"/>
          <w:color w:val="auto"/>
          <w:sz w:val="24"/>
          <w:szCs w:val="24"/>
          <w:highlight w:val="none"/>
        </w:rPr>
      </w:pPr>
    </w:p>
    <w:p w14:paraId="4F5A5CBE">
      <w:pPr>
        <w:pStyle w:val="43"/>
        <w:spacing w:line="360" w:lineRule="auto"/>
        <w:rPr>
          <w:rFonts w:hint="eastAsia" w:ascii="宋体" w:hAnsi="宋体" w:cs="宋体"/>
          <w:color w:val="auto"/>
          <w:szCs w:val="24"/>
          <w:highlight w:val="none"/>
        </w:rPr>
        <w:sectPr>
          <w:footerReference r:id="rId5" w:type="default"/>
          <w:pgSz w:w="11905" w:h="16838"/>
          <w:pgMar w:top="1134" w:right="1134" w:bottom="1134" w:left="1134" w:header="850" w:footer="992" w:gutter="0"/>
          <w:pgNumType w:fmt="decimal" w:start="1"/>
          <w:cols w:space="0" w:num="1"/>
          <w:docGrid w:type="lines" w:linePitch="317" w:charSpace="0"/>
        </w:sectPr>
      </w:pPr>
    </w:p>
    <w:p w14:paraId="0CFC68DB">
      <w:pPr>
        <w:spacing w:line="360" w:lineRule="auto"/>
        <w:ind w:firstLine="482" w:firstLineChars="200"/>
        <w:jc w:val="center"/>
        <w:outlineLvl w:val="1"/>
        <w:rPr>
          <w:rFonts w:hint="eastAsia" w:ascii="宋体" w:hAnsi="宋体" w:cs="宋体"/>
          <w:b/>
          <w:bCs/>
          <w:color w:val="auto"/>
          <w:sz w:val="24"/>
          <w:szCs w:val="24"/>
          <w:highlight w:val="none"/>
        </w:rPr>
      </w:pPr>
      <w:bookmarkStart w:id="30" w:name="_Toc7607"/>
      <w:bookmarkStart w:id="31" w:name="_Toc14502"/>
      <w:bookmarkStart w:id="32" w:name="_Toc2858"/>
      <w:bookmarkStart w:id="33" w:name="_Toc7417"/>
      <w:bookmarkStart w:id="34" w:name="_Toc13486"/>
      <w:bookmarkStart w:id="35" w:name="_Toc16600"/>
      <w:bookmarkStart w:id="36" w:name="_Toc2920"/>
      <w:bookmarkStart w:id="37" w:name="_Toc14023"/>
      <w:bookmarkStart w:id="38" w:name="_Toc18403"/>
      <w:r>
        <w:rPr>
          <w:rFonts w:hint="eastAsia" w:ascii="宋体" w:hAnsi="宋体" w:cs="宋体"/>
          <w:b/>
          <w:bCs/>
          <w:color w:val="auto"/>
          <w:sz w:val="24"/>
          <w:szCs w:val="24"/>
          <w:highlight w:val="none"/>
        </w:rPr>
        <w:t>（一）总</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则</w:t>
      </w:r>
      <w:bookmarkEnd w:id="30"/>
      <w:bookmarkEnd w:id="31"/>
      <w:bookmarkEnd w:id="32"/>
      <w:bookmarkEnd w:id="33"/>
      <w:bookmarkEnd w:id="34"/>
      <w:bookmarkEnd w:id="35"/>
      <w:bookmarkEnd w:id="36"/>
      <w:bookmarkEnd w:id="37"/>
      <w:bookmarkEnd w:id="38"/>
    </w:p>
    <w:p w14:paraId="3E0F700C">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rPr>
        <w:t>．项目说明</w:t>
      </w:r>
    </w:p>
    <w:p w14:paraId="2F4E16F0">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1.1 </w:t>
      </w:r>
      <w:r>
        <w:rPr>
          <w:rFonts w:hint="eastAsia" w:ascii="宋体" w:hAnsi="宋体" w:cs="宋体"/>
          <w:color w:val="auto"/>
          <w:sz w:val="24"/>
          <w:szCs w:val="24"/>
          <w:highlight w:val="none"/>
        </w:rPr>
        <w:t>项目说明见投标须知前附表（以下简称“前附表”）所述。</w:t>
      </w:r>
    </w:p>
    <w:p w14:paraId="64D19FBD">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1.2 </w:t>
      </w:r>
      <w:r>
        <w:rPr>
          <w:rFonts w:hint="eastAsia" w:ascii="宋体" w:hAnsi="宋体" w:cs="宋体"/>
          <w:color w:val="auto"/>
          <w:sz w:val="24"/>
          <w:szCs w:val="24"/>
          <w:highlight w:val="none"/>
        </w:rPr>
        <w:t>本招标文件仅适用于本次公开招标所述的服务。</w:t>
      </w:r>
    </w:p>
    <w:p w14:paraId="5059CA66">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1.3 </w:t>
      </w:r>
      <w:r>
        <w:rPr>
          <w:rFonts w:hint="eastAsia" w:ascii="宋体" w:hAnsi="宋体" w:cs="宋体"/>
          <w:color w:val="auto"/>
          <w:sz w:val="24"/>
          <w:szCs w:val="24"/>
          <w:highlight w:val="none"/>
        </w:rPr>
        <w:t>项目名称：见“</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须知前附表”。</w:t>
      </w:r>
    </w:p>
    <w:p w14:paraId="2C3632ED">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1.4 </w:t>
      </w:r>
      <w:r>
        <w:rPr>
          <w:rFonts w:hint="eastAsia" w:ascii="宋体" w:hAnsi="宋体" w:cs="宋体"/>
          <w:color w:val="auto"/>
          <w:sz w:val="24"/>
          <w:szCs w:val="24"/>
          <w:highlight w:val="none"/>
        </w:rPr>
        <w:t>项目编号</w:t>
      </w:r>
      <w:r>
        <w:rPr>
          <w:rFonts w:ascii="宋体" w:hAnsi="宋体" w:cs="宋体"/>
          <w:color w:val="auto"/>
          <w:sz w:val="24"/>
          <w:szCs w:val="24"/>
          <w:highlight w:val="none"/>
        </w:rPr>
        <w:t>:</w:t>
      </w:r>
      <w:r>
        <w:rPr>
          <w:rFonts w:hint="eastAsia" w:ascii="宋体" w:hAnsi="宋体" w:cs="宋体"/>
          <w:color w:val="auto"/>
          <w:sz w:val="24"/>
          <w:szCs w:val="24"/>
          <w:highlight w:val="none"/>
        </w:rPr>
        <w:t>见“</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须知前附表”。</w:t>
      </w:r>
    </w:p>
    <w:p w14:paraId="627C33DD">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1.5 </w:t>
      </w:r>
      <w:r>
        <w:rPr>
          <w:rFonts w:hint="eastAsia" w:ascii="宋体" w:hAnsi="宋体" w:cs="宋体"/>
          <w:color w:val="auto"/>
          <w:sz w:val="24"/>
          <w:szCs w:val="24"/>
          <w:highlight w:val="none"/>
        </w:rPr>
        <w:t>项目概况：见“</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须知前附表”。</w:t>
      </w:r>
    </w:p>
    <w:p w14:paraId="3DBF4A85">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1.6 </w:t>
      </w:r>
      <w:r>
        <w:rPr>
          <w:rFonts w:hint="eastAsia" w:ascii="宋体" w:hAnsi="宋体" w:cs="宋体"/>
          <w:color w:val="auto"/>
          <w:sz w:val="24"/>
          <w:szCs w:val="24"/>
          <w:highlight w:val="none"/>
        </w:rPr>
        <w:t>上述项目按照《中华人民共和国政府采购法》等有关法律、行政法规和部门规章，通过招标来选定承包人。</w:t>
      </w:r>
    </w:p>
    <w:p w14:paraId="71143F94">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．招标范围：</w:t>
      </w:r>
    </w:p>
    <w:p w14:paraId="56E9C5A2">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2.1 </w:t>
      </w:r>
      <w:r>
        <w:rPr>
          <w:rFonts w:hint="eastAsia" w:ascii="宋体" w:hAnsi="宋体" w:cs="宋体"/>
          <w:color w:val="auto"/>
          <w:sz w:val="24"/>
          <w:szCs w:val="24"/>
          <w:highlight w:val="none"/>
        </w:rPr>
        <w:t>本次招标的项目详见第六章采购人需求。</w:t>
      </w:r>
    </w:p>
    <w:p w14:paraId="03210373">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2.2 </w:t>
      </w:r>
      <w:r>
        <w:rPr>
          <w:rFonts w:hint="eastAsia" w:ascii="宋体" w:hAnsi="宋体" w:cs="宋体"/>
          <w:color w:val="auto"/>
          <w:sz w:val="24"/>
          <w:szCs w:val="24"/>
          <w:highlight w:val="none"/>
        </w:rPr>
        <w:t>本次招标期限要求详见前附表。</w:t>
      </w:r>
    </w:p>
    <w:p w14:paraId="0192C11E">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3</w:t>
      </w:r>
      <w:r>
        <w:rPr>
          <w:rFonts w:hint="eastAsia" w:ascii="宋体" w:hAnsi="宋体" w:cs="宋体"/>
          <w:b/>
          <w:bCs/>
          <w:color w:val="auto"/>
          <w:sz w:val="24"/>
          <w:szCs w:val="24"/>
          <w:highlight w:val="none"/>
        </w:rPr>
        <w:t>．资金来源</w:t>
      </w:r>
    </w:p>
    <w:p w14:paraId="020F94D2">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本次招标资金来源于</w:t>
      </w:r>
      <w:r>
        <w:rPr>
          <w:rFonts w:hint="eastAsia" w:ascii="宋体" w:hAnsi="宋体" w:cs="宋体"/>
          <w:color w:val="auto"/>
          <w:sz w:val="24"/>
          <w:szCs w:val="24"/>
          <w:highlight w:val="none"/>
          <w:lang w:val="en-US" w:eastAsia="zh-CN"/>
        </w:rPr>
        <w:t>财政</w:t>
      </w:r>
      <w:r>
        <w:rPr>
          <w:rFonts w:hint="eastAsia" w:ascii="宋体" w:hAnsi="宋体" w:cs="宋体"/>
          <w:color w:val="auto"/>
          <w:sz w:val="24"/>
          <w:szCs w:val="24"/>
          <w:highlight w:val="none"/>
        </w:rPr>
        <w:t>资金。</w:t>
      </w:r>
    </w:p>
    <w:p w14:paraId="5DA830CC">
      <w:pPr>
        <w:spacing w:line="360" w:lineRule="auto"/>
        <w:rPr>
          <w:rFonts w:hint="eastAsia" w:ascii="宋体" w:hAnsi="宋体" w:eastAsia="宋体" w:cs="宋体"/>
          <w:color w:val="auto"/>
          <w:sz w:val="24"/>
          <w:szCs w:val="24"/>
          <w:highlight w:val="none"/>
          <w:lang w:eastAsia="zh-CN"/>
        </w:rPr>
      </w:pPr>
      <w:r>
        <w:rPr>
          <w:rFonts w:ascii="宋体" w:hAnsi="宋体" w:cs="宋体"/>
          <w:b/>
          <w:bCs/>
          <w:color w:val="auto"/>
          <w:sz w:val="24"/>
          <w:szCs w:val="24"/>
          <w:highlight w:val="none"/>
        </w:rPr>
        <w:t>4</w:t>
      </w:r>
      <w:r>
        <w:rPr>
          <w:rFonts w:hint="eastAsia" w:ascii="宋体" w:hAnsi="宋体" w:cs="宋体"/>
          <w:b/>
          <w:bCs/>
          <w:color w:val="auto"/>
          <w:sz w:val="24"/>
          <w:szCs w:val="24"/>
          <w:highlight w:val="none"/>
        </w:rPr>
        <w:t>．合格的</w:t>
      </w:r>
      <w:r>
        <w:rPr>
          <w:rFonts w:hint="eastAsia" w:ascii="宋体" w:hAnsi="宋体" w:cs="宋体"/>
          <w:b/>
          <w:bCs/>
          <w:color w:val="auto"/>
          <w:sz w:val="24"/>
          <w:szCs w:val="24"/>
          <w:highlight w:val="none"/>
          <w:lang w:eastAsia="zh-CN"/>
        </w:rPr>
        <w:t>投标人</w:t>
      </w:r>
    </w:p>
    <w:p w14:paraId="21CC7786">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4.1 </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合格条件详见本采购公告。</w:t>
      </w:r>
    </w:p>
    <w:p w14:paraId="798397A9">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4.2 </w:t>
      </w:r>
      <w:r>
        <w:rPr>
          <w:rFonts w:hint="eastAsia" w:ascii="宋体" w:hAnsi="宋体" w:cs="宋体"/>
          <w:color w:val="auto"/>
          <w:sz w:val="24"/>
          <w:szCs w:val="24"/>
          <w:highlight w:val="none"/>
        </w:rPr>
        <w:t>本招标项目采用本须知前附表所述的资格审查方式确定合格</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w:t>
      </w:r>
    </w:p>
    <w:p w14:paraId="74015775">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4.3 </w:t>
      </w:r>
      <w:r>
        <w:rPr>
          <w:rFonts w:hint="eastAsia" w:ascii="宋体" w:hAnsi="宋体" w:cs="宋体"/>
          <w:color w:val="auto"/>
          <w:sz w:val="24"/>
          <w:szCs w:val="24"/>
          <w:highlight w:val="none"/>
        </w:rPr>
        <w:t>本项目不接受联合体投标。</w:t>
      </w:r>
    </w:p>
    <w:p w14:paraId="5631BAF9">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5</w:t>
      </w:r>
      <w:r>
        <w:rPr>
          <w:rFonts w:hint="eastAsia" w:ascii="宋体" w:hAnsi="宋体" w:cs="宋体"/>
          <w:b/>
          <w:bCs/>
          <w:color w:val="auto"/>
          <w:sz w:val="24"/>
          <w:szCs w:val="24"/>
          <w:highlight w:val="none"/>
        </w:rPr>
        <w:t>．踏勘现场</w:t>
      </w:r>
    </w:p>
    <w:p w14:paraId="1EDD10FD">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5.1 </w:t>
      </w:r>
      <w:r>
        <w:rPr>
          <w:rFonts w:hint="eastAsia" w:ascii="宋体" w:hAnsi="宋体" w:cs="宋体"/>
          <w:color w:val="auto"/>
          <w:sz w:val="24"/>
          <w:szCs w:val="24"/>
          <w:highlight w:val="none"/>
        </w:rPr>
        <w:t>踏勘现场的方式和时间：详见投标须知前附表。</w:t>
      </w:r>
    </w:p>
    <w:p w14:paraId="02F475EA">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可对现场、周围环境等情况进行勘察，以获取须</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编制投标文件和签署合同所需的所有资料。</w:t>
      </w:r>
    </w:p>
    <w:p w14:paraId="058BE9B3">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5.3 </w:t>
      </w:r>
      <w:r>
        <w:rPr>
          <w:rFonts w:hint="eastAsia" w:ascii="宋体" w:hAnsi="宋体" w:cs="宋体"/>
          <w:color w:val="auto"/>
          <w:sz w:val="24"/>
          <w:szCs w:val="24"/>
          <w:highlight w:val="none"/>
        </w:rPr>
        <w:t>采购人向</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提供的有关资料和数据，是采购人现有的能使</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利用参考资料。采购人对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由此而作出的推论、理解和结论招标方概不负责。</w:t>
      </w:r>
    </w:p>
    <w:p w14:paraId="7E3B51B9">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6</w:t>
      </w:r>
      <w:r>
        <w:rPr>
          <w:rFonts w:hint="eastAsia" w:ascii="宋体" w:hAnsi="宋体" w:cs="宋体"/>
          <w:b/>
          <w:bCs/>
          <w:color w:val="auto"/>
          <w:sz w:val="24"/>
          <w:szCs w:val="24"/>
          <w:highlight w:val="none"/>
        </w:rPr>
        <w:t>．投标费用</w:t>
      </w:r>
    </w:p>
    <w:p w14:paraId="5F70DCA3">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6.1 </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应承担其参加本招标活动自身所发生的费用。</w:t>
      </w:r>
    </w:p>
    <w:p w14:paraId="2030A760">
      <w:pPr>
        <w:spacing w:line="360" w:lineRule="auto"/>
        <w:ind w:firstLine="482" w:firstLineChars="200"/>
        <w:jc w:val="center"/>
        <w:outlineLvl w:val="1"/>
        <w:rPr>
          <w:rFonts w:hint="eastAsia" w:ascii="宋体" w:hAnsi="宋体" w:cs="宋体"/>
          <w:color w:val="auto"/>
          <w:sz w:val="24"/>
          <w:szCs w:val="24"/>
          <w:highlight w:val="none"/>
        </w:rPr>
      </w:pPr>
      <w:bookmarkStart w:id="39" w:name="_Toc2924"/>
      <w:bookmarkStart w:id="40" w:name="_Toc23655"/>
      <w:bookmarkStart w:id="41" w:name="_Toc23746"/>
      <w:bookmarkStart w:id="42" w:name="_Toc21319"/>
      <w:bookmarkStart w:id="43" w:name="_Toc24872"/>
      <w:bookmarkStart w:id="44" w:name="_Toc29117"/>
      <w:bookmarkStart w:id="45" w:name="_Toc11362"/>
      <w:bookmarkStart w:id="46" w:name="_Toc26920"/>
      <w:bookmarkStart w:id="47" w:name="_Toc21652"/>
      <w:r>
        <w:rPr>
          <w:rFonts w:hint="eastAsia" w:ascii="宋体" w:hAnsi="宋体" w:cs="宋体"/>
          <w:b/>
          <w:bCs/>
          <w:color w:val="auto"/>
          <w:sz w:val="24"/>
          <w:szCs w:val="24"/>
          <w:highlight w:val="none"/>
        </w:rPr>
        <w:t>（二）招标文件</w:t>
      </w:r>
      <w:bookmarkEnd w:id="39"/>
      <w:bookmarkEnd w:id="40"/>
      <w:bookmarkEnd w:id="41"/>
      <w:bookmarkEnd w:id="42"/>
      <w:bookmarkEnd w:id="43"/>
      <w:bookmarkEnd w:id="44"/>
      <w:bookmarkEnd w:id="45"/>
      <w:bookmarkEnd w:id="46"/>
      <w:bookmarkEnd w:id="47"/>
    </w:p>
    <w:p w14:paraId="2C0409CE">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7</w:t>
      </w:r>
      <w:r>
        <w:rPr>
          <w:rFonts w:hint="eastAsia" w:ascii="宋体" w:hAnsi="宋体" w:cs="宋体"/>
          <w:b/>
          <w:bCs/>
          <w:color w:val="auto"/>
          <w:sz w:val="24"/>
          <w:szCs w:val="24"/>
          <w:highlight w:val="none"/>
        </w:rPr>
        <w:t>．招标文件的组成</w:t>
      </w:r>
    </w:p>
    <w:p w14:paraId="5F0B4EB4">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招标文件包括下列内容：</w:t>
      </w:r>
    </w:p>
    <w:p w14:paraId="330E22B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第一章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招标公告</w:t>
      </w:r>
    </w:p>
    <w:p w14:paraId="2C45B74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第二章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须知</w:t>
      </w:r>
    </w:p>
    <w:p w14:paraId="6863F2E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第三章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资格审查</w:t>
      </w:r>
    </w:p>
    <w:p w14:paraId="2C1E794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第四章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评标办法（综合评分法）</w:t>
      </w:r>
    </w:p>
    <w:p w14:paraId="5A0B404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第五章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合同条款及格式</w:t>
      </w:r>
    </w:p>
    <w:p w14:paraId="5ACBB60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第六章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采购人需求</w:t>
      </w:r>
    </w:p>
    <w:p w14:paraId="73E8441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第七章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投标文件格式</w:t>
      </w:r>
    </w:p>
    <w:p w14:paraId="1E5A041B">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除</w:t>
      </w:r>
      <w:r>
        <w:rPr>
          <w:rFonts w:ascii="宋体" w:hAnsi="宋体" w:cs="宋体"/>
          <w:color w:val="auto"/>
          <w:sz w:val="24"/>
          <w:szCs w:val="24"/>
          <w:highlight w:val="none"/>
        </w:rPr>
        <w:t xml:space="preserve"> 7.1 </w:t>
      </w:r>
      <w:r>
        <w:rPr>
          <w:rFonts w:hint="eastAsia" w:ascii="宋体" w:hAnsi="宋体" w:cs="宋体"/>
          <w:color w:val="auto"/>
          <w:sz w:val="24"/>
          <w:szCs w:val="24"/>
          <w:highlight w:val="none"/>
        </w:rPr>
        <w:t>内容外，采购人在提交投标文件截止时间</w:t>
      </w:r>
      <w:r>
        <w:rPr>
          <w:rFonts w:ascii="宋体" w:hAnsi="宋体" w:cs="宋体"/>
          <w:color w:val="auto"/>
          <w:sz w:val="24"/>
          <w:szCs w:val="24"/>
          <w:highlight w:val="none"/>
        </w:rPr>
        <w:t xml:space="preserve"> 15 </w:t>
      </w:r>
      <w:r>
        <w:rPr>
          <w:rFonts w:hint="eastAsia" w:ascii="宋体" w:hAnsi="宋体" w:cs="宋体"/>
          <w:color w:val="auto"/>
          <w:sz w:val="24"/>
          <w:szCs w:val="24"/>
          <w:highlight w:val="none"/>
        </w:rPr>
        <w:t>日前，发出的对招标文件的澄清或修改内容，均为招标文件的组成部分，对采购人和</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起约束作用。</w:t>
      </w:r>
    </w:p>
    <w:p w14:paraId="74A5CF31">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获取招标文件后，应仔细检查招标文件的所有内容，如有残缺等问题应在获得招标文件</w:t>
      </w:r>
      <w:r>
        <w:rPr>
          <w:rFonts w:hint="eastAsia" w:ascii="宋体" w:hAnsi="宋体" w:cs="宋体"/>
          <w:color w:val="auto"/>
          <w:sz w:val="24"/>
          <w:szCs w:val="24"/>
          <w:highlight w:val="none"/>
          <w:lang w:val="en-US" w:eastAsia="zh-CN"/>
        </w:rPr>
        <w:t>7个工日内</w:t>
      </w:r>
      <w:r>
        <w:rPr>
          <w:rFonts w:hint="eastAsia" w:ascii="宋体" w:hAnsi="宋体" w:cs="宋体"/>
          <w:color w:val="auto"/>
          <w:sz w:val="24"/>
          <w:szCs w:val="24"/>
          <w:highlight w:val="none"/>
        </w:rPr>
        <w:t>内向采购人提出，否则，由此引起的损失由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自己承担。</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同时应认真审阅招标文件中所有的事项、格式、条款和规范要求等，若</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的投标文件没有按招标文件要求提交全部资料，或投标文件没有对招标文件做出实质性响应，其风险由投标人自行承担，并根据有关条款规定，该投标有可能被拒绝。</w:t>
      </w:r>
    </w:p>
    <w:p w14:paraId="342B1DD3">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8</w:t>
      </w:r>
      <w:r>
        <w:rPr>
          <w:rFonts w:hint="eastAsia" w:ascii="宋体" w:hAnsi="宋体" w:cs="宋体"/>
          <w:b/>
          <w:bCs/>
          <w:color w:val="auto"/>
          <w:sz w:val="24"/>
          <w:szCs w:val="24"/>
          <w:highlight w:val="none"/>
        </w:rPr>
        <w:t>．招标文件的澄清</w:t>
      </w:r>
    </w:p>
    <w:p w14:paraId="0420935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 投标人应仔细阅读和检查招标文件的全部内容。如有疑问，应在知道或者应知其权益受到损害之日起7个工作日内在河南省公共资源交易平台上进行提问，要求采购人对招标文件予以澄清。</w:t>
      </w:r>
    </w:p>
    <w:p w14:paraId="3024AC88">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8.2 </w:t>
      </w:r>
      <w:r>
        <w:rPr>
          <w:rFonts w:hint="eastAsia" w:ascii="宋体" w:hAnsi="宋体" w:cs="宋体"/>
          <w:color w:val="auto"/>
          <w:sz w:val="24"/>
          <w:szCs w:val="24"/>
          <w:highlight w:val="none"/>
        </w:rPr>
        <w:t>招标文件的澄清将在投标截止时间</w:t>
      </w:r>
      <w:r>
        <w:rPr>
          <w:rFonts w:ascii="宋体" w:hAnsi="宋体" w:cs="宋体"/>
          <w:color w:val="auto"/>
          <w:sz w:val="24"/>
          <w:szCs w:val="24"/>
          <w:highlight w:val="none"/>
        </w:rPr>
        <w:t xml:space="preserve"> 15 </w:t>
      </w:r>
      <w:r>
        <w:rPr>
          <w:rFonts w:hint="eastAsia" w:ascii="宋体" w:hAnsi="宋体" w:cs="宋体"/>
          <w:color w:val="auto"/>
          <w:sz w:val="24"/>
          <w:szCs w:val="24"/>
          <w:highlight w:val="none"/>
        </w:rPr>
        <w:t>日前在河南省公共资源交易平台上发送给</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，但不指明澄清问题的来源。</w:t>
      </w:r>
    </w:p>
    <w:p w14:paraId="6DB0CE21">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8.3 </w:t>
      </w:r>
      <w:r>
        <w:rPr>
          <w:rFonts w:hint="eastAsia" w:ascii="宋体" w:hAnsi="宋体" w:cs="宋体"/>
          <w:color w:val="auto"/>
          <w:sz w:val="24"/>
          <w:szCs w:val="24"/>
          <w:highlight w:val="none"/>
        </w:rPr>
        <w:t>因交易中心平台在开标前具有保密性，</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在投标截止时间前须自行查看项目进展、通知及回复，因</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未及时查看而造成的后果自负。</w:t>
      </w:r>
    </w:p>
    <w:p w14:paraId="0B7C0A87">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9</w:t>
      </w:r>
      <w:r>
        <w:rPr>
          <w:rFonts w:hint="eastAsia" w:ascii="宋体" w:hAnsi="宋体" w:cs="宋体"/>
          <w:b/>
          <w:bCs/>
          <w:color w:val="auto"/>
          <w:sz w:val="24"/>
          <w:szCs w:val="24"/>
          <w:highlight w:val="none"/>
        </w:rPr>
        <w:t>．招标文件的修改</w:t>
      </w:r>
    </w:p>
    <w:p w14:paraId="6E35778B">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招标文件发出后，在提交投标文件截止时间</w:t>
      </w:r>
      <w:r>
        <w:rPr>
          <w:rFonts w:ascii="宋体" w:hAnsi="宋体" w:cs="宋体"/>
          <w:color w:val="auto"/>
          <w:sz w:val="24"/>
          <w:szCs w:val="24"/>
          <w:highlight w:val="none"/>
        </w:rPr>
        <w:t>15</w:t>
      </w:r>
      <w:r>
        <w:rPr>
          <w:rFonts w:hint="eastAsia" w:ascii="宋体" w:hAnsi="宋体" w:cs="宋体"/>
          <w:color w:val="auto"/>
          <w:sz w:val="24"/>
          <w:szCs w:val="24"/>
          <w:highlight w:val="none"/>
        </w:rPr>
        <w:t>日前，采购人可对招标文件进行必要的澄清或修改。</w:t>
      </w:r>
    </w:p>
    <w:p w14:paraId="3FF6291C">
      <w:pPr>
        <w:spacing w:line="360" w:lineRule="auto"/>
        <w:rPr>
          <w:rFonts w:hint="eastAsia"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采购人、采购代理机构对已发出的招标文件进行的澄清、更正或更改，澄清、更正或更改的内容将作为招标文件的组成部分。采购代理机构将通过河南省公共资源交易网（http://www.hnggzy.net/）网站“变更公告”和系统内部“答疑文件”告知</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，对于各项目中已经成功报名并下载招标文件的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，系统将通过第三方短信群发方式提醒</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进行查询。各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须重新下载最新的答疑文件，以此编制投标文件。</w:t>
      </w:r>
    </w:p>
    <w:p w14:paraId="655EEB88">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注册时所留手机联系方式要保持畅通，因联系方式变更而未及时更新系统内联系方式的，将会造成收不到短信。此短信仅系友情提示，并不具有任何约束性和必要性，采购代理机构不承担</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未收到短信而引起的一切后果和法律责任。</w:t>
      </w:r>
    </w:p>
    <w:p w14:paraId="14DACDDD">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当招标文件、招标文件的澄清、修改、补充等在同一内容的表述上不一致时，以最后发出的文件为准。</w:t>
      </w:r>
    </w:p>
    <w:p w14:paraId="0B15B883">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9.5 </w:t>
      </w:r>
      <w:r>
        <w:rPr>
          <w:rFonts w:hint="eastAsia" w:ascii="宋体" w:hAnsi="宋体" w:cs="宋体"/>
          <w:color w:val="auto"/>
          <w:sz w:val="24"/>
          <w:szCs w:val="24"/>
          <w:highlight w:val="none"/>
        </w:rPr>
        <w:t>为使</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在编制投标文件时有充分的时间对招标文件的澄清、修改、补充等内容进行研究，采购人将酌情延长提交投标文件的截止时间，具体时间将在招标文件的修改、</w:t>
      </w:r>
    </w:p>
    <w:p w14:paraId="793EAFC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补充通知中予以明确。</w:t>
      </w:r>
    </w:p>
    <w:p w14:paraId="6B9E51AF">
      <w:pPr>
        <w:spacing w:line="360" w:lineRule="auto"/>
        <w:jc w:val="center"/>
        <w:outlineLvl w:val="1"/>
        <w:rPr>
          <w:rFonts w:hint="eastAsia" w:ascii="宋体" w:hAnsi="宋体" w:cs="宋体"/>
          <w:b/>
          <w:bCs/>
          <w:color w:val="auto"/>
          <w:sz w:val="24"/>
          <w:szCs w:val="24"/>
          <w:highlight w:val="none"/>
        </w:rPr>
      </w:pPr>
      <w:bookmarkStart w:id="48" w:name="_Toc9735"/>
      <w:bookmarkStart w:id="49" w:name="_Toc24460"/>
      <w:bookmarkStart w:id="50" w:name="_Toc26808"/>
      <w:bookmarkStart w:id="51" w:name="_Toc2811"/>
      <w:bookmarkStart w:id="52" w:name="_Toc19238"/>
      <w:bookmarkStart w:id="53" w:name="_Toc26436"/>
      <w:bookmarkStart w:id="54" w:name="_Toc6267"/>
      <w:bookmarkStart w:id="55" w:name="_Toc44"/>
      <w:bookmarkStart w:id="56" w:name="_Toc18182"/>
      <w:r>
        <w:rPr>
          <w:rFonts w:hint="eastAsia" w:ascii="宋体" w:hAnsi="宋体" w:cs="宋体"/>
          <w:b/>
          <w:bCs/>
          <w:color w:val="auto"/>
          <w:sz w:val="24"/>
          <w:szCs w:val="24"/>
          <w:highlight w:val="none"/>
        </w:rPr>
        <w:t>（三）投标文件的编制</w:t>
      </w:r>
      <w:bookmarkEnd w:id="48"/>
      <w:bookmarkEnd w:id="49"/>
      <w:bookmarkEnd w:id="50"/>
      <w:bookmarkEnd w:id="51"/>
      <w:bookmarkEnd w:id="52"/>
      <w:bookmarkEnd w:id="53"/>
      <w:bookmarkEnd w:id="54"/>
      <w:bookmarkEnd w:id="55"/>
      <w:bookmarkEnd w:id="56"/>
    </w:p>
    <w:p w14:paraId="48C7CF63">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10</w:t>
      </w:r>
      <w:r>
        <w:rPr>
          <w:rFonts w:hint="eastAsia" w:ascii="宋体" w:hAnsi="宋体" w:cs="宋体"/>
          <w:b/>
          <w:bCs/>
          <w:color w:val="auto"/>
          <w:sz w:val="24"/>
          <w:szCs w:val="24"/>
          <w:highlight w:val="none"/>
        </w:rPr>
        <w:t>．投标文件的语言及度量单位</w:t>
      </w:r>
    </w:p>
    <w:p w14:paraId="0C62C297">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10.1 </w:t>
      </w:r>
      <w:r>
        <w:rPr>
          <w:rFonts w:hint="eastAsia" w:ascii="宋体" w:hAnsi="宋体" w:cs="宋体"/>
          <w:color w:val="auto"/>
          <w:sz w:val="24"/>
          <w:szCs w:val="24"/>
          <w:highlight w:val="none"/>
        </w:rPr>
        <w:t>投标文件和与投标有关的所有文件均应使用中文。</w:t>
      </w:r>
    </w:p>
    <w:p w14:paraId="30272676">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10.2 </w:t>
      </w:r>
      <w:r>
        <w:rPr>
          <w:rFonts w:hint="eastAsia" w:ascii="宋体" w:hAnsi="宋体" w:cs="宋体"/>
          <w:color w:val="auto"/>
          <w:sz w:val="24"/>
          <w:szCs w:val="24"/>
          <w:highlight w:val="none"/>
        </w:rPr>
        <w:t>除招标规范另有规定外，投标文件使用的度量衡单位，均采用中华人民共和国法定计量单位。</w:t>
      </w:r>
    </w:p>
    <w:p w14:paraId="6598A1F1">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11</w:t>
      </w:r>
      <w:r>
        <w:rPr>
          <w:rFonts w:hint="eastAsia" w:ascii="宋体" w:hAnsi="宋体" w:cs="宋体"/>
          <w:b/>
          <w:bCs/>
          <w:color w:val="auto"/>
          <w:sz w:val="24"/>
          <w:szCs w:val="24"/>
          <w:highlight w:val="none"/>
        </w:rPr>
        <w:t>．投标文件的组成</w:t>
      </w:r>
    </w:p>
    <w:p w14:paraId="26A5C591">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11.1 </w:t>
      </w:r>
      <w:r>
        <w:rPr>
          <w:rFonts w:hint="eastAsia" w:ascii="宋体" w:hAnsi="宋体" w:cs="宋体"/>
          <w:color w:val="auto"/>
          <w:sz w:val="24"/>
          <w:szCs w:val="24"/>
          <w:highlight w:val="none"/>
        </w:rPr>
        <w:t>投标文件由投标函部分、商务部分和技术部分三部分组成。</w:t>
      </w:r>
    </w:p>
    <w:p w14:paraId="6D281323">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11.2 </w:t>
      </w:r>
      <w:r>
        <w:rPr>
          <w:rFonts w:hint="eastAsia" w:ascii="宋体" w:hAnsi="宋体" w:cs="宋体"/>
          <w:color w:val="auto"/>
          <w:sz w:val="24"/>
          <w:szCs w:val="24"/>
          <w:highlight w:val="none"/>
        </w:rPr>
        <w:t>投标函部分主要包括下列内容：</w:t>
      </w:r>
    </w:p>
    <w:p w14:paraId="5DE9EA77">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11.2.1 </w:t>
      </w:r>
      <w:r>
        <w:rPr>
          <w:rFonts w:hint="eastAsia" w:ascii="宋体" w:hAnsi="宋体" w:cs="宋体"/>
          <w:color w:val="auto"/>
          <w:sz w:val="24"/>
          <w:szCs w:val="24"/>
          <w:highlight w:val="none"/>
        </w:rPr>
        <w:t>法定代表人身份证明</w:t>
      </w:r>
    </w:p>
    <w:p w14:paraId="428B49E3">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11.2.2 </w:t>
      </w:r>
      <w:r>
        <w:rPr>
          <w:rFonts w:hint="eastAsia" w:ascii="宋体" w:hAnsi="宋体" w:cs="宋体"/>
          <w:color w:val="auto"/>
          <w:sz w:val="24"/>
          <w:szCs w:val="24"/>
          <w:highlight w:val="none"/>
        </w:rPr>
        <w:t>投标文件签署授权委托书</w:t>
      </w:r>
    </w:p>
    <w:p w14:paraId="4039E1D8">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11.2.3 </w:t>
      </w:r>
      <w:r>
        <w:rPr>
          <w:rFonts w:hint="eastAsia" w:ascii="宋体" w:hAnsi="宋体" w:cs="宋体"/>
          <w:color w:val="auto"/>
          <w:sz w:val="24"/>
          <w:szCs w:val="24"/>
          <w:highlight w:val="none"/>
        </w:rPr>
        <w:t>投标函</w:t>
      </w:r>
    </w:p>
    <w:p w14:paraId="4E20B354">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招标文件要求</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提交的其他投标资料</w:t>
      </w:r>
    </w:p>
    <w:p w14:paraId="3EC78EAB">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11.3 </w:t>
      </w:r>
      <w:r>
        <w:rPr>
          <w:rFonts w:hint="eastAsia" w:ascii="宋体" w:hAnsi="宋体" w:cs="宋体"/>
          <w:color w:val="auto"/>
          <w:sz w:val="24"/>
          <w:szCs w:val="24"/>
          <w:highlight w:val="none"/>
        </w:rPr>
        <w:t>商务部分</w:t>
      </w:r>
    </w:p>
    <w:p w14:paraId="771886CB">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11.4 </w:t>
      </w:r>
      <w:r>
        <w:rPr>
          <w:rFonts w:hint="eastAsia" w:ascii="宋体" w:hAnsi="宋体" w:cs="宋体"/>
          <w:color w:val="auto"/>
          <w:sz w:val="24"/>
          <w:szCs w:val="24"/>
          <w:highlight w:val="none"/>
        </w:rPr>
        <w:t>技术部分按照“第四章评标办法（综合评分法）”的要求填写：</w:t>
      </w:r>
    </w:p>
    <w:p w14:paraId="314DE69E">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11.5 </w:t>
      </w:r>
      <w:r>
        <w:rPr>
          <w:rFonts w:hint="eastAsia" w:ascii="宋体" w:hAnsi="宋体" w:cs="宋体"/>
          <w:color w:val="auto"/>
          <w:sz w:val="24"/>
          <w:szCs w:val="24"/>
          <w:highlight w:val="none"/>
        </w:rPr>
        <w:t>资格审查资料（详见格式文件要求）</w:t>
      </w:r>
    </w:p>
    <w:p w14:paraId="6F68234F">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12</w:t>
      </w:r>
      <w:r>
        <w:rPr>
          <w:rFonts w:hint="eastAsia" w:ascii="宋体" w:hAnsi="宋体" w:cs="宋体"/>
          <w:b/>
          <w:bCs/>
          <w:color w:val="auto"/>
          <w:sz w:val="24"/>
          <w:szCs w:val="24"/>
          <w:highlight w:val="none"/>
        </w:rPr>
        <w:t>．投标文件格式</w:t>
      </w:r>
      <w:r>
        <w:rPr>
          <w:rFonts w:ascii="宋体" w:hAnsi="宋体" w:cs="宋体"/>
          <w:b/>
          <w:bCs/>
          <w:color w:val="auto"/>
          <w:sz w:val="24"/>
          <w:szCs w:val="24"/>
          <w:highlight w:val="none"/>
        </w:rPr>
        <w:t xml:space="preserve"> </w:t>
      </w:r>
    </w:p>
    <w:p w14:paraId="173A6350">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12.1 </w:t>
      </w:r>
      <w:r>
        <w:rPr>
          <w:rFonts w:hint="eastAsia" w:ascii="宋体" w:hAnsi="宋体" w:cs="宋体"/>
          <w:color w:val="auto"/>
          <w:sz w:val="24"/>
          <w:szCs w:val="24"/>
          <w:highlight w:val="none"/>
        </w:rPr>
        <w:t>投标文件包括本须知第</w:t>
      </w:r>
      <w:r>
        <w:rPr>
          <w:rFonts w:ascii="宋体" w:hAnsi="宋体" w:cs="宋体"/>
          <w:color w:val="auto"/>
          <w:sz w:val="24"/>
          <w:szCs w:val="24"/>
          <w:highlight w:val="none"/>
        </w:rPr>
        <w:t xml:space="preserve"> 11 </w:t>
      </w:r>
      <w:r>
        <w:rPr>
          <w:rFonts w:hint="eastAsia" w:ascii="宋体" w:hAnsi="宋体" w:cs="宋体"/>
          <w:color w:val="auto"/>
          <w:sz w:val="24"/>
          <w:szCs w:val="24"/>
          <w:highlight w:val="none"/>
        </w:rPr>
        <w:t>条中规定的内容，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提交的投标文件应当使用招标文件所提供的投标文件全部格式（表格可以按同样格式扩展）。</w:t>
      </w:r>
    </w:p>
    <w:p w14:paraId="26CD10FB">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13</w:t>
      </w:r>
      <w:r>
        <w:rPr>
          <w:rFonts w:hint="eastAsia" w:ascii="宋体" w:hAnsi="宋体" w:cs="宋体"/>
          <w:b/>
          <w:bCs/>
          <w:color w:val="auto"/>
          <w:sz w:val="24"/>
          <w:szCs w:val="24"/>
          <w:highlight w:val="none"/>
        </w:rPr>
        <w:t>．投标报价</w:t>
      </w:r>
      <w:r>
        <w:rPr>
          <w:rFonts w:ascii="宋体" w:hAnsi="宋体" w:cs="宋体"/>
          <w:b/>
          <w:bCs/>
          <w:color w:val="auto"/>
          <w:sz w:val="24"/>
          <w:szCs w:val="24"/>
          <w:highlight w:val="none"/>
        </w:rPr>
        <w:t xml:space="preserve"> </w:t>
      </w:r>
    </w:p>
    <w:p w14:paraId="5C00B882">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13.1 </w:t>
      </w:r>
      <w:r>
        <w:rPr>
          <w:rFonts w:hint="eastAsia" w:ascii="宋体" w:hAnsi="宋体" w:cs="宋体"/>
          <w:color w:val="auto"/>
          <w:sz w:val="24"/>
          <w:szCs w:val="24"/>
          <w:highlight w:val="none"/>
        </w:rPr>
        <w:t>本次招标的投标报价采用本须知前附表所规定的方式。</w:t>
      </w:r>
    </w:p>
    <w:p w14:paraId="70EAAA7D">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13.</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投标单位的投标报价应是按合同规定的范围所提供的全部服务所需的费用。除合同规定外，不得另行增加额外条件和增加其他费用。</w:t>
      </w:r>
    </w:p>
    <w:p w14:paraId="6691A255">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13.</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投标单位应说明收费标准，计算基数和优惠条件及理由。</w:t>
      </w:r>
    </w:p>
    <w:p w14:paraId="2C07D76C">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14.</w:t>
      </w:r>
      <w:r>
        <w:rPr>
          <w:rFonts w:hint="eastAsia" w:ascii="宋体" w:hAnsi="宋体" w:cs="宋体"/>
          <w:b/>
          <w:bCs/>
          <w:color w:val="auto"/>
          <w:sz w:val="24"/>
          <w:szCs w:val="24"/>
          <w:highlight w:val="none"/>
        </w:rPr>
        <w:t>投标货币</w:t>
      </w:r>
      <w:r>
        <w:rPr>
          <w:rFonts w:ascii="宋体" w:hAnsi="宋体" w:cs="宋体"/>
          <w:b/>
          <w:bCs/>
          <w:color w:val="auto"/>
          <w:sz w:val="24"/>
          <w:szCs w:val="24"/>
          <w:highlight w:val="none"/>
        </w:rPr>
        <w:t xml:space="preserve"> </w:t>
      </w:r>
    </w:p>
    <w:p w14:paraId="5EE16E23">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投标报价采用的币种为人民币。</w:t>
      </w:r>
    </w:p>
    <w:p w14:paraId="7D46EA87">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15</w:t>
      </w:r>
      <w:r>
        <w:rPr>
          <w:rFonts w:hint="eastAsia" w:ascii="宋体" w:hAnsi="宋体" w:cs="宋体"/>
          <w:b/>
          <w:bCs/>
          <w:color w:val="auto"/>
          <w:sz w:val="24"/>
          <w:szCs w:val="24"/>
          <w:highlight w:val="none"/>
        </w:rPr>
        <w:t>．投标有效期</w:t>
      </w:r>
      <w:r>
        <w:rPr>
          <w:rFonts w:ascii="宋体" w:hAnsi="宋体" w:cs="宋体"/>
          <w:b/>
          <w:bCs/>
          <w:color w:val="auto"/>
          <w:sz w:val="24"/>
          <w:szCs w:val="24"/>
          <w:highlight w:val="none"/>
        </w:rPr>
        <w:t xml:space="preserve"> </w:t>
      </w:r>
    </w:p>
    <w:p w14:paraId="16927D3A">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15.1 </w:t>
      </w:r>
      <w:r>
        <w:rPr>
          <w:rFonts w:hint="eastAsia" w:ascii="宋体" w:hAnsi="宋体" w:cs="宋体"/>
          <w:color w:val="auto"/>
          <w:sz w:val="24"/>
          <w:szCs w:val="24"/>
          <w:highlight w:val="none"/>
        </w:rPr>
        <w:t>投标有效期见本须知前附表所规定的期限，在此期限内，凡符合本招标文件要求的投标文件均保持有效。</w:t>
      </w:r>
    </w:p>
    <w:p w14:paraId="75CDF7B9">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15.2 </w:t>
      </w:r>
      <w:r>
        <w:rPr>
          <w:rFonts w:hint="eastAsia" w:ascii="宋体" w:hAnsi="宋体" w:cs="宋体"/>
          <w:color w:val="auto"/>
          <w:sz w:val="24"/>
          <w:szCs w:val="24"/>
          <w:highlight w:val="none"/>
        </w:rPr>
        <w:t>在特殊情况下，采购人在原定投标有效期内，可以根据需要以书面形式向</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提出延长投标有效期的要求，对此要求</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须以书面形式予以答复。</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可以拒绝招标人这种要求。同意延长投标有效期的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既不能要求也不允许修改其投标文件，但需要相应的延长投标担保有效期，在延长的投标有效期内，本须知关于投标担保的退还与没收的规定仍然适用。</w:t>
      </w:r>
    </w:p>
    <w:p w14:paraId="396BB6EA">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eastAsia="zh-CN"/>
        </w:rPr>
        <w:t>投标人</w:t>
      </w:r>
      <w:r>
        <w:rPr>
          <w:rFonts w:hint="eastAsia" w:ascii="宋体" w:hAnsi="宋体" w:cs="宋体"/>
          <w:b/>
          <w:bCs/>
          <w:color w:val="auto"/>
          <w:sz w:val="24"/>
          <w:szCs w:val="24"/>
          <w:highlight w:val="none"/>
        </w:rPr>
        <w:t>的替代方案</w:t>
      </w:r>
    </w:p>
    <w:p w14:paraId="7C20A314">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6</w:t>
      </w:r>
      <w:r>
        <w:rPr>
          <w:rFonts w:ascii="宋体" w:hAnsi="宋体" w:cs="宋体"/>
          <w:color w:val="auto"/>
          <w:sz w:val="24"/>
          <w:szCs w:val="24"/>
          <w:highlight w:val="none"/>
        </w:rPr>
        <w:t xml:space="preserve">.1 </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所提交的投标文件应满足招标文件的要求。</w:t>
      </w:r>
    </w:p>
    <w:p w14:paraId="400EF754">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rPr>
        <w:t>7．投标文件的份数和签署</w:t>
      </w:r>
    </w:p>
    <w:p w14:paraId="5F296B92">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7</w:t>
      </w:r>
      <w:r>
        <w:rPr>
          <w:rFonts w:ascii="宋体" w:hAnsi="宋体" w:cs="宋体"/>
          <w:color w:val="auto"/>
          <w:sz w:val="24"/>
          <w:szCs w:val="24"/>
          <w:highlight w:val="none"/>
        </w:rPr>
        <w:t xml:space="preserve">.1 </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应按本须知前附表规定提交投标文件。</w:t>
      </w:r>
    </w:p>
    <w:p w14:paraId="29860196">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7</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电子投标文件的正文应编制目录。</w:t>
      </w:r>
    </w:p>
    <w:p w14:paraId="38DE11B3">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7</w:t>
      </w:r>
      <w:r>
        <w:rPr>
          <w:rFonts w:ascii="宋体" w:hAnsi="宋体" w:cs="宋体"/>
          <w:color w:val="auto"/>
          <w:sz w:val="24"/>
          <w:szCs w:val="24"/>
          <w:highlight w:val="none"/>
        </w:rPr>
        <w:t xml:space="preserve">.3 </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应按照</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须知的要求准备投标文件。</w:t>
      </w:r>
    </w:p>
    <w:p w14:paraId="4B90328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加密的电子投标文件壹份（</w:t>
      </w:r>
      <w:r>
        <w:rPr>
          <w:rFonts w:ascii="宋体" w:hAnsi="宋体" w:cs="宋体"/>
          <w:color w:val="auto"/>
          <w:sz w:val="24"/>
          <w:szCs w:val="24"/>
          <w:highlight w:val="none"/>
        </w:rPr>
        <w:t xml:space="preserve">*.hntf </w:t>
      </w:r>
      <w:r>
        <w:rPr>
          <w:rFonts w:hint="eastAsia" w:ascii="宋体" w:hAnsi="宋体" w:cs="宋体"/>
          <w:color w:val="auto"/>
          <w:sz w:val="24"/>
          <w:szCs w:val="24"/>
          <w:highlight w:val="none"/>
        </w:rPr>
        <w:t>格式，在会员系统指定位置上传）。</w:t>
      </w:r>
    </w:p>
    <w:p w14:paraId="0CCEE25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在制作电子投标文件时，“投标文件制作工具”左侧栏目“封面”、“开标一览表”制作完成后须加盖电子签章（包括企业电子签章和个人电子签章）；左侧栏目“投标正文”中的内容：投标文件商务部分格式、投标文件技术部分格式按格式要求电子签章（包括企业电子签章、个人电子签章），并将所有扫描内容（包括营业执照、资质证书、财务报告、纳税凭证等）电子签章（企业电子签章）。</w:t>
      </w:r>
      <w:r>
        <w:rPr>
          <w:rFonts w:ascii="宋体" w:hAnsi="宋体" w:cs="宋体"/>
          <w:color w:val="auto"/>
          <w:sz w:val="24"/>
          <w:szCs w:val="24"/>
          <w:highlight w:val="none"/>
        </w:rPr>
        <w:t xml:space="preserve"> </w:t>
      </w:r>
    </w:p>
    <w:p w14:paraId="335684D6">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7</w:t>
      </w:r>
      <w:r>
        <w:rPr>
          <w:rFonts w:ascii="宋体" w:hAnsi="宋体" w:cs="宋体"/>
          <w:color w:val="auto"/>
          <w:sz w:val="24"/>
          <w:szCs w:val="24"/>
          <w:highlight w:val="none"/>
        </w:rPr>
        <w:t xml:space="preserve">.4 </w:t>
      </w:r>
      <w:r>
        <w:rPr>
          <w:rFonts w:hint="eastAsia" w:ascii="宋体" w:hAnsi="宋体" w:cs="宋体"/>
          <w:color w:val="auto"/>
          <w:sz w:val="24"/>
          <w:szCs w:val="24"/>
          <w:highlight w:val="none"/>
        </w:rPr>
        <w:t>电报、电传和传真投标文件一律不接受。</w:t>
      </w:r>
    </w:p>
    <w:p w14:paraId="6B0A2288">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7</w:t>
      </w:r>
      <w:r>
        <w:rPr>
          <w:rFonts w:ascii="宋体" w:hAnsi="宋体" w:cs="宋体"/>
          <w:color w:val="auto"/>
          <w:sz w:val="24"/>
          <w:szCs w:val="24"/>
          <w:highlight w:val="none"/>
        </w:rPr>
        <w:t xml:space="preserve">.5 </w:t>
      </w:r>
      <w:r>
        <w:rPr>
          <w:rFonts w:hint="eastAsia" w:ascii="宋体" w:hAnsi="宋体" w:cs="宋体"/>
          <w:color w:val="auto"/>
          <w:sz w:val="24"/>
          <w:szCs w:val="24"/>
          <w:highlight w:val="none"/>
        </w:rPr>
        <w:t>有下列情形之一的，视为</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串通投标，其投标无效：</w:t>
      </w:r>
    </w:p>
    <w:p w14:paraId="5A0ED0A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的投标文件由同一单位或者个人编制；或不同</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通过同一单位的</w:t>
      </w:r>
    </w:p>
    <w:p w14:paraId="77059315">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IP </w:t>
      </w:r>
      <w:r>
        <w:rPr>
          <w:rFonts w:hint="eastAsia" w:ascii="宋体" w:hAnsi="宋体" w:cs="宋体"/>
          <w:color w:val="auto"/>
          <w:sz w:val="24"/>
          <w:szCs w:val="24"/>
          <w:highlight w:val="none"/>
        </w:rPr>
        <w:t>地址下上传投标文件；</w:t>
      </w:r>
    </w:p>
    <w:p w14:paraId="50C7051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委托同一单位或者个人办理投标事宜；</w:t>
      </w:r>
    </w:p>
    <w:p w14:paraId="394AC9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的投标文件载明的项目管理成员或者联系人员为同一人；</w:t>
      </w:r>
    </w:p>
    <w:p w14:paraId="31E27BB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的投标文件异常一致或者投标报价呈规律性差异；</w:t>
      </w:r>
    </w:p>
    <w:p w14:paraId="0D6FD80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的投标文件存在雷同性（包括文件制作机器码或文件创建标识码）；</w:t>
      </w:r>
    </w:p>
    <w:p w14:paraId="176DA831">
      <w:pPr>
        <w:spacing w:line="360" w:lineRule="auto"/>
        <w:jc w:val="center"/>
        <w:outlineLvl w:val="1"/>
        <w:rPr>
          <w:rFonts w:hint="eastAsia" w:ascii="宋体" w:hAnsi="宋体" w:cs="宋体"/>
          <w:b/>
          <w:bCs/>
          <w:color w:val="auto"/>
          <w:sz w:val="24"/>
          <w:szCs w:val="24"/>
          <w:highlight w:val="none"/>
        </w:rPr>
      </w:pPr>
      <w:bookmarkStart w:id="57" w:name="_Toc10471"/>
      <w:bookmarkStart w:id="58" w:name="_Toc9633"/>
      <w:bookmarkStart w:id="59" w:name="_Toc16245"/>
      <w:bookmarkStart w:id="60" w:name="_Toc30254"/>
      <w:bookmarkStart w:id="61" w:name="_Toc28797"/>
      <w:bookmarkStart w:id="62" w:name="_Toc30871"/>
      <w:bookmarkStart w:id="63" w:name="_Toc18093"/>
      <w:bookmarkStart w:id="64" w:name="_Toc19811"/>
      <w:bookmarkStart w:id="65" w:name="_Toc28998"/>
      <w:r>
        <w:rPr>
          <w:rFonts w:hint="eastAsia" w:ascii="宋体" w:hAnsi="宋体" w:cs="宋体"/>
          <w:b/>
          <w:bCs/>
          <w:color w:val="auto"/>
          <w:sz w:val="24"/>
          <w:szCs w:val="24"/>
          <w:highlight w:val="none"/>
        </w:rPr>
        <w:t>（四）投标文件的递交</w:t>
      </w:r>
      <w:bookmarkEnd w:id="57"/>
      <w:bookmarkEnd w:id="58"/>
      <w:bookmarkEnd w:id="59"/>
      <w:bookmarkEnd w:id="60"/>
      <w:bookmarkEnd w:id="61"/>
      <w:bookmarkEnd w:id="62"/>
      <w:bookmarkEnd w:id="63"/>
      <w:bookmarkEnd w:id="64"/>
      <w:bookmarkEnd w:id="65"/>
    </w:p>
    <w:p w14:paraId="098BE047">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rPr>
        <w:t>8、投标文件的提交</w:t>
      </w:r>
    </w:p>
    <w:p w14:paraId="476E039E">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8</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电子投标文件的递交：</w:t>
      </w:r>
    </w:p>
    <w:p w14:paraId="4506BEA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加密电子投标文件的递交：</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应在投标截止时间前上传加密的电子投标文件（</w:t>
      </w:r>
      <w:r>
        <w:rPr>
          <w:rFonts w:ascii="宋体" w:hAnsi="宋体" w:cs="宋体"/>
          <w:color w:val="auto"/>
          <w:sz w:val="24"/>
          <w:szCs w:val="24"/>
          <w:highlight w:val="none"/>
        </w:rPr>
        <w:t>*.hntf</w:t>
      </w:r>
      <w:r>
        <w:rPr>
          <w:rFonts w:hint="eastAsia" w:ascii="宋体" w:hAnsi="宋体" w:cs="宋体"/>
          <w:color w:val="auto"/>
          <w:sz w:val="24"/>
          <w:szCs w:val="24"/>
          <w:highlight w:val="none"/>
        </w:rPr>
        <w:t>）到会员系统的指定位置。上传时必须得到电脑“上传成功”的确认。请</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在上传时认真检查上传投标文件是否完整、正确。</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因交易中心投标系统问题无法上传电子投标文件时，请在工作时间与河南省公共资源交易中心联系。</w:t>
      </w:r>
    </w:p>
    <w:p w14:paraId="7E282ADF">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19、投标文件提交的截止时间</w:t>
      </w:r>
    </w:p>
    <w:p w14:paraId="2C17B0F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w:t>
      </w:r>
      <w:r>
        <w:rPr>
          <w:rFonts w:ascii="宋体" w:hAnsi="宋体" w:cs="宋体"/>
          <w:color w:val="auto"/>
          <w:sz w:val="24"/>
          <w:szCs w:val="24"/>
          <w:highlight w:val="none"/>
        </w:rPr>
        <w:t xml:space="preserve">.1 </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应在不迟于招标文件中规定的截止日期和时间将投标文件按照招标文件要求上传至指定位置。</w:t>
      </w:r>
    </w:p>
    <w:p w14:paraId="79BD3F4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采购人和采购代理机构可以按第</w:t>
      </w:r>
      <w:r>
        <w:rPr>
          <w:rFonts w:ascii="宋体" w:hAnsi="宋体" w:cs="宋体"/>
          <w:color w:val="auto"/>
          <w:sz w:val="24"/>
          <w:szCs w:val="24"/>
          <w:highlight w:val="none"/>
        </w:rPr>
        <w:t xml:space="preserve"> 9 </w:t>
      </w:r>
      <w:r>
        <w:rPr>
          <w:rFonts w:hint="eastAsia" w:ascii="宋体" w:hAnsi="宋体" w:cs="宋体"/>
          <w:color w:val="auto"/>
          <w:sz w:val="24"/>
          <w:szCs w:val="24"/>
          <w:highlight w:val="none"/>
        </w:rPr>
        <w:t>条规定，通过修改招标文件自行决定酌情延长投标截止期限。</w:t>
      </w:r>
    </w:p>
    <w:p w14:paraId="78F14687">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0、迟交的投标文件</w:t>
      </w:r>
      <w:r>
        <w:rPr>
          <w:rFonts w:ascii="宋体" w:hAnsi="宋体" w:cs="宋体"/>
          <w:b/>
          <w:bCs/>
          <w:color w:val="auto"/>
          <w:sz w:val="24"/>
          <w:szCs w:val="24"/>
          <w:highlight w:val="none"/>
        </w:rPr>
        <w:t xml:space="preserve"> </w:t>
      </w:r>
    </w:p>
    <w:p w14:paraId="39358578">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0</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拒绝在规定的投标截止期后收到的任何投标文件。</w:t>
      </w:r>
    </w:p>
    <w:p w14:paraId="05ECE780">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1、投标文件的补充、修改与撤回</w:t>
      </w:r>
    </w:p>
    <w:p w14:paraId="0743231F">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.1 </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在递交投标文件后，在投标截止时间之前可以修改或撤回其投标文件，但投标人必须在投标截止时间之前。在投标截止时间后，</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不得再要求修改或撤回其投标文件。</w:t>
      </w:r>
    </w:p>
    <w:p w14:paraId="2A5A13E2">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从投标截止期至</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在投标文件中载明的投标有效期满期间，</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不得撤回其投标。</w:t>
      </w:r>
    </w:p>
    <w:p w14:paraId="635EA95F">
      <w:pPr>
        <w:spacing w:line="360" w:lineRule="auto"/>
        <w:jc w:val="center"/>
        <w:outlineLvl w:val="1"/>
        <w:rPr>
          <w:rFonts w:hint="eastAsia" w:ascii="宋体" w:hAnsi="宋体" w:cs="宋体"/>
          <w:b/>
          <w:bCs/>
          <w:color w:val="auto"/>
          <w:sz w:val="24"/>
          <w:szCs w:val="24"/>
          <w:highlight w:val="none"/>
        </w:rPr>
      </w:pPr>
      <w:bookmarkStart w:id="66" w:name="_Toc25391"/>
      <w:bookmarkStart w:id="67" w:name="_Toc10882"/>
      <w:bookmarkStart w:id="68" w:name="_Toc9981"/>
      <w:bookmarkStart w:id="69" w:name="_Toc24802"/>
      <w:bookmarkStart w:id="70" w:name="_Toc3360"/>
      <w:bookmarkStart w:id="71" w:name="_Toc17310"/>
      <w:bookmarkStart w:id="72" w:name="_Toc22338"/>
      <w:bookmarkStart w:id="73" w:name="_Toc2282"/>
      <w:bookmarkStart w:id="74" w:name="_Toc25808"/>
      <w:r>
        <w:rPr>
          <w:rFonts w:hint="eastAsia" w:ascii="宋体" w:hAnsi="宋体" w:cs="宋体"/>
          <w:b/>
          <w:bCs/>
          <w:color w:val="auto"/>
          <w:sz w:val="24"/>
          <w:szCs w:val="24"/>
          <w:highlight w:val="none"/>
        </w:rPr>
        <w:t>（五）开</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标</w:t>
      </w:r>
      <w:bookmarkEnd w:id="66"/>
      <w:bookmarkEnd w:id="67"/>
      <w:bookmarkEnd w:id="68"/>
      <w:bookmarkEnd w:id="69"/>
      <w:bookmarkEnd w:id="70"/>
      <w:bookmarkEnd w:id="71"/>
      <w:bookmarkEnd w:id="72"/>
      <w:bookmarkEnd w:id="73"/>
      <w:bookmarkEnd w:id="74"/>
    </w:p>
    <w:p w14:paraId="1934C6D6">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2、开标</w:t>
      </w:r>
    </w:p>
    <w:p w14:paraId="104E126B">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2</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采购代理机构将按招标文件规定的时间和地点组织公开招标。</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授权代表不需要参加开标并签到，本次项目实行不见面远程招标。</w:t>
      </w:r>
    </w:p>
    <w:p w14:paraId="1FA10801">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2</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开标前，采购代理机构通过河南省公共资源交易中心网站首页远程开标大厅进行验标（检查网上招标系统正常与否），确认无误后开标。开标时，各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应在规定时间内对本单位的投标文件远程解密，项目负责人负责解密所有投标文件。</w:t>
      </w:r>
    </w:p>
    <w:p w14:paraId="7E04680E">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2</w:t>
      </w:r>
      <w:r>
        <w:rPr>
          <w:rFonts w:ascii="宋体" w:hAnsi="宋体" w:cs="宋体"/>
          <w:color w:val="auto"/>
          <w:sz w:val="24"/>
          <w:szCs w:val="24"/>
          <w:highlight w:val="none"/>
        </w:rPr>
        <w:t xml:space="preserve">.3 </w:t>
      </w:r>
      <w:r>
        <w:rPr>
          <w:rFonts w:hint="eastAsia" w:ascii="宋体" w:hAnsi="宋体" w:cs="宋体"/>
          <w:color w:val="auto"/>
          <w:sz w:val="24"/>
          <w:szCs w:val="24"/>
          <w:highlight w:val="none"/>
        </w:rPr>
        <w:t>因加密电子投标文件未能成功上传或误传而导致的解密失败,投标将被拒绝。</w:t>
      </w:r>
    </w:p>
    <w:p w14:paraId="09A6883A">
      <w:pPr>
        <w:spacing w:line="360" w:lineRule="auto"/>
        <w:jc w:val="center"/>
        <w:outlineLvl w:val="1"/>
        <w:rPr>
          <w:rFonts w:hint="eastAsia" w:ascii="宋体" w:hAnsi="宋体" w:cs="宋体"/>
          <w:b/>
          <w:bCs/>
          <w:color w:val="auto"/>
          <w:sz w:val="24"/>
          <w:szCs w:val="24"/>
          <w:highlight w:val="none"/>
        </w:rPr>
      </w:pPr>
      <w:bookmarkStart w:id="75" w:name="_Toc27394"/>
      <w:bookmarkStart w:id="76" w:name="_Toc11071"/>
      <w:bookmarkStart w:id="77" w:name="_Toc29593"/>
      <w:bookmarkStart w:id="78" w:name="_Toc13739"/>
      <w:bookmarkStart w:id="79" w:name="_Toc9696"/>
      <w:bookmarkStart w:id="80" w:name="_Toc10576"/>
      <w:bookmarkStart w:id="81" w:name="_Toc1407"/>
      <w:bookmarkStart w:id="82" w:name="_Toc13547"/>
      <w:bookmarkStart w:id="83" w:name="_Toc413"/>
      <w:r>
        <w:rPr>
          <w:rFonts w:hint="eastAsia" w:ascii="宋体" w:hAnsi="宋体" w:cs="宋体"/>
          <w:b/>
          <w:bCs/>
          <w:color w:val="auto"/>
          <w:sz w:val="24"/>
          <w:szCs w:val="24"/>
          <w:highlight w:val="none"/>
        </w:rPr>
        <w:t>（六）评</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标</w:t>
      </w:r>
      <w:bookmarkEnd w:id="75"/>
      <w:bookmarkEnd w:id="76"/>
      <w:bookmarkEnd w:id="77"/>
      <w:bookmarkEnd w:id="78"/>
      <w:bookmarkEnd w:id="79"/>
      <w:bookmarkEnd w:id="80"/>
      <w:bookmarkEnd w:id="81"/>
      <w:bookmarkEnd w:id="82"/>
      <w:bookmarkEnd w:id="83"/>
    </w:p>
    <w:p w14:paraId="7111D345">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3、资格审查</w:t>
      </w:r>
    </w:p>
    <w:p w14:paraId="43CDE8DE">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3</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开标结束后，采购人对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的资格进行审查。</w:t>
      </w:r>
    </w:p>
    <w:p w14:paraId="4A398477">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3</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合格</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不足</w:t>
      </w:r>
      <w:r>
        <w:rPr>
          <w:rFonts w:ascii="宋体" w:hAnsi="宋体" w:cs="宋体"/>
          <w:color w:val="auto"/>
          <w:sz w:val="24"/>
          <w:szCs w:val="24"/>
          <w:highlight w:val="none"/>
        </w:rPr>
        <w:t xml:space="preserve"> 3 </w:t>
      </w:r>
      <w:r>
        <w:rPr>
          <w:rFonts w:hint="eastAsia" w:ascii="宋体" w:hAnsi="宋体" w:cs="宋体"/>
          <w:color w:val="auto"/>
          <w:sz w:val="24"/>
          <w:szCs w:val="24"/>
          <w:highlight w:val="none"/>
        </w:rPr>
        <w:t>家的，不得评标。</w:t>
      </w:r>
    </w:p>
    <w:p w14:paraId="1164964D">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3</w:t>
      </w:r>
      <w:r>
        <w:rPr>
          <w:rFonts w:ascii="宋体" w:hAnsi="宋体" w:cs="宋体"/>
          <w:color w:val="auto"/>
          <w:sz w:val="24"/>
          <w:szCs w:val="24"/>
          <w:highlight w:val="none"/>
        </w:rPr>
        <w:t xml:space="preserve">.3 </w:t>
      </w:r>
      <w:r>
        <w:rPr>
          <w:rFonts w:hint="eastAsia" w:ascii="宋体" w:hAnsi="宋体" w:cs="宋体"/>
          <w:color w:val="auto"/>
          <w:sz w:val="24"/>
          <w:szCs w:val="24"/>
          <w:highlight w:val="none"/>
        </w:rPr>
        <w:t>资格审查标准见</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须知前附表。</w:t>
      </w:r>
    </w:p>
    <w:p w14:paraId="60B835C0">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4、评标委员会与评标</w:t>
      </w:r>
    </w:p>
    <w:p w14:paraId="2FE239BE">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4</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评标工作由评标委员会负责对所有</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的投标文件进行评审，采用综合评分法，并依评标总得分由高到低的顺序推荐出</w:t>
      </w:r>
      <w:r>
        <w:rPr>
          <w:rFonts w:ascii="宋体" w:hAnsi="宋体" w:cs="宋体"/>
          <w:color w:val="auto"/>
          <w:sz w:val="24"/>
          <w:szCs w:val="24"/>
          <w:highlight w:val="none"/>
        </w:rPr>
        <w:t xml:space="preserve"> 3 </w:t>
      </w:r>
      <w:r>
        <w:rPr>
          <w:rFonts w:hint="eastAsia" w:ascii="宋体" w:hAnsi="宋体" w:cs="宋体"/>
          <w:color w:val="auto"/>
          <w:sz w:val="24"/>
          <w:szCs w:val="24"/>
          <w:highlight w:val="none"/>
        </w:rPr>
        <w:t>名中标候选人。</w:t>
      </w:r>
    </w:p>
    <w:p w14:paraId="0FCA2B97">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4</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评标委员会成员人数为</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人。其中评审专家不得少于成员总数的三分之二，由河南省政府采购专家库中随机抽取。</w:t>
      </w:r>
    </w:p>
    <w:p w14:paraId="139688D2">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4</w:t>
      </w:r>
      <w:r>
        <w:rPr>
          <w:rFonts w:ascii="宋体" w:hAnsi="宋体" w:cs="宋体"/>
          <w:color w:val="auto"/>
          <w:sz w:val="24"/>
          <w:szCs w:val="24"/>
          <w:highlight w:val="none"/>
        </w:rPr>
        <w:t xml:space="preserve">.3 </w:t>
      </w:r>
      <w:r>
        <w:rPr>
          <w:rFonts w:hint="eastAsia" w:ascii="宋体" w:hAnsi="宋体" w:cs="宋体"/>
          <w:color w:val="auto"/>
          <w:sz w:val="24"/>
          <w:szCs w:val="24"/>
          <w:highlight w:val="none"/>
        </w:rPr>
        <w:t>招标采购单位就招标文件征询过意见的专家，不得再作为评标专家参加评标。</w:t>
      </w:r>
    </w:p>
    <w:p w14:paraId="442B3299">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5、投标文件的澄清</w:t>
      </w:r>
    </w:p>
    <w:p w14:paraId="13AEE11B">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5</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为了有助于对投标文件进行审查、评估和比较，评标委员会有权向</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质疑，请</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澄清其投标内容。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有责任按照采购代理机构通知的时间、地点、方式由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或其授权代表进行答疑和澄清。</w:t>
      </w:r>
    </w:p>
    <w:p w14:paraId="30F6E818">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5</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所有澄清的答复应由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法定代表人或其委托代理人签字。</w:t>
      </w:r>
    </w:p>
    <w:p w14:paraId="5131229A">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5</w:t>
      </w:r>
      <w:r>
        <w:rPr>
          <w:rFonts w:ascii="宋体" w:hAnsi="宋体" w:cs="宋体"/>
          <w:color w:val="auto"/>
          <w:sz w:val="24"/>
          <w:szCs w:val="24"/>
          <w:highlight w:val="none"/>
        </w:rPr>
        <w:t xml:space="preserve">.3 </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的澄清文件是投标文件的组成部分，并取代投标文件中被澄清的部分。</w:t>
      </w:r>
    </w:p>
    <w:p w14:paraId="33A629AF">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5</w:t>
      </w:r>
      <w:r>
        <w:rPr>
          <w:rFonts w:ascii="宋体" w:hAnsi="宋体" w:cs="宋体"/>
          <w:color w:val="auto"/>
          <w:sz w:val="24"/>
          <w:szCs w:val="24"/>
          <w:highlight w:val="none"/>
        </w:rPr>
        <w:t xml:space="preserve">.4 </w:t>
      </w:r>
      <w:r>
        <w:rPr>
          <w:rFonts w:hint="eastAsia" w:ascii="宋体" w:hAnsi="宋体" w:cs="宋体"/>
          <w:color w:val="auto"/>
          <w:sz w:val="24"/>
          <w:szCs w:val="24"/>
          <w:highlight w:val="none"/>
        </w:rPr>
        <w:t>投标文件的澄清不得对投标内容进行实质性修改。</w:t>
      </w:r>
    </w:p>
    <w:p w14:paraId="356B6E7D">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6、评标</w:t>
      </w:r>
    </w:p>
    <w:p w14:paraId="5A81ADDE">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6</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评标委员会将审查投标文件是否完整、总体编排是否有序、文件签署是否合格、有无计算上的错误等。</w:t>
      </w:r>
    </w:p>
    <w:p w14:paraId="3697020E">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6</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算术错误将按以下方法更正：若单价计算的结果与总价不一致，以单价为准修改总价；若文字表示的数值与数字表示的数值不一致，以文字表示的数值为准。若</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不接受对其错误的更正，其投标将被拒绝。</w:t>
      </w:r>
    </w:p>
    <w:p w14:paraId="1A631226">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6</w:t>
      </w:r>
      <w:r>
        <w:rPr>
          <w:rFonts w:ascii="宋体" w:hAnsi="宋体" w:cs="宋体"/>
          <w:color w:val="auto"/>
          <w:sz w:val="24"/>
          <w:szCs w:val="24"/>
          <w:highlight w:val="none"/>
        </w:rPr>
        <w:t xml:space="preserve">.3 </w:t>
      </w:r>
      <w:r>
        <w:rPr>
          <w:rFonts w:hint="eastAsia" w:ascii="宋体" w:hAnsi="宋体" w:cs="宋体"/>
          <w:color w:val="auto"/>
          <w:sz w:val="24"/>
          <w:szCs w:val="24"/>
          <w:highlight w:val="none"/>
        </w:rPr>
        <w:t>允许修正投标文件中不构成重大偏离的、微小的、非正规的、不一致或不规则的地方。</w:t>
      </w:r>
    </w:p>
    <w:p w14:paraId="6A70934F">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6</w:t>
      </w:r>
      <w:r>
        <w:rPr>
          <w:rFonts w:ascii="宋体" w:hAnsi="宋体" w:cs="宋体"/>
          <w:color w:val="auto"/>
          <w:sz w:val="24"/>
          <w:szCs w:val="24"/>
          <w:highlight w:val="none"/>
        </w:rPr>
        <w:t xml:space="preserve">.4 </w:t>
      </w:r>
      <w:r>
        <w:rPr>
          <w:rFonts w:hint="eastAsia" w:ascii="宋体" w:hAnsi="宋体" w:cs="宋体"/>
          <w:color w:val="auto"/>
          <w:sz w:val="24"/>
          <w:szCs w:val="24"/>
          <w:highlight w:val="none"/>
        </w:rPr>
        <w:t>在对投标文件进行详细评估之前，评标委员会将确定每一投标是否对招标文件的要求做出了实质性的响应，而没有重大偏离。实质性响应的投标是指投标符合招标文件的所有条款、条件和规定且没有重大偏离和保留。重大偏离和保留是指对招标文件规定的项目需求、服务质量和服务水平等产生重大或不可接受的偏差，或限制了采购代理机构、采购人的权力和</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的义务的规定，而纠正这些偏离将影响到其它提交实质性响应投标的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的公平竞争地位。</w:t>
      </w:r>
    </w:p>
    <w:p w14:paraId="7FC9E4CE">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6</w:t>
      </w:r>
      <w:r>
        <w:rPr>
          <w:rFonts w:ascii="宋体" w:hAnsi="宋体" w:cs="宋体"/>
          <w:color w:val="auto"/>
          <w:sz w:val="24"/>
          <w:szCs w:val="24"/>
          <w:highlight w:val="none"/>
        </w:rPr>
        <w:t xml:space="preserve">.5 </w:t>
      </w:r>
      <w:r>
        <w:rPr>
          <w:rFonts w:hint="eastAsia" w:ascii="宋体" w:hAnsi="宋体" w:cs="宋体"/>
          <w:color w:val="auto"/>
          <w:sz w:val="24"/>
          <w:szCs w:val="24"/>
          <w:highlight w:val="none"/>
        </w:rPr>
        <w:t>评标委员会判断投标文件的响应性仅基于投标文件本身内容而不靠外部证据。</w:t>
      </w:r>
    </w:p>
    <w:p w14:paraId="3F55334E">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6</w:t>
      </w:r>
      <w:r>
        <w:rPr>
          <w:rFonts w:ascii="宋体" w:hAnsi="宋体" w:cs="宋体"/>
          <w:color w:val="auto"/>
          <w:sz w:val="24"/>
          <w:szCs w:val="24"/>
          <w:highlight w:val="none"/>
        </w:rPr>
        <w:t xml:space="preserve">.6 </w:t>
      </w:r>
      <w:r>
        <w:rPr>
          <w:rFonts w:hint="eastAsia" w:ascii="宋体" w:hAnsi="宋体" w:cs="宋体"/>
          <w:color w:val="auto"/>
          <w:sz w:val="24"/>
          <w:szCs w:val="24"/>
          <w:highlight w:val="none"/>
        </w:rPr>
        <w:t>评标委员会将依据</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提供的资格证明文件审查</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的财务、技术和生产能力。如果确定</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无资格履行合同，其投标将被拒绝。</w:t>
      </w:r>
    </w:p>
    <w:p w14:paraId="75F8688B">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6</w:t>
      </w:r>
      <w:r>
        <w:rPr>
          <w:rFonts w:ascii="宋体" w:hAnsi="宋体" w:cs="宋体"/>
          <w:color w:val="auto"/>
          <w:sz w:val="24"/>
          <w:szCs w:val="24"/>
          <w:highlight w:val="none"/>
        </w:rPr>
        <w:t xml:space="preserve">.7 </w:t>
      </w:r>
      <w:r>
        <w:rPr>
          <w:rFonts w:hint="eastAsia" w:ascii="宋体" w:hAnsi="宋体" w:cs="宋体"/>
          <w:color w:val="auto"/>
          <w:sz w:val="24"/>
          <w:szCs w:val="24"/>
          <w:highlight w:val="none"/>
        </w:rPr>
        <w:t>实质上没有响应招标文件要求的投标将被拒绝，</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不得通过修正或撤消不符之处而使其投标成为实质上响应投标。</w:t>
      </w:r>
    </w:p>
    <w:p w14:paraId="204929B2">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6</w:t>
      </w:r>
      <w:r>
        <w:rPr>
          <w:rFonts w:ascii="宋体" w:hAnsi="宋体" w:cs="宋体"/>
          <w:color w:val="auto"/>
          <w:sz w:val="24"/>
          <w:szCs w:val="24"/>
          <w:highlight w:val="none"/>
        </w:rPr>
        <w:t xml:space="preserve">.8 </w:t>
      </w:r>
      <w:r>
        <w:rPr>
          <w:rFonts w:hint="eastAsia" w:ascii="宋体" w:hAnsi="宋体" w:cs="宋体"/>
          <w:color w:val="auto"/>
          <w:sz w:val="24"/>
          <w:szCs w:val="24"/>
          <w:highlight w:val="none"/>
        </w:rPr>
        <w:t>有下列情形之一的，视为</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串通投标，评标委员会应当认定其投标无效：</w:t>
      </w:r>
    </w:p>
    <w:p w14:paraId="6F00093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的投标文件由同一单位或者个人编制；或不同</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通过同一单位的</w:t>
      </w:r>
      <w:r>
        <w:rPr>
          <w:rFonts w:ascii="宋体" w:hAnsi="宋体" w:cs="宋体"/>
          <w:color w:val="auto"/>
          <w:sz w:val="24"/>
          <w:szCs w:val="24"/>
          <w:highlight w:val="none"/>
        </w:rPr>
        <w:t xml:space="preserve"> IP</w:t>
      </w:r>
      <w:r>
        <w:rPr>
          <w:rFonts w:hint="eastAsia" w:ascii="宋体" w:hAnsi="宋体" w:cs="宋体"/>
          <w:color w:val="auto"/>
          <w:sz w:val="24"/>
          <w:szCs w:val="24"/>
          <w:highlight w:val="none"/>
        </w:rPr>
        <w:t>地址下上传投标文件；或标书存在雷同性（评标系统内标书雷同性分析，包括文件制作机器码或文件创建标识码）</w:t>
      </w:r>
    </w:p>
    <w:p w14:paraId="39B84E7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委托同一单位或者个人办理投标事宜；</w:t>
      </w:r>
    </w:p>
    <w:p w14:paraId="6532723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的投标文件载明的项目管理成员或者联系人员为同一人；</w:t>
      </w:r>
    </w:p>
    <w:p w14:paraId="1BB971A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的投标文件异常一致或者投标报价呈规律性差异；</w:t>
      </w:r>
    </w:p>
    <w:p w14:paraId="02C57D6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的投标文件相互混搭；</w:t>
      </w:r>
    </w:p>
    <w:p w14:paraId="51365211">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6</w:t>
      </w:r>
      <w:r>
        <w:rPr>
          <w:rFonts w:ascii="宋体" w:hAnsi="宋体" w:cs="宋体"/>
          <w:color w:val="auto"/>
          <w:sz w:val="24"/>
          <w:szCs w:val="24"/>
          <w:highlight w:val="none"/>
        </w:rPr>
        <w:t xml:space="preserve">.9 </w:t>
      </w:r>
      <w:r>
        <w:rPr>
          <w:rFonts w:hint="eastAsia" w:ascii="宋体" w:hAnsi="宋体" w:cs="宋体"/>
          <w:color w:val="auto"/>
          <w:sz w:val="24"/>
          <w:szCs w:val="24"/>
          <w:highlight w:val="none"/>
        </w:rPr>
        <w:t>评标中有下列情形之一的，其投标将按无效处理：</w:t>
      </w:r>
    </w:p>
    <w:p w14:paraId="43AD389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（1）企业电子签章或个人电子签章不符合招标文件要求的；</w:t>
      </w:r>
    </w:p>
    <w:p w14:paraId="468C09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（2）投标有效期不足的；</w:t>
      </w:r>
    </w:p>
    <w:p w14:paraId="032EAF0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（3）明显不符合技术规格、技术标准要求的；</w:t>
      </w:r>
    </w:p>
    <w:p w14:paraId="3C991F8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（4）投标文件附有采购人不能接受的条件；</w:t>
      </w:r>
    </w:p>
    <w:p w14:paraId="6B705D8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（5）投标报价超出预算金额的；</w:t>
      </w:r>
    </w:p>
    <w:p w14:paraId="78E7D4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（6）标书存在雷同性（评标系统内标书雷同性分析，包括文件制作机器码或文件创建标识码）</w:t>
      </w:r>
    </w:p>
    <w:p w14:paraId="1EEF090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（7）不符合招标文件中规定的其他实质性要求。</w:t>
      </w:r>
    </w:p>
    <w:p w14:paraId="152FF717">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7、投标的评价</w:t>
      </w:r>
      <w:r>
        <w:rPr>
          <w:rFonts w:ascii="宋体" w:hAnsi="宋体" w:cs="宋体"/>
          <w:b/>
          <w:bCs/>
          <w:color w:val="auto"/>
          <w:sz w:val="24"/>
          <w:szCs w:val="24"/>
          <w:highlight w:val="none"/>
        </w:rPr>
        <w:t xml:space="preserve"> </w:t>
      </w:r>
    </w:p>
    <w:p w14:paraId="16B5142A">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7</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评标委员会只对已判定为实质性响应的投标文件进行评价和比较。</w:t>
      </w:r>
    </w:p>
    <w:p w14:paraId="198D790A">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7</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评标委员会在评标时，除根据第</w:t>
      </w:r>
      <w:r>
        <w:rPr>
          <w:rFonts w:ascii="宋体" w:hAnsi="宋体" w:cs="宋体"/>
          <w:color w:val="auto"/>
          <w:sz w:val="24"/>
          <w:szCs w:val="24"/>
          <w:highlight w:val="none"/>
        </w:rPr>
        <w:t xml:space="preserve"> 13 </w:t>
      </w:r>
      <w:r>
        <w:rPr>
          <w:rFonts w:hint="eastAsia" w:ascii="宋体" w:hAnsi="宋体" w:cs="宋体"/>
          <w:color w:val="auto"/>
          <w:sz w:val="24"/>
          <w:szCs w:val="24"/>
          <w:highlight w:val="none"/>
        </w:rPr>
        <w:t>条的规定考虑</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的报价外，还要根据“招标资料表”中列出评标因素，规定量化方法，并以此作为计算评标价或综合评分的依据。</w:t>
      </w:r>
    </w:p>
    <w:p w14:paraId="5C217D73">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28、评标价的确定</w:t>
      </w:r>
    </w:p>
    <w:p w14:paraId="14C3BD8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按照评标方法和标准产生的评标价仅限于评标的比较，对中标价没有任何影响。</w:t>
      </w:r>
    </w:p>
    <w:p w14:paraId="403F9D41">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29、保密及其它注意事项</w:t>
      </w:r>
    </w:p>
    <w:p w14:paraId="4AECBE1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评标是招标工作的重要环节，评标工作在评标委员会内独立进行。</w:t>
      </w:r>
    </w:p>
    <w:p w14:paraId="366E312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评标委员会将遵照规定的评标方法，公正、平等地对待所有</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w:t>
      </w:r>
    </w:p>
    <w:p w14:paraId="2AED6B1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29</w:t>
      </w:r>
      <w:r>
        <w:rPr>
          <w:rFonts w:ascii="宋体" w:hAnsi="宋体" w:cs="宋体"/>
          <w:color w:val="auto"/>
          <w:sz w:val="24"/>
          <w:szCs w:val="24"/>
          <w:highlight w:val="none"/>
        </w:rPr>
        <w:t xml:space="preserve">.3 </w:t>
      </w:r>
      <w:r>
        <w:rPr>
          <w:rFonts w:hint="eastAsia" w:ascii="宋体" w:hAnsi="宋体" w:cs="宋体"/>
          <w:color w:val="auto"/>
          <w:sz w:val="24"/>
          <w:szCs w:val="24"/>
          <w:highlight w:val="none"/>
        </w:rPr>
        <w:t>在开标、评标期间，</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不得向评委询问评标情况，不得进行旨在影响评标结果的活动。否则其投标可能被拒绝。</w:t>
      </w:r>
    </w:p>
    <w:p w14:paraId="78D7EAA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w:t>
      </w:r>
      <w:r>
        <w:rPr>
          <w:rFonts w:ascii="宋体" w:hAnsi="宋体" w:cs="宋体"/>
          <w:color w:val="auto"/>
          <w:sz w:val="24"/>
          <w:szCs w:val="24"/>
          <w:highlight w:val="none"/>
        </w:rPr>
        <w:t xml:space="preserve">.4 </w:t>
      </w:r>
      <w:r>
        <w:rPr>
          <w:rFonts w:hint="eastAsia" w:ascii="宋体" w:hAnsi="宋体" w:cs="宋体"/>
          <w:color w:val="auto"/>
          <w:sz w:val="24"/>
          <w:szCs w:val="24"/>
          <w:highlight w:val="none"/>
        </w:rPr>
        <w:t>为保证评标的公正性，开标后直至授予</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合同，评委不得与</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私下交换意见。</w:t>
      </w:r>
    </w:p>
    <w:p w14:paraId="1C4F996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在评标工作结束后，凡与评标情况有接触的任何人不得擅自将评标情况扩散出评标人员之外。</w:t>
      </w:r>
    </w:p>
    <w:p w14:paraId="71CBBE3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w:t>
      </w:r>
      <w:r>
        <w:rPr>
          <w:rFonts w:ascii="宋体" w:hAnsi="宋体" w:cs="宋体"/>
          <w:color w:val="auto"/>
          <w:sz w:val="24"/>
          <w:szCs w:val="24"/>
          <w:highlight w:val="none"/>
        </w:rPr>
        <w:t xml:space="preserve">.5 </w:t>
      </w:r>
      <w:r>
        <w:rPr>
          <w:rFonts w:hint="eastAsia" w:ascii="宋体" w:hAnsi="宋体" w:cs="宋体"/>
          <w:color w:val="auto"/>
          <w:sz w:val="24"/>
          <w:szCs w:val="24"/>
          <w:highlight w:val="none"/>
        </w:rPr>
        <w:t>评标结束后，概不退还投标文件。</w:t>
      </w:r>
    </w:p>
    <w:p w14:paraId="2F9B7DD6">
      <w:pPr>
        <w:spacing w:line="360" w:lineRule="auto"/>
        <w:jc w:val="center"/>
        <w:outlineLvl w:val="1"/>
        <w:rPr>
          <w:rFonts w:hint="eastAsia" w:ascii="宋体" w:hAnsi="宋体" w:cs="宋体"/>
          <w:b/>
          <w:bCs/>
          <w:color w:val="auto"/>
          <w:sz w:val="24"/>
          <w:szCs w:val="24"/>
          <w:highlight w:val="none"/>
        </w:rPr>
      </w:pPr>
      <w:bookmarkStart w:id="84" w:name="_Toc25903"/>
      <w:bookmarkStart w:id="85" w:name="_Toc28310"/>
      <w:bookmarkStart w:id="86" w:name="_Toc3178"/>
      <w:bookmarkStart w:id="87" w:name="_Toc3410"/>
      <w:bookmarkStart w:id="88" w:name="_Toc21142"/>
      <w:bookmarkStart w:id="89" w:name="_Toc6261"/>
      <w:bookmarkStart w:id="90" w:name="_Toc20201"/>
      <w:bookmarkStart w:id="91" w:name="_Toc11905"/>
      <w:bookmarkStart w:id="92" w:name="_Toc15261"/>
      <w:r>
        <w:rPr>
          <w:rFonts w:hint="eastAsia" w:ascii="宋体" w:hAnsi="宋体" w:cs="宋体"/>
          <w:b/>
          <w:bCs/>
          <w:color w:val="auto"/>
          <w:sz w:val="24"/>
          <w:szCs w:val="24"/>
          <w:highlight w:val="none"/>
        </w:rPr>
        <w:t>（七）中标结果</w:t>
      </w:r>
      <w:bookmarkEnd w:id="84"/>
      <w:bookmarkEnd w:id="85"/>
      <w:bookmarkEnd w:id="86"/>
      <w:bookmarkEnd w:id="87"/>
      <w:bookmarkEnd w:id="88"/>
      <w:bookmarkEnd w:id="89"/>
      <w:bookmarkEnd w:id="90"/>
      <w:bookmarkEnd w:id="91"/>
      <w:bookmarkEnd w:id="92"/>
    </w:p>
    <w:p w14:paraId="633AA0CC">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3</w:t>
      </w:r>
      <w:r>
        <w:rPr>
          <w:rFonts w:hint="eastAsia" w:ascii="宋体" w:hAnsi="宋体" w:cs="宋体"/>
          <w:b/>
          <w:bCs/>
          <w:color w:val="auto"/>
          <w:sz w:val="24"/>
          <w:szCs w:val="24"/>
          <w:highlight w:val="none"/>
        </w:rPr>
        <w:t>0</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确定中标人</w:t>
      </w:r>
    </w:p>
    <w:p w14:paraId="111FB38D">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0</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采购人应当自收到评标报告之日起</w:t>
      </w:r>
      <w:r>
        <w:rPr>
          <w:rFonts w:ascii="宋体" w:hAnsi="宋体" w:cs="宋体"/>
          <w:color w:val="auto"/>
          <w:sz w:val="24"/>
          <w:szCs w:val="24"/>
          <w:highlight w:val="none"/>
        </w:rPr>
        <w:t>5</w:t>
      </w:r>
      <w:r>
        <w:rPr>
          <w:rFonts w:hint="eastAsia" w:ascii="宋体" w:hAnsi="宋体" w:cs="宋体"/>
          <w:color w:val="auto"/>
          <w:sz w:val="24"/>
          <w:szCs w:val="24"/>
          <w:highlight w:val="none"/>
        </w:rPr>
        <w:t>个工作日内，在评标报告确定的中标候选人名单中按顺序确定中标人。中标候选人并列的，由采购人组织并列的中标候选人当面按照随机抽取的方式确定中标人。</w:t>
      </w:r>
    </w:p>
    <w:p w14:paraId="33DD824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采购人在收到评标报告</w:t>
      </w:r>
      <w:r>
        <w:rPr>
          <w:rFonts w:ascii="宋体" w:hAnsi="宋体" w:cs="宋体"/>
          <w:color w:val="auto"/>
          <w:sz w:val="24"/>
          <w:szCs w:val="24"/>
          <w:highlight w:val="none"/>
        </w:rPr>
        <w:t xml:space="preserve"> 5 </w:t>
      </w:r>
      <w:r>
        <w:rPr>
          <w:rFonts w:hint="eastAsia" w:ascii="宋体" w:hAnsi="宋体" w:cs="宋体"/>
          <w:color w:val="auto"/>
          <w:sz w:val="24"/>
          <w:szCs w:val="24"/>
          <w:highlight w:val="none"/>
        </w:rPr>
        <w:t>个工作日内未按评标报告推荐的中标候选人顺序确定中标人，又不能说明合法理由的，视同按评标报告推荐的顺序确定排名第一的中标候选人为中标人。</w:t>
      </w:r>
    </w:p>
    <w:p w14:paraId="7A221BFC">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0</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采购人按规定确定中标人后，采购代理机构应将中标结果以中标公告形式在政府采购管理部门指定的媒体上予以发布，中标公告期限为</w:t>
      </w:r>
      <w:r>
        <w:rPr>
          <w:rFonts w:ascii="宋体" w:hAnsi="宋体" w:cs="宋体"/>
          <w:color w:val="auto"/>
          <w:sz w:val="24"/>
          <w:szCs w:val="24"/>
          <w:highlight w:val="none"/>
        </w:rPr>
        <w:t xml:space="preserve"> 1 </w:t>
      </w:r>
      <w:r>
        <w:rPr>
          <w:rFonts w:hint="eastAsia" w:ascii="宋体" w:hAnsi="宋体" w:cs="宋体"/>
          <w:color w:val="auto"/>
          <w:sz w:val="24"/>
          <w:szCs w:val="24"/>
          <w:highlight w:val="none"/>
        </w:rPr>
        <w:t>个工作日。</w:t>
      </w:r>
    </w:p>
    <w:p w14:paraId="59E9B136">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0</w:t>
      </w:r>
      <w:r>
        <w:rPr>
          <w:rFonts w:ascii="宋体" w:hAnsi="宋体" w:cs="宋体"/>
          <w:color w:val="auto"/>
          <w:sz w:val="24"/>
          <w:szCs w:val="24"/>
          <w:highlight w:val="none"/>
        </w:rPr>
        <w:t xml:space="preserve">.3 </w:t>
      </w:r>
      <w:r>
        <w:rPr>
          <w:rFonts w:hint="eastAsia" w:ascii="宋体" w:hAnsi="宋体" w:cs="宋体"/>
          <w:color w:val="auto"/>
          <w:sz w:val="24"/>
          <w:szCs w:val="24"/>
          <w:highlight w:val="none"/>
        </w:rPr>
        <w:t>各有关当事人对中标结果有异议的，可以在中标公告发布之日起七个工作日内，以书面形式同时向采购人和采购代理机构提出质疑</w:t>
      </w:r>
      <w:r>
        <w:rPr>
          <w:rFonts w:ascii="宋体" w:hAnsi="宋体" w:cs="宋体"/>
          <w:color w:val="auto"/>
          <w:sz w:val="24"/>
          <w:szCs w:val="24"/>
          <w:highlight w:val="none"/>
        </w:rPr>
        <w:t>(</w:t>
      </w:r>
      <w:r>
        <w:rPr>
          <w:rFonts w:hint="eastAsia" w:ascii="宋体" w:hAnsi="宋体" w:cs="宋体"/>
          <w:color w:val="auto"/>
          <w:sz w:val="24"/>
          <w:szCs w:val="24"/>
          <w:highlight w:val="none"/>
        </w:rPr>
        <w:t>加盖单位公章且法定代表人（负责人）签字</w:t>
      </w:r>
      <w:r>
        <w:rPr>
          <w:rFonts w:ascii="宋体" w:hAnsi="宋体" w:cs="宋体"/>
          <w:color w:val="auto"/>
          <w:sz w:val="24"/>
          <w:szCs w:val="24"/>
          <w:highlight w:val="none"/>
        </w:rPr>
        <w:t>)</w:t>
      </w:r>
      <w:r>
        <w:rPr>
          <w:rFonts w:hint="eastAsia" w:ascii="宋体" w:hAnsi="宋体" w:cs="宋体"/>
          <w:color w:val="auto"/>
          <w:sz w:val="24"/>
          <w:szCs w:val="24"/>
          <w:highlight w:val="none"/>
        </w:rPr>
        <w:t>，由法定代表人（负责人）或其授权代表携带企业营业执照复印件（加盖公章）及本人身份证件（原件）一并提交（邮寄、传真件不予受理），并以质疑函接受确认日期作为受理时间。</w:t>
      </w:r>
    </w:p>
    <w:p w14:paraId="150EB43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逾期未提交或未按照要求提交或不符合法律法规规定的质疑函不予受理。</w:t>
      </w:r>
    </w:p>
    <w:p w14:paraId="1E1FAA3D">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3</w:t>
      </w:r>
      <w:r>
        <w:rPr>
          <w:rFonts w:hint="eastAsia" w:ascii="宋体" w:hAnsi="宋体" w:cs="宋体"/>
          <w:b/>
          <w:bCs/>
          <w:color w:val="auto"/>
          <w:sz w:val="24"/>
          <w:szCs w:val="24"/>
          <w:highlight w:val="none"/>
        </w:rPr>
        <w:t>1</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中标通知书</w:t>
      </w:r>
      <w:r>
        <w:rPr>
          <w:rFonts w:ascii="宋体" w:hAnsi="宋体" w:cs="宋体"/>
          <w:b/>
          <w:bCs/>
          <w:color w:val="auto"/>
          <w:sz w:val="24"/>
          <w:szCs w:val="24"/>
          <w:highlight w:val="none"/>
        </w:rPr>
        <w:t xml:space="preserve"> </w:t>
      </w:r>
    </w:p>
    <w:p w14:paraId="71FA817D">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在中标公告发布后，采购人向中标人发出中标通知书。</w:t>
      </w:r>
    </w:p>
    <w:p w14:paraId="4C7D2249">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采购代理机构对未中标的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不做未中标原因的解释。</w:t>
      </w:r>
    </w:p>
    <w:p w14:paraId="7556D7D3">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.3 </w:t>
      </w:r>
      <w:r>
        <w:rPr>
          <w:rFonts w:hint="eastAsia" w:ascii="宋体" w:hAnsi="宋体" w:cs="宋体"/>
          <w:color w:val="auto"/>
          <w:sz w:val="24"/>
          <w:szCs w:val="24"/>
          <w:highlight w:val="none"/>
        </w:rPr>
        <w:t>中标通知书将作为进行合同谈判和签订合同的依据。</w:t>
      </w:r>
    </w:p>
    <w:p w14:paraId="608BFB6A">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.4 </w:t>
      </w:r>
      <w:r>
        <w:rPr>
          <w:rFonts w:hint="eastAsia" w:ascii="宋体" w:hAnsi="宋体" w:cs="宋体"/>
          <w:color w:val="auto"/>
          <w:sz w:val="24"/>
          <w:szCs w:val="24"/>
          <w:highlight w:val="none"/>
        </w:rPr>
        <w:t>中标通知书发出后，采购人不得违法改变中标结果，中标人无正当理由不得放弃中标。</w:t>
      </w:r>
    </w:p>
    <w:p w14:paraId="48B19B2D">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3</w:t>
      </w:r>
      <w:r>
        <w:rPr>
          <w:rFonts w:hint="eastAsia" w:ascii="宋体" w:hAnsi="宋体" w:cs="宋体"/>
          <w:b/>
          <w:bCs/>
          <w:color w:val="auto"/>
          <w:sz w:val="24"/>
          <w:szCs w:val="24"/>
          <w:highlight w:val="none"/>
        </w:rPr>
        <w:t>2</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接受和拒绝任何或所有投标的权利</w:t>
      </w:r>
      <w:r>
        <w:rPr>
          <w:rFonts w:ascii="宋体" w:hAnsi="宋体" w:cs="宋体"/>
          <w:b/>
          <w:bCs/>
          <w:color w:val="auto"/>
          <w:sz w:val="24"/>
          <w:szCs w:val="24"/>
          <w:highlight w:val="none"/>
        </w:rPr>
        <w:t xml:space="preserve"> </w:t>
      </w:r>
    </w:p>
    <w:p w14:paraId="4703BF5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如出现重大变故，采购任务取消情况，采购代理机构和采购人保留因此原因在授标之前任何时候接受或拒绝任何投标、以及宣布招标无效或拒绝所有投标的权力，对受影响的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不承担任何责任。</w:t>
      </w:r>
    </w:p>
    <w:p w14:paraId="49D29CBF">
      <w:pPr>
        <w:spacing w:line="360" w:lineRule="auto"/>
        <w:jc w:val="center"/>
        <w:outlineLvl w:val="1"/>
        <w:rPr>
          <w:rFonts w:hint="eastAsia" w:ascii="宋体" w:hAnsi="宋体" w:cs="宋体"/>
          <w:b/>
          <w:bCs/>
          <w:color w:val="auto"/>
          <w:sz w:val="24"/>
          <w:szCs w:val="24"/>
          <w:highlight w:val="none"/>
        </w:rPr>
      </w:pPr>
      <w:bookmarkStart w:id="93" w:name="_Toc19012"/>
      <w:bookmarkStart w:id="94" w:name="_Toc24475"/>
      <w:bookmarkStart w:id="95" w:name="_Toc11579"/>
      <w:bookmarkStart w:id="96" w:name="_Toc5945"/>
      <w:bookmarkStart w:id="97" w:name="_Toc13553"/>
      <w:bookmarkStart w:id="98" w:name="_Toc31290"/>
      <w:bookmarkStart w:id="99" w:name="_Toc14680"/>
      <w:bookmarkStart w:id="100" w:name="_Toc21052"/>
      <w:bookmarkStart w:id="101" w:name="_Toc24243"/>
      <w:r>
        <w:rPr>
          <w:rFonts w:hint="eastAsia" w:ascii="宋体" w:hAnsi="宋体" w:cs="宋体"/>
          <w:b/>
          <w:bCs/>
          <w:color w:val="auto"/>
          <w:sz w:val="24"/>
          <w:szCs w:val="24"/>
          <w:highlight w:val="none"/>
        </w:rPr>
        <w:t>（八）合同的授予</w:t>
      </w:r>
      <w:bookmarkEnd w:id="93"/>
      <w:bookmarkEnd w:id="94"/>
      <w:bookmarkEnd w:id="95"/>
      <w:bookmarkEnd w:id="96"/>
      <w:bookmarkEnd w:id="97"/>
      <w:bookmarkEnd w:id="98"/>
      <w:bookmarkEnd w:id="99"/>
      <w:bookmarkEnd w:id="100"/>
      <w:bookmarkEnd w:id="101"/>
    </w:p>
    <w:p w14:paraId="02CD6C26">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3</w:t>
      </w:r>
      <w:r>
        <w:rPr>
          <w:rFonts w:hint="eastAsia" w:ascii="宋体" w:hAnsi="宋体" w:cs="宋体"/>
          <w:b/>
          <w:bCs/>
          <w:color w:val="auto"/>
          <w:sz w:val="24"/>
          <w:szCs w:val="24"/>
          <w:highlight w:val="none"/>
        </w:rPr>
        <w:t>3、合同授予标准</w:t>
      </w:r>
      <w:r>
        <w:rPr>
          <w:rFonts w:ascii="宋体" w:hAnsi="宋体" w:cs="宋体"/>
          <w:b/>
          <w:bCs/>
          <w:color w:val="auto"/>
          <w:sz w:val="24"/>
          <w:szCs w:val="24"/>
          <w:highlight w:val="none"/>
        </w:rPr>
        <w:t xml:space="preserve"> </w:t>
      </w:r>
    </w:p>
    <w:p w14:paraId="25C0488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除第</w:t>
      </w:r>
      <w:r>
        <w:rPr>
          <w:rFonts w:ascii="宋体" w:hAnsi="宋体" w:cs="宋体"/>
          <w:color w:val="auto"/>
          <w:sz w:val="24"/>
          <w:szCs w:val="24"/>
          <w:highlight w:val="none"/>
        </w:rPr>
        <w:t xml:space="preserve"> 3</w:t>
      </w:r>
      <w:r>
        <w:rPr>
          <w:rFonts w:hint="eastAsia" w:ascii="宋体" w:hAnsi="宋体" w:cs="宋体"/>
          <w:color w:val="auto"/>
          <w:sz w:val="24"/>
          <w:szCs w:val="24"/>
          <w:highlight w:val="none"/>
        </w:rPr>
        <w:t>6</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条的规定之外，采购人将把合同授予被确定为实质上响应招标文件要求并有履行合同能力的评标总得分最高的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w:t>
      </w:r>
    </w:p>
    <w:p w14:paraId="6ECFF1C6">
      <w:pPr>
        <w:spacing w:line="360" w:lineRule="auto"/>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4、政府采购合同履行中，采购人需追加与合同标的相同的货物、工程或者服务的，在不改变合同其他条款的前提下，可以与</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协商签订补充合同，但所有补充合同的采购金额不得超过原合同采购金额的百分之十。</w:t>
      </w:r>
    </w:p>
    <w:p w14:paraId="596858CD">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3</w:t>
      </w:r>
      <w:r>
        <w:rPr>
          <w:rFonts w:hint="eastAsia" w:ascii="宋体" w:hAnsi="宋体" w:cs="宋体"/>
          <w:b/>
          <w:bCs/>
          <w:color w:val="auto"/>
          <w:sz w:val="24"/>
          <w:szCs w:val="24"/>
          <w:highlight w:val="none"/>
        </w:rPr>
        <w:t>5</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评标结果的公示</w:t>
      </w:r>
    </w:p>
    <w:p w14:paraId="40B0954E">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5</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采购人或者采购代理机构应当自中标、成交</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确定之日起</w:t>
      </w:r>
      <w:r>
        <w:rPr>
          <w:rFonts w:ascii="宋体" w:hAnsi="宋体" w:cs="宋体"/>
          <w:color w:val="auto"/>
          <w:sz w:val="24"/>
          <w:szCs w:val="24"/>
          <w:highlight w:val="none"/>
        </w:rPr>
        <w:t xml:space="preserve"> 2 </w:t>
      </w:r>
      <w:r>
        <w:rPr>
          <w:rFonts w:hint="eastAsia" w:ascii="宋体" w:hAnsi="宋体" w:cs="宋体"/>
          <w:color w:val="auto"/>
          <w:sz w:val="24"/>
          <w:szCs w:val="24"/>
          <w:highlight w:val="none"/>
        </w:rPr>
        <w:t>个工作日内，发出中标、成交通知书，并在</w:t>
      </w:r>
      <w:r>
        <w:rPr>
          <w:rFonts w:hint="eastAsia" w:ascii="宋体" w:hAnsi="宋体" w:cs="宋体"/>
          <w:color w:val="auto"/>
          <w:kern w:val="10"/>
          <w:sz w:val="24"/>
          <w:szCs w:val="24"/>
          <w:highlight w:val="none"/>
          <w:shd w:val="clear" w:color="auto" w:fill="auto"/>
          <w:lang w:eastAsia="zh-CN"/>
        </w:rPr>
        <w:t>《</w:t>
      </w:r>
      <w:r>
        <w:rPr>
          <w:rFonts w:hint="eastAsia" w:ascii="宋体" w:hAnsi="宋体" w:cs="宋体"/>
          <w:color w:val="auto"/>
          <w:sz w:val="24"/>
          <w:szCs w:val="24"/>
          <w:highlight w:val="none"/>
        </w:rPr>
        <w:t>河南省政府采购网</w:t>
      </w:r>
      <w:r>
        <w:rPr>
          <w:rFonts w:hint="eastAsia" w:ascii="宋体" w:hAnsi="宋体" w:cs="宋体"/>
          <w:color w:val="auto"/>
          <w:kern w:val="10"/>
          <w:sz w:val="24"/>
          <w:szCs w:val="24"/>
          <w:highlight w:val="none"/>
          <w:shd w:val="clear" w:color="auto" w:fill="auto"/>
          <w:lang w:eastAsia="zh-CN"/>
        </w:rPr>
        <w:t>》</w:t>
      </w:r>
      <w:r>
        <w:rPr>
          <w:rFonts w:hint="eastAsia" w:ascii="宋体" w:hAnsi="宋体" w:cs="宋体"/>
          <w:color w:val="auto"/>
          <w:sz w:val="24"/>
          <w:szCs w:val="24"/>
          <w:highlight w:val="none"/>
        </w:rPr>
        <w:t>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河南省公共资源交易网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上公告中标、成交结果。公示期为一个工作日。</w:t>
      </w:r>
    </w:p>
    <w:p w14:paraId="0A161F01">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5</w:t>
      </w:r>
      <w:r>
        <w:rPr>
          <w:rFonts w:ascii="宋体" w:hAnsi="宋体" w:cs="宋体"/>
          <w:color w:val="auto"/>
          <w:sz w:val="24"/>
          <w:szCs w:val="24"/>
          <w:highlight w:val="none"/>
        </w:rPr>
        <w:t xml:space="preserve">.2 </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若对评标结果有疑问，有权按照《中华人民共和国财政部令第</w:t>
      </w:r>
      <w:r>
        <w:rPr>
          <w:rFonts w:ascii="宋体" w:hAnsi="宋体" w:cs="宋体"/>
          <w:color w:val="auto"/>
          <w:sz w:val="24"/>
          <w:szCs w:val="24"/>
          <w:highlight w:val="none"/>
        </w:rPr>
        <w:t xml:space="preserve"> 94 </w:t>
      </w:r>
      <w:r>
        <w:rPr>
          <w:rFonts w:hint="eastAsia" w:ascii="宋体" w:hAnsi="宋体" w:cs="宋体"/>
          <w:color w:val="auto"/>
          <w:sz w:val="24"/>
          <w:szCs w:val="24"/>
          <w:highlight w:val="none"/>
        </w:rPr>
        <w:t>号</w:t>
      </w:r>
      <w:r>
        <w:rPr>
          <w:rFonts w:ascii="宋体" w:hAnsi="宋体" w:cs="宋体"/>
          <w:color w:val="auto"/>
          <w:sz w:val="24"/>
          <w:szCs w:val="24"/>
          <w:highlight w:val="none"/>
        </w:rPr>
        <w:t>——</w:t>
      </w:r>
      <w:r>
        <w:rPr>
          <w:rFonts w:hint="eastAsia" w:ascii="宋体" w:hAnsi="宋体" w:cs="宋体"/>
          <w:color w:val="auto"/>
          <w:sz w:val="24"/>
          <w:szCs w:val="24"/>
          <w:highlight w:val="none"/>
        </w:rPr>
        <w:t>政府采购质疑和投诉办法》规定的程序进行投诉和质疑，但须对投诉和质疑内容的真实性承担责任。</w:t>
      </w:r>
    </w:p>
    <w:p w14:paraId="1EB789DD">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3</w:t>
      </w:r>
      <w:r>
        <w:rPr>
          <w:rFonts w:hint="eastAsia" w:ascii="宋体" w:hAnsi="宋体" w:cs="宋体"/>
          <w:b/>
          <w:bCs/>
          <w:color w:val="auto"/>
          <w:sz w:val="24"/>
          <w:szCs w:val="24"/>
          <w:highlight w:val="none"/>
        </w:rPr>
        <w:t>6、接受和拒绝任何或所有投标的权利</w:t>
      </w:r>
    </w:p>
    <w:p w14:paraId="7180C3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如出现重大变故，采购任务取消情况，采购代理机构和采购人保留因此原因在授标之前任何时候接受或拒绝任何投标、以及宣布招标无效或拒绝所有投标的权力，对受影响的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不承担任何责任。</w:t>
      </w:r>
    </w:p>
    <w:p w14:paraId="02BB45E6">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3</w:t>
      </w:r>
      <w:r>
        <w:rPr>
          <w:rFonts w:hint="eastAsia" w:ascii="宋体" w:hAnsi="宋体" w:cs="宋体"/>
          <w:b/>
          <w:bCs/>
          <w:color w:val="auto"/>
          <w:sz w:val="24"/>
          <w:szCs w:val="24"/>
          <w:highlight w:val="none"/>
        </w:rPr>
        <w:t>7、中标通知书</w:t>
      </w:r>
    </w:p>
    <w:p w14:paraId="09667B0C">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7</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在规定的投标有效期内，采购人向中标人发出中标通知书，同时将中标结果通知未中标的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w:t>
      </w:r>
    </w:p>
    <w:p w14:paraId="4A05D3D7">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7</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采购代理机构对未中标的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不做未中标原因的解释。</w:t>
      </w:r>
    </w:p>
    <w:p w14:paraId="4177C72C">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7</w:t>
      </w:r>
      <w:r>
        <w:rPr>
          <w:rFonts w:ascii="宋体" w:hAnsi="宋体" w:cs="宋体"/>
          <w:color w:val="auto"/>
          <w:sz w:val="24"/>
          <w:szCs w:val="24"/>
          <w:highlight w:val="none"/>
        </w:rPr>
        <w:t xml:space="preserve">.3 </w:t>
      </w:r>
      <w:r>
        <w:rPr>
          <w:rFonts w:hint="eastAsia" w:ascii="宋体" w:hAnsi="宋体" w:cs="宋体"/>
          <w:color w:val="auto"/>
          <w:sz w:val="24"/>
          <w:szCs w:val="24"/>
          <w:highlight w:val="none"/>
        </w:rPr>
        <w:t>中标通知书将作为进行合同谈判和签订合同的依据。</w:t>
      </w:r>
    </w:p>
    <w:p w14:paraId="336D1E07">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38、签订合同</w:t>
      </w:r>
    </w:p>
    <w:p w14:paraId="78F8EA9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中标人应按中标通知书指定的时间、地点，与采购人进行合同谈判。</w:t>
      </w:r>
    </w:p>
    <w:p w14:paraId="7C2CBFF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招标文件、中标人的投标文件和澄清文件等，均应作为签约的合同文本的基础。</w:t>
      </w:r>
    </w:p>
    <w:p w14:paraId="7099D8C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w:t>
      </w:r>
      <w:r>
        <w:rPr>
          <w:rFonts w:ascii="宋体" w:hAnsi="宋体" w:cs="宋体"/>
          <w:color w:val="auto"/>
          <w:sz w:val="24"/>
          <w:szCs w:val="24"/>
          <w:highlight w:val="none"/>
        </w:rPr>
        <w:t xml:space="preserve">.3 </w:t>
      </w:r>
      <w:r>
        <w:rPr>
          <w:rFonts w:hint="eastAsia" w:ascii="宋体" w:hAnsi="宋体" w:cs="宋体"/>
          <w:color w:val="auto"/>
          <w:sz w:val="24"/>
          <w:szCs w:val="24"/>
          <w:highlight w:val="none"/>
        </w:rPr>
        <w:t>如采购人对中标人拒签合同，</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依照《中华人民共和国政府采购法》、《中华人民共和国政府采购法实施条例》规定的相关法律责任来追究，并承担相应的违约责任。</w:t>
      </w:r>
    </w:p>
    <w:p w14:paraId="536C609B">
      <w:pPr>
        <w:spacing w:line="360" w:lineRule="auto"/>
        <w:rPr>
          <w:rFonts w:hint="eastAsia" w:ascii="宋体" w:hAnsi="宋体" w:cs="宋体"/>
          <w:color w:val="auto"/>
          <w:sz w:val="24"/>
          <w:szCs w:val="24"/>
          <w:highlight w:val="none"/>
        </w:rPr>
      </w:pPr>
      <w:r>
        <w:rPr>
          <w:rFonts w:ascii="宋体" w:hAnsi="宋体" w:cs="宋体"/>
          <w:b/>
          <w:bCs/>
          <w:color w:val="auto"/>
          <w:sz w:val="24"/>
          <w:szCs w:val="24"/>
          <w:highlight w:val="none"/>
        </w:rPr>
        <w:t>39</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如中标人不按第</w:t>
      </w:r>
      <w:r>
        <w:rPr>
          <w:rFonts w:ascii="宋体" w:hAnsi="宋体" w:cs="宋体"/>
          <w:color w:val="auto"/>
          <w:sz w:val="24"/>
          <w:szCs w:val="24"/>
          <w:highlight w:val="none"/>
        </w:rPr>
        <w:t xml:space="preserve"> 3</w:t>
      </w:r>
      <w:r>
        <w:rPr>
          <w:rFonts w:hint="eastAsia" w:ascii="宋体" w:hAnsi="宋体" w:cs="宋体"/>
          <w:color w:val="auto"/>
          <w:sz w:val="24"/>
          <w:szCs w:val="24"/>
          <w:highlight w:val="none"/>
        </w:rPr>
        <w:t>8</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条约定谈签合同，采购代理机构和采购人将报请取消其中标决定。采购人在候选中标单位中按顺序重新确定中标人或重新开展政府采购活动。</w:t>
      </w:r>
    </w:p>
    <w:p w14:paraId="5AE4F227">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40</w:t>
      </w:r>
      <w:r>
        <w:rPr>
          <w:rFonts w:hint="eastAsia" w:ascii="宋体" w:hAnsi="宋体" w:cs="宋体"/>
          <w:b/>
          <w:bCs/>
          <w:color w:val="auto"/>
          <w:sz w:val="24"/>
          <w:szCs w:val="24"/>
          <w:highlight w:val="none"/>
        </w:rPr>
        <w:t>、履约保证金</w:t>
      </w:r>
    </w:p>
    <w:p w14:paraId="4D19C19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在合同签订前中标人应采用招标文件中规定的履约保证金数量、形式向采购人提交履约保证金。</w:t>
      </w:r>
    </w:p>
    <w:p w14:paraId="16423B70">
      <w:pPr>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41</w:t>
      </w:r>
      <w:r>
        <w:rPr>
          <w:rFonts w:hint="eastAsia" w:ascii="宋体" w:hAnsi="宋体" w:cs="宋体"/>
          <w:b/>
          <w:bCs/>
          <w:color w:val="auto"/>
          <w:sz w:val="24"/>
          <w:szCs w:val="24"/>
          <w:highlight w:val="none"/>
        </w:rPr>
        <w:t>、其他</w:t>
      </w:r>
    </w:p>
    <w:p w14:paraId="74A926F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如果中标人未按上述第</w:t>
      </w:r>
      <w:r>
        <w:rPr>
          <w:rFonts w:ascii="宋体" w:hAnsi="宋体" w:cs="宋体"/>
          <w:color w:val="auto"/>
          <w:sz w:val="24"/>
          <w:szCs w:val="24"/>
          <w:highlight w:val="none"/>
        </w:rPr>
        <w:t xml:space="preserve"> 40 </w:t>
      </w:r>
      <w:r>
        <w:rPr>
          <w:rFonts w:hint="eastAsia" w:ascii="宋体" w:hAnsi="宋体" w:cs="宋体"/>
          <w:color w:val="auto"/>
          <w:sz w:val="24"/>
          <w:szCs w:val="24"/>
          <w:highlight w:val="none"/>
        </w:rPr>
        <w:t>条规定执行，在此情况下，采购代理机构和采购人将该标授予下一个评标得分较高的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，或重新招标。</w:t>
      </w:r>
    </w:p>
    <w:p w14:paraId="76239E3B">
      <w:pPr>
        <w:pStyle w:val="25"/>
        <w:pageBreakBefore w:val="0"/>
        <w:kinsoku/>
        <w:wordWrap/>
        <w:overflowPunct/>
        <w:topLinePunct w:val="0"/>
        <w:bidi w:val="0"/>
        <w:spacing w:beforeLines="0" w:afterLines="0" w:line="360" w:lineRule="auto"/>
        <w:ind w:left="0" w:firstLine="600" w:firstLineChars="250"/>
        <w:jc w:val="center"/>
        <w:rPr>
          <w:rFonts w:hint="eastAsia" w:ascii="宋体" w:hAnsi="宋体" w:eastAsia="宋体" w:cs="宋体"/>
          <w:color w:val="auto"/>
          <w:sz w:val="24"/>
          <w:szCs w:val="24"/>
          <w:highlight w:val="none"/>
        </w:rPr>
      </w:pPr>
    </w:p>
    <w:p w14:paraId="7B0B4CF0">
      <w:pPr>
        <w:pStyle w:val="25"/>
        <w:pageBreakBefore w:val="0"/>
        <w:kinsoku/>
        <w:wordWrap/>
        <w:overflowPunct/>
        <w:topLinePunct w:val="0"/>
        <w:bidi w:val="0"/>
        <w:spacing w:beforeLines="0" w:afterLines="0" w:line="360" w:lineRule="auto"/>
        <w:ind w:left="0" w:firstLine="600" w:firstLineChars="2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河南省政府采购合同融资政策告知函</w:t>
      </w:r>
    </w:p>
    <w:p w14:paraId="1A7B02AD">
      <w:pPr>
        <w:pStyle w:val="25"/>
        <w:pageBreakBefore w:val="0"/>
        <w:kinsoku/>
        <w:wordWrap/>
        <w:overflowPunct/>
        <w:topLinePunct w:val="0"/>
        <w:bidi w:val="0"/>
        <w:spacing w:beforeLines="0" w:afterLines="0"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6DBB482C">
      <w:pPr>
        <w:pStyle w:val="25"/>
        <w:pageBreakBefore w:val="0"/>
        <w:kinsoku/>
        <w:wordWrap/>
        <w:overflowPunct/>
        <w:topLinePunct w:val="0"/>
        <w:bidi w:val="0"/>
        <w:spacing w:beforeLines="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欢迎贵公司参与河南省政府采购活动!</w:t>
      </w:r>
    </w:p>
    <w:p w14:paraId="763A294A">
      <w:pPr>
        <w:pStyle w:val="25"/>
        <w:pageBreakBefore w:val="0"/>
        <w:kinsoku/>
        <w:wordWrap/>
        <w:overflowPunct/>
        <w:topLinePunct w:val="0"/>
        <w:bidi w:val="0"/>
        <w:spacing w:beforeLines="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66FDFDD">
      <w:pPr>
        <w:spacing w:beforeLines="0" w:afterLines="0" w:line="360" w:lineRule="auto"/>
        <w:ind w:firstLine="480" w:firstLineChars="200"/>
        <w:jc w:val="left"/>
        <w:outlineLvl w:val="9"/>
        <w:rPr>
          <w:color w:val="auto"/>
          <w:highlight w:val="none"/>
        </w:rPr>
      </w:pPr>
      <w:r>
        <w:rPr>
          <w:rFonts w:hint="eastAsia" w:ascii="宋体" w:hAnsi="宋体" w:eastAsia="宋体" w:cs="宋体"/>
          <w:color w:val="auto"/>
          <w:sz w:val="24"/>
          <w:szCs w:val="24"/>
          <w:highlight w:val="none"/>
        </w:rPr>
        <w:t>贷款渠道和提供贷款的金融机构，可在河南省政府采购网“河南省政府采购合同融资平台”查询联系。</w:t>
      </w:r>
    </w:p>
    <w:p w14:paraId="235604F7">
      <w:pPr>
        <w:outlineLvl w:val="9"/>
        <w:rPr>
          <w:rFonts w:hint="eastAsia"/>
          <w:color w:val="auto"/>
          <w:highlight w:val="none"/>
        </w:rPr>
      </w:pPr>
    </w:p>
    <w:p w14:paraId="3334BDC6">
      <w:pPr>
        <w:spacing w:line="360" w:lineRule="auto"/>
        <w:jc w:val="center"/>
        <w:outlineLvl w:val="0"/>
        <w:rPr>
          <w:rFonts w:hint="eastAsia" w:ascii="宋体" w:hAnsi="宋体" w:cs="宋体"/>
          <w:b/>
          <w:bCs/>
          <w:color w:val="auto"/>
          <w:kern w:val="44"/>
          <w:sz w:val="44"/>
          <w:szCs w:val="44"/>
          <w:highlight w:val="none"/>
        </w:rPr>
      </w:pPr>
      <w:r>
        <w:rPr>
          <w:rFonts w:hint="eastAsia" w:ascii="宋体" w:hAnsi="宋体" w:cs="宋体"/>
          <w:color w:val="auto"/>
          <w:sz w:val="24"/>
          <w:szCs w:val="24"/>
          <w:highlight w:val="none"/>
        </w:rPr>
        <w:br w:type="page"/>
      </w:r>
      <w:bookmarkStart w:id="102" w:name="_Toc7571"/>
      <w:bookmarkStart w:id="103" w:name="_Toc13419"/>
      <w:bookmarkStart w:id="104" w:name="_Toc19667"/>
      <w:bookmarkStart w:id="105" w:name="_Toc373"/>
      <w:bookmarkStart w:id="106" w:name="_Toc20973"/>
      <w:bookmarkStart w:id="107" w:name="_Toc9778"/>
      <w:bookmarkStart w:id="108" w:name="_Toc4655"/>
      <w:bookmarkStart w:id="109" w:name="_Toc11024"/>
      <w:bookmarkStart w:id="110" w:name="_Toc8092"/>
      <w:bookmarkStart w:id="111" w:name="_Toc26815"/>
      <w:bookmarkStart w:id="112" w:name="_Toc11794"/>
      <w:r>
        <w:rPr>
          <w:rStyle w:val="28"/>
          <w:rFonts w:hint="eastAsia" w:ascii="宋体" w:hAnsi="宋体" w:eastAsia="宋体" w:cs="宋体"/>
          <w:b/>
          <w:bCs/>
          <w:color w:val="auto"/>
          <w:sz w:val="44"/>
          <w:szCs w:val="44"/>
          <w:highlight w:val="none"/>
        </w:rPr>
        <w:t>第三章  资格审查</w:t>
      </w:r>
      <w:bookmarkEnd w:id="102"/>
      <w:bookmarkEnd w:id="103"/>
      <w:bookmarkEnd w:id="104"/>
      <w:bookmarkEnd w:id="105"/>
      <w:bookmarkEnd w:id="106"/>
      <w:bookmarkEnd w:id="107"/>
      <w:bookmarkEnd w:id="108"/>
      <w:bookmarkEnd w:id="109"/>
      <w:bookmarkEnd w:id="110"/>
      <w:bookmarkEnd w:id="111"/>
      <w:bookmarkEnd w:id="112"/>
    </w:p>
    <w:p w14:paraId="04790C79">
      <w:pPr>
        <w:pStyle w:val="4"/>
        <w:spacing w:line="360" w:lineRule="auto"/>
        <w:ind w:left="482"/>
        <w:jc w:val="center"/>
        <w:rPr>
          <w:rFonts w:hint="eastAsia" w:ascii="宋体" w:hAnsi="宋体" w:cs="宋体"/>
          <w:color w:val="auto"/>
          <w:sz w:val="24"/>
          <w:szCs w:val="24"/>
          <w:highlight w:val="none"/>
        </w:rPr>
      </w:pPr>
      <w:bookmarkStart w:id="113" w:name="_Toc13197"/>
      <w:bookmarkStart w:id="114" w:name="_Toc30398"/>
      <w:bookmarkStart w:id="115" w:name="_Toc16729"/>
      <w:bookmarkStart w:id="116" w:name="_Toc27033"/>
      <w:bookmarkStart w:id="117" w:name="_Toc21173"/>
      <w:bookmarkStart w:id="118" w:name="_Toc11714"/>
      <w:bookmarkStart w:id="119" w:name="_Toc28519"/>
      <w:bookmarkStart w:id="120" w:name="_Toc6735"/>
      <w:bookmarkStart w:id="121" w:name="_Toc27205"/>
      <w:r>
        <w:rPr>
          <w:rFonts w:hint="eastAsia" w:ascii="宋体" w:hAnsi="宋体" w:cs="宋体"/>
          <w:color w:val="auto"/>
          <w:sz w:val="24"/>
          <w:szCs w:val="24"/>
          <w:highlight w:val="none"/>
        </w:rPr>
        <w:t>资格审查前附表</w:t>
      </w:r>
      <w:bookmarkEnd w:id="113"/>
      <w:bookmarkEnd w:id="114"/>
      <w:bookmarkEnd w:id="115"/>
      <w:bookmarkEnd w:id="116"/>
      <w:bookmarkEnd w:id="117"/>
      <w:bookmarkEnd w:id="118"/>
      <w:bookmarkEnd w:id="119"/>
      <w:bookmarkEnd w:id="120"/>
      <w:bookmarkEnd w:id="121"/>
    </w:p>
    <w:tbl>
      <w:tblPr>
        <w:tblStyle w:val="26"/>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500"/>
        <w:gridCol w:w="5456"/>
      </w:tblGrid>
      <w:tr w14:paraId="741A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Align w:val="center"/>
          </w:tcPr>
          <w:p w14:paraId="788592E6">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条款</w:t>
            </w:r>
          </w:p>
        </w:tc>
        <w:tc>
          <w:tcPr>
            <w:tcW w:w="3500" w:type="dxa"/>
            <w:vAlign w:val="center"/>
          </w:tcPr>
          <w:p w14:paraId="2D2CB4F8">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评审因素</w:t>
            </w:r>
          </w:p>
        </w:tc>
        <w:tc>
          <w:tcPr>
            <w:tcW w:w="5456" w:type="dxa"/>
            <w:vAlign w:val="center"/>
          </w:tcPr>
          <w:p w14:paraId="0BF8BD36">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评审标准</w:t>
            </w:r>
          </w:p>
        </w:tc>
      </w:tr>
      <w:tr w14:paraId="074F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restart"/>
            <w:vAlign w:val="center"/>
          </w:tcPr>
          <w:p w14:paraId="3D69FA0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资格审查</w:t>
            </w:r>
            <w:r>
              <w:rPr>
                <w:rFonts w:hint="eastAsia" w:ascii="宋体" w:hAnsi="宋体" w:cs="宋体"/>
                <w:color w:val="auto"/>
                <w:kern w:val="0"/>
                <w:sz w:val="24"/>
                <w:szCs w:val="24"/>
                <w:highlight w:val="none"/>
              </w:rPr>
              <w:t>标准</w:t>
            </w:r>
          </w:p>
        </w:tc>
        <w:tc>
          <w:tcPr>
            <w:tcW w:w="3500" w:type="dxa"/>
            <w:vAlign w:val="center"/>
          </w:tcPr>
          <w:p w14:paraId="77B2C6D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b w:val="0"/>
                <w:bCs w:val="0"/>
                <w:color w:val="auto"/>
                <w:kern w:val="10"/>
                <w:sz w:val="24"/>
                <w:szCs w:val="24"/>
                <w:highlight w:val="none"/>
              </w:rPr>
              <w:t>具有独立承担民事责任的能力</w:t>
            </w:r>
          </w:p>
        </w:tc>
        <w:tc>
          <w:tcPr>
            <w:tcW w:w="5456" w:type="dxa"/>
            <w:vAlign w:val="center"/>
          </w:tcPr>
          <w:p w14:paraId="3653529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具备有效的营业执照</w:t>
            </w:r>
          </w:p>
        </w:tc>
      </w:tr>
      <w:tr w14:paraId="696B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continue"/>
            <w:vAlign w:val="center"/>
          </w:tcPr>
          <w:p w14:paraId="73A6AB5F">
            <w:pPr>
              <w:widowControl/>
              <w:spacing w:line="360" w:lineRule="auto"/>
              <w:jc w:val="center"/>
              <w:rPr>
                <w:rFonts w:hint="eastAsia" w:ascii="宋体" w:hAnsi="宋体" w:cs="宋体"/>
                <w:color w:val="auto"/>
                <w:kern w:val="0"/>
                <w:sz w:val="24"/>
                <w:szCs w:val="24"/>
                <w:highlight w:val="none"/>
              </w:rPr>
            </w:pPr>
          </w:p>
        </w:tc>
        <w:tc>
          <w:tcPr>
            <w:tcW w:w="3500" w:type="dxa"/>
            <w:vAlign w:val="center"/>
          </w:tcPr>
          <w:p w14:paraId="185BC66E">
            <w:pPr>
              <w:widowControl/>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b w:val="0"/>
                <w:bCs w:val="0"/>
                <w:color w:val="auto"/>
                <w:kern w:val="10"/>
                <w:sz w:val="24"/>
                <w:szCs w:val="24"/>
                <w:highlight w:val="none"/>
              </w:rPr>
              <w:t>具有良好的商业信誉和健全的财务会计制度</w:t>
            </w:r>
          </w:p>
        </w:tc>
        <w:tc>
          <w:tcPr>
            <w:tcW w:w="5456" w:type="dxa"/>
            <w:vAlign w:val="center"/>
          </w:tcPr>
          <w:p w14:paraId="623D0FF0">
            <w:pPr>
              <w:widowControl/>
              <w:spacing w:line="360" w:lineRule="auto"/>
              <w:jc w:val="center"/>
              <w:rPr>
                <w:rFonts w:hint="eastAsia" w:ascii="宋体" w:hAnsi="宋体" w:cs="宋体"/>
                <w:color w:val="auto"/>
                <w:kern w:val="0"/>
                <w:sz w:val="24"/>
                <w:szCs w:val="24"/>
                <w:highlight w:val="none"/>
              </w:rPr>
            </w:pPr>
            <w:r>
              <w:rPr>
                <w:rFonts w:hint="eastAsia" w:ascii="宋体" w:hAnsi="宋体" w:cs="宋体"/>
                <w:b w:val="0"/>
                <w:bCs w:val="0"/>
                <w:color w:val="auto"/>
                <w:kern w:val="10"/>
                <w:sz w:val="24"/>
                <w:szCs w:val="24"/>
                <w:highlight w:val="none"/>
                <w:lang w:val="en-US" w:eastAsia="zh-CN"/>
              </w:rPr>
              <w:t>自行承诺，格式自拟</w:t>
            </w:r>
          </w:p>
        </w:tc>
      </w:tr>
      <w:tr w14:paraId="6641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continue"/>
            <w:vAlign w:val="center"/>
          </w:tcPr>
          <w:p w14:paraId="0662BF72">
            <w:pPr>
              <w:widowControl/>
              <w:spacing w:line="360" w:lineRule="auto"/>
              <w:jc w:val="center"/>
              <w:rPr>
                <w:rFonts w:hint="eastAsia" w:ascii="宋体" w:hAnsi="宋体" w:cs="宋体"/>
                <w:color w:val="auto"/>
                <w:kern w:val="0"/>
                <w:sz w:val="24"/>
                <w:szCs w:val="24"/>
                <w:highlight w:val="none"/>
              </w:rPr>
            </w:pPr>
          </w:p>
        </w:tc>
        <w:tc>
          <w:tcPr>
            <w:tcW w:w="3500" w:type="dxa"/>
            <w:vAlign w:val="center"/>
          </w:tcPr>
          <w:p w14:paraId="080A1757">
            <w:pPr>
              <w:widowControl/>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b w:val="0"/>
                <w:bCs w:val="0"/>
                <w:color w:val="auto"/>
                <w:kern w:val="10"/>
                <w:sz w:val="24"/>
                <w:szCs w:val="24"/>
                <w:highlight w:val="none"/>
              </w:rPr>
              <w:t>具有履行合同所必需的设备和专业技术能力</w:t>
            </w:r>
          </w:p>
        </w:tc>
        <w:tc>
          <w:tcPr>
            <w:tcW w:w="5456" w:type="dxa"/>
            <w:vAlign w:val="center"/>
          </w:tcPr>
          <w:p w14:paraId="205DB4FE">
            <w:pPr>
              <w:widowControl/>
              <w:spacing w:line="360" w:lineRule="auto"/>
              <w:jc w:val="center"/>
              <w:rPr>
                <w:rFonts w:hint="eastAsia" w:ascii="宋体" w:hAnsi="宋体" w:cs="宋体"/>
                <w:color w:val="auto"/>
                <w:kern w:val="0"/>
                <w:sz w:val="24"/>
                <w:szCs w:val="24"/>
                <w:highlight w:val="none"/>
              </w:rPr>
            </w:pPr>
            <w:r>
              <w:rPr>
                <w:rFonts w:hint="eastAsia" w:ascii="宋体" w:hAnsi="宋体" w:cs="宋体"/>
                <w:b w:val="0"/>
                <w:bCs w:val="0"/>
                <w:color w:val="auto"/>
                <w:kern w:val="10"/>
                <w:sz w:val="24"/>
                <w:szCs w:val="24"/>
                <w:highlight w:val="none"/>
                <w:lang w:val="en-US" w:eastAsia="zh-CN"/>
              </w:rPr>
              <w:t>自行承诺，格式自拟</w:t>
            </w:r>
          </w:p>
        </w:tc>
      </w:tr>
      <w:tr w14:paraId="499D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continue"/>
            <w:vAlign w:val="center"/>
          </w:tcPr>
          <w:p w14:paraId="790EE11E">
            <w:pPr>
              <w:widowControl/>
              <w:spacing w:line="360" w:lineRule="auto"/>
              <w:jc w:val="center"/>
              <w:rPr>
                <w:rFonts w:hint="eastAsia" w:ascii="宋体" w:hAnsi="宋体" w:cs="宋体"/>
                <w:color w:val="auto"/>
                <w:kern w:val="0"/>
                <w:sz w:val="24"/>
                <w:szCs w:val="24"/>
                <w:highlight w:val="none"/>
              </w:rPr>
            </w:pPr>
          </w:p>
        </w:tc>
        <w:tc>
          <w:tcPr>
            <w:tcW w:w="3500" w:type="dxa"/>
            <w:vAlign w:val="center"/>
          </w:tcPr>
          <w:p w14:paraId="59F08798">
            <w:pPr>
              <w:widowControl/>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b w:val="0"/>
                <w:bCs w:val="0"/>
                <w:color w:val="auto"/>
                <w:kern w:val="10"/>
                <w:sz w:val="24"/>
                <w:szCs w:val="24"/>
                <w:highlight w:val="none"/>
              </w:rPr>
              <w:t>有依法缴纳税收和社会保障资金的良好记录</w:t>
            </w:r>
          </w:p>
        </w:tc>
        <w:tc>
          <w:tcPr>
            <w:tcW w:w="5456" w:type="dxa"/>
            <w:vAlign w:val="center"/>
          </w:tcPr>
          <w:p w14:paraId="29E804A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b w:val="0"/>
                <w:bCs w:val="0"/>
                <w:color w:val="auto"/>
                <w:kern w:val="10"/>
                <w:sz w:val="24"/>
                <w:szCs w:val="24"/>
                <w:highlight w:val="none"/>
                <w:lang w:val="en-US" w:eastAsia="zh-CN"/>
              </w:rPr>
              <w:t>自行承诺，格式自拟</w:t>
            </w:r>
          </w:p>
        </w:tc>
      </w:tr>
      <w:tr w14:paraId="5689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continue"/>
            <w:vAlign w:val="center"/>
          </w:tcPr>
          <w:p w14:paraId="66D3F615">
            <w:pPr>
              <w:widowControl/>
              <w:spacing w:line="360" w:lineRule="auto"/>
              <w:jc w:val="center"/>
              <w:rPr>
                <w:rFonts w:hint="eastAsia" w:ascii="宋体" w:hAnsi="宋体" w:cs="宋体"/>
                <w:color w:val="auto"/>
                <w:kern w:val="0"/>
                <w:sz w:val="24"/>
                <w:szCs w:val="24"/>
                <w:highlight w:val="none"/>
              </w:rPr>
            </w:pPr>
          </w:p>
        </w:tc>
        <w:tc>
          <w:tcPr>
            <w:tcW w:w="3500" w:type="dxa"/>
            <w:vAlign w:val="center"/>
          </w:tcPr>
          <w:p w14:paraId="104362D1">
            <w:pPr>
              <w:widowControl/>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b w:val="0"/>
                <w:bCs w:val="0"/>
                <w:color w:val="auto"/>
                <w:kern w:val="10"/>
                <w:sz w:val="24"/>
                <w:szCs w:val="24"/>
                <w:highlight w:val="none"/>
              </w:rPr>
              <w:t>参加政府采购活动前三年内，在经营活动中没有重大违法记录</w:t>
            </w:r>
          </w:p>
        </w:tc>
        <w:tc>
          <w:tcPr>
            <w:tcW w:w="5456" w:type="dxa"/>
            <w:vAlign w:val="center"/>
          </w:tcPr>
          <w:p w14:paraId="00596A54">
            <w:pPr>
              <w:widowControl/>
              <w:spacing w:line="360" w:lineRule="auto"/>
              <w:jc w:val="center"/>
              <w:rPr>
                <w:rFonts w:hint="eastAsia" w:ascii="宋体" w:hAnsi="宋体" w:cs="宋体"/>
                <w:color w:val="auto"/>
                <w:kern w:val="0"/>
                <w:sz w:val="24"/>
                <w:szCs w:val="24"/>
                <w:highlight w:val="none"/>
              </w:rPr>
            </w:pPr>
            <w:r>
              <w:rPr>
                <w:rFonts w:hint="eastAsia" w:ascii="宋体" w:hAnsi="宋体" w:cs="宋体"/>
                <w:b w:val="0"/>
                <w:bCs w:val="0"/>
                <w:color w:val="auto"/>
                <w:kern w:val="10"/>
                <w:sz w:val="24"/>
                <w:szCs w:val="24"/>
                <w:highlight w:val="none"/>
                <w:lang w:val="en-US" w:eastAsia="zh-CN"/>
              </w:rPr>
              <w:t>自行承诺，格式自拟</w:t>
            </w:r>
          </w:p>
        </w:tc>
      </w:tr>
      <w:tr w14:paraId="6ABA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continue"/>
            <w:vAlign w:val="center"/>
          </w:tcPr>
          <w:p w14:paraId="31A12C6B">
            <w:pPr>
              <w:widowControl/>
              <w:spacing w:line="360" w:lineRule="auto"/>
              <w:jc w:val="center"/>
              <w:rPr>
                <w:rFonts w:hint="eastAsia" w:ascii="宋体" w:hAnsi="宋体" w:cs="宋体"/>
                <w:color w:val="auto"/>
                <w:kern w:val="0"/>
                <w:sz w:val="24"/>
                <w:szCs w:val="24"/>
                <w:highlight w:val="none"/>
              </w:rPr>
            </w:pPr>
          </w:p>
        </w:tc>
        <w:tc>
          <w:tcPr>
            <w:tcW w:w="3500" w:type="dxa"/>
            <w:vAlign w:val="center"/>
          </w:tcPr>
          <w:p w14:paraId="2C985FC3">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w:t>
            </w:r>
          </w:p>
        </w:tc>
        <w:tc>
          <w:tcPr>
            <w:tcW w:w="5456" w:type="dxa"/>
            <w:vAlign w:val="center"/>
          </w:tcPr>
          <w:p w14:paraId="4DA76A2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须知前附表”第</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rPr>
              <w:t>项规定</w:t>
            </w:r>
          </w:p>
        </w:tc>
      </w:tr>
      <w:tr w14:paraId="4181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continue"/>
            <w:vAlign w:val="center"/>
          </w:tcPr>
          <w:p w14:paraId="6655762C">
            <w:pPr>
              <w:widowControl/>
              <w:spacing w:line="360" w:lineRule="auto"/>
              <w:jc w:val="center"/>
              <w:rPr>
                <w:rFonts w:hint="eastAsia" w:ascii="宋体" w:hAnsi="宋体" w:cs="宋体"/>
                <w:color w:val="auto"/>
                <w:kern w:val="0"/>
                <w:sz w:val="24"/>
                <w:szCs w:val="24"/>
                <w:highlight w:val="none"/>
              </w:rPr>
            </w:pPr>
          </w:p>
        </w:tc>
        <w:tc>
          <w:tcPr>
            <w:tcW w:w="3500" w:type="dxa"/>
            <w:vAlign w:val="center"/>
          </w:tcPr>
          <w:p w14:paraId="27E8DC02">
            <w:pPr>
              <w:widowControl/>
              <w:spacing w:line="360" w:lineRule="auto"/>
              <w:jc w:val="center"/>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设备要求</w:t>
            </w:r>
          </w:p>
        </w:tc>
        <w:tc>
          <w:tcPr>
            <w:tcW w:w="5456" w:type="dxa"/>
            <w:vAlign w:val="center"/>
          </w:tcPr>
          <w:p w14:paraId="7ED39EE9">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须知前附表”第</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rPr>
              <w:t>项规定</w:t>
            </w:r>
          </w:p>
        </w:tc>
      </w:tr>
      <w:tr w14:paraId="4AE0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continue"/>
            <w:vAlign w:val="center"/>
          </w:tcPr>
          <w:p w14:paraId="3FFAC201">
            <w:pPr>
              <w:widowControl/>
              <w:spacing w:line="360" w:lineRule="auto"/>
              <w:jc w:val="center"/>
              <w:rPr>
                <w:rFonts w:hint="eastAsia" w:ascii="宋体" w:hAnsi="宋体" w:cs="宋体"/>
                <w:color w:val="auto"/>
                <w:kern w:val="0"/>
                <w:sz w:val="24"/>
                <w:szCs w:val="24"/>
                <w:highlight w:val="none"/>
              </w:rPr>
            </w:pPr>
          </w:p>
        </w:tc>
        <w:tc>
          <w:tcPr>
            <w:tcW w:w="3500" w:type="dxa"/>
            <w:vAlign w:val="center"/>
          </w:tcPr>
          <w:p w14:paraId="7AF153A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信用记录</w:t>
            </w:r>
          </w:p>
        </w:tc>
        <w:tc>
          <w:tcPr>
            <w:tcW w:w="5456" w:type="dxa"/>
            <w:vAlign w:val="center"/>
          </w:tcPr>
          <w:p w14:paraId="6B1D5267">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须知前附表”第</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rPr>
              <w:t>项规定</w:t>
            </w:r>
          </w:p>
        </w:tc>
      </w:tr>
      <w:tr w14:paraId="4444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continue"/>
            <w:vAlign w:val="center"/>
          </w:tcPr>
          <w:p w14:paraId="5B0719B6">
            <w:pPr>
              <w:widowControl/>
              <w:spacing w:line="360" w:lineRule="auto"/>
              <w:jc w:val="center"/>
              <w:rPr>
                <w:rFonts w:hint="eastAsia" w:ascii="宋体" w:hAnsi="宋体" w:cs="宋体"/>
                <w:color w:val="auto"/>
                <w:kern w:val="0"/>
                <w:sz w:val="24"/>
                <w:szCs w:val="24"/>
                <w:highlight w:val="none"/>
              </w:rPr>
            </w:pPr>
          </w:p>
        </w:tc>
        <w:tc>
          <w:tcPr>
            <w:tcW w:w="3500" w:type="dxa"/>
            <w:vAlign w:val="center"/>
          </w:tcPr>
          <w:p w14:paraId="3849CFA5">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国家企业信用信息公示系统</w:t>
            </w:r>
          </w:p>
        </w:tc>
        <w:tc>
          <w:tcPr>
            <w:tcW w:w="5456" w:type="dxa"/>
            <w:vAlign w:val="center"/>
          </w:tcPr>
          <w:p w14:paraId="7F074986">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须知前附表”第1</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rPr>
              <w:t>项规定</w:t>
            </w:r>
          </w:p>
        </w:tc>
      </w:tr>
      <w:tr w14:paraId="749C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continue"/>
            <w:vAlign w:val="center"/>
          </w:tcPr>
          <w:p w14:paraId="3C709929">
            <w:pPr>
              <w:widowControl/>
              <w:spacing w:line="360" w:lineRule="auto"/>
              <w:jc w:val="center"/>
              <w:rPr>
                <w:rFonts w:hint="eastAsia" w:ascii="宋体" w:hAnsi="宋体" w:cs="宋体"/>
                <w:color w:val="auto"/>
                <w:kern w:val="0"/>
                <w:sz w:val="24"/>
                <w:szCs w:val="24"/>
                <w:highlight w:val="none"/>
              </w:rPr>
            </w:pPr>
          </w:p>
        </w:tc>
        <w:tc>
          <w:tcPr>
            <w:tcW w:w="3500" w:type="dxa"/>
            <w:vAlign w:val="center"/>
          </w:tcPr>
          <w:p w14:paraId="1C64C0E3">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其他要求</w:t>
            </w:r>
          </w:p>
        </w:tc>
        <w:tc>
          <w:tcPr>
            <w:tcW w:w="5456" w:type="dxa"/>
            <w:vAlign w:val="center"/>
          </w:tcPr>
          <w:p w14:paraId="238950EF">
            <w:pPr>
              <w:widowControl/>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符合</w:t>
            </w:r>
            <w:r>
              <w:rPr>
                <w:rFonts w:hint="eastAsia" w:ascii="宋体" w:hAnsi="宋体" w:cs="宋体"/>
                <w:color w:val="auto"/>
                <w:kern w:val="0"/>
                <w:sz w:val="24"/>
                <w:szCs w:val="24"/>
                <w:highlight w:val="none"/>
                <w:lang w:val="en-US" w:eastAsia="zh-CN"/>
              </w:rPr>
              <w:t>招标文件第二章 “投标人须知”规定</w:t>
            </w:r>
          </w:p>
        </w:tc>
      </w:tr>
    </w:tbl>
    <w:p w14:paraId="175318BC">
      <w:pPr>
        <w:spacing w:line="360" w:lineRule="auto"/>
        <w:rPr>
          <w:rFonts w:hint="eastAsia" w:ascii="宋体" w:hAnsi="宋体" w:cs="宋体"/>
          <w:b/>
          <w:color w:val="auto"/>
          <w:sz w:val="24"/>
          <w:szCs w:val="24"/>
          <w:highlight w:val="none"/>
        </w:rPr>
      </w:pPr>
    </w:p>
    <w:p w14:paraId="3AB2BE0F">
      <w:pPr>
        <w:pStyle w:val="4"/>
        <w:numPr>
          <w:ilvl w:val="0"/>
          <w:numId w:val="5"/>
        </w:numPr>
        <w:spacing w:line="360" w:lineRule="auto"/>
        <w:rPr>
          <w:rFonts w:hint="eastAsia" w:ascii="宋体" w:hAnsi="宋体" w:cs="宋体"/>
          <w:color w:val="auto"/>
          <w:sz w:val="24"/>
          <w:szCs w:val="24"/>
          <w:highlight w:val="none"/>
        </w:rPr>
      </w:pPr>
      <w:bookmarkStart w:id="122" w:name="_Toc1301"/>
      <w:bookmarkStart w:id="123" w:name="_Toc19241"/>
      <w:bookmarkStart w:id="124" w:name="_Toc16293"/>
      <w:bookmarkStart w:id="125" w:name="_Toc25514"/>
      <w:bookmarkStart w:id="126" w:name="_Toc16607"/>
      <w:bookmarkStart w:id="127" w:name="_Toc21337"/>
      <w:bookmarkStart w:id="128" w:name="_Toc23399"/>
      <w:bookmarkStart w:id="129" w:name="_Toc16266"/>
      <w:bookmarkStart w:id="130" w:name="_Toc465"/>
      <w:bookmarkStart w:id="131" w:name="_Toc2378"/>
      <w:r>
        <w:rPr>
          <w:rFonts w:hint="eastAsia" w:ascii="宋体" w:hAnsi="宋体" w:cs="宋体"/>
          <w:color w:val="auto"/>
          <w:sz w:val="24"/>
          <w:szCs w:val="24"/>
          <w:highlight w:val="none"/>
        </w:rPr>
        <w:t>资格审查</w:t>
      </w:r>
      <w:bookmarkEnd w:id="122"/>
      <w:bookmarkEnd w:id="123"/>
      <w:bookmarkEnd w:id="124"/>
      <w:bookmarkEnd w:id="125"/>
      <w:bookmarkEnd w:id="126"/>
      <w:bookmarkEnd w:id="127"/>
      <w:bookmarkEnd w:id="128"/>
      <w:bookmarkEnd w:id="129"/>
      <w:bookmarkEnd w:id="130"/>
      <w:bookmarkEnd w:id="131"/>
    </w:p>
    <w:p w14:paraId="0EC61B8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开标结束后，采购人对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的资格进行审查。</w:t>
      </w:r>
    </w:p>
    <w:p w14:paraId="1885F200">
      <w:pPr>
        <w:pStyle w:val="4"/>
        <w:numPr>
          <w:ilvl w:val="0"/>
          <w:numId w:val="5"/>
        </w:numPr>
        <w:spacing w:line="360" w:lineRule="auto"/>
        <w:rPr>
          <w:rFonts w:hint="eastAsia" w:ascii="宋体" w:hAnsi="宋体" w:cs="宋体"/>
          <w:color w:val="auto"/>
          <w:sz w:val="24"/>
          <w:szCs w:val="24"/>
          <w:highlight w:val="none"/>
        </w:rPr>
      </w:pPr>
      <w:bookmarkStart w:id="132" w:name="_Toc2610"/>
      <w:bookmarkStart w:id="133" w:name="_Toc29893"/>
      <w:bookmarkStart w:id="134" w:name="_Toc12137"/>
      <w:bookmarkStart w:id="135" w:name="_Toc18033"/>
      <w:bookmarkStart w:id="136" w:name="_Toc8631"/>
      <w:bookmarkStart w:id="137" w:name="_Toc3310"/>
      <w:bookmarkStart w:id="138" w:name="_Toc8280"/>
      <w:bookmarkStart w:id="139" w:name="_Toc23230"/>
      <w:bookmarkStart w:id="140" w:name="_Toc11542"/>
      <w:bookmarkStart w:id="141" w:name="_Toc21593"/>
      <w:r>
        <w:rPr>
          <w:rFonts w:hint="eastAsia" w:ascii="宋体" w:hAnsi="宋体" w:cs="宋体"/>
          <w:color w:val="auto"/>
          <w:sz w:val="24"/>
          <w:szCs w:val="24"/>
          <w:highlight w:val="none"/>
        </w:rPr>
        <w:t>资格审查标准</w:t>
      </w:r>
      <w:bookmarkEnd w:id="132"/>
      <w:bookmarkEnd w:id="133"/>
      <w:bookmarkEnd w:id="134"/>
      <w:bookmarkEnd w:id="135"/>
      <w:bookmarkEnd w:id="136"/>
      <w:bookmarkEnd w:id="137"/>
      <w:bookmarkEnd w:id="138"/>
      <w:bookmarkEnd w:id="139"/>
      <w:bookmarkEnd w:id="140"/>
      <w:bookmarkEnd w:id="141"/>
    </w:p>
    <w:p w14:paraId="724C430E">
      <w:pPr>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资格审查标准：见资格审查前附表。</w:t>
      </w:r>
    </w:p>
    <w:p w14:paraId="6258B92F">
      <w:pPr>
        <w:pStyle w:val="4"/>
        <w:numPr>
          <w:ilvl w:val="0"/>
          <w:numId w:val="5"/>
        </w:numPr>
        <w:spacing w:line="360" w:lineRule="auto"/>
        <w:rPr>
          <w:rFonts w:hint="eastAsia" w:ascii="宋体" w:hAnsi="宋体" w:cs="宋体"/>
          <w:color w:val="auto"/>
          <w:sz w:val="24"/>
          <w:szCs w:val="24"/>
          <w:highlight w:val="none"/>
        </w:rPr>
      </w:pPr>
      <w:bookmarkStart w:id="142" w:name="_Toc920"/>
      <w:bookmarkStart w:id="143" w:name="_Toc16031"/>
      <w:bookmarkStart w:id="144" w:name="_Toc10180"/>
      <w:bookmarkStart w:id="145" w:name="_Toc5940"/>
      <w:bookmarkStart w:id="146" w:name="_Toc2029"/>
      <w:bookmarkStart w:id="147" w:name="_Toc19383"/>
      <w:bookmarkStart w:id="148" w:name="_Toc2259"/>
      <w:bookmarkStart w:id="149" w:name="_Toc13549"/>
      <w:bookmarkStart w:id="150" w:name="_Toc14072"/>
      <w:bookmarkStart w:id="151" w:name="_Toc32375"/>
      <w:r>
        <w:rPr>
          <w:rFonts w:hint="eastAsia" w:ascii="宋体" w:hAnsi="宋体" w:cs="宋体"/>
          <w:color w:val="auto"/>
          <w:sz w:val="24"/>
          <w:szCs w:val="24"/>
          <w:highlight w:val="none"/>
        </w:rPr>
        <w:t>资格审查程序</w:t>
      </w:r>
      <w:bookmarkEnd w:id="142"/>
      <w:bookmarkEnd w:id="143"/>
      <w:bookmarkEnd w:id="144"/>
      <w:bookmarkEnd w:id="145"/>
      <w:bookmarkEnd w:id="146"/>
      <w:bookmarkEnd w:id="147"/>
      <w:bookmarkEnd w:id="148"/>
      <w:bookmarkEnd w:id="149"/>
      <w:bookmarkEnd w:id="150"/>
      <w:bookmarkEnd w:id="151"/>
    </w:p>
    <w:p w14:paraId="0CF469A4">
      <w:pPr>
        <w:autoSpaceDE w:val="0"/>
        <w:autoSpaceDN w:val="0"/>
        <w:adjustRightInd w:val="0"/>
        <w:spacing w:line="360" w:lineRule="auto"/>
        <w:ind w:right="40" w:firstLine="472" w:firstLineChars="200"/>
        <w:jc w:val="left"/>
        <w:rPr>
          <w:rFonts w:hint="eastAsia" w:ascii="宋体" w:hAnsi="宋体" w:cs="宋体"/>
          <w:color w:val="auto"/>
          <w:kern w:val="0"/>
          <w:sz w:val="24"/>
          <w:szCs w:val="24"/>
          <w:highlight w:val="none"/>
        </w:rPr>
      </w:pPr>
      <w:r>
        <w:rPr>
          <w:rFonts w:hint="eastAsia" w:ascii="宋体" w:hAnsi="宋体" w:cs="宋体"/>
          <w:color w:val="auto"/>
          <w:spacing w:val="-2"/>
          <w:kern w:val="0"/>
          <w:sz w:val="24"/>
          <w:szCs w:val="24"/>
          <w:highlight w:val="none"/>
        </w:rPr>
        <w:t>资格审查人员依</w:t>
      </w:r>
      <w:r>
        <w:rPr>
          <w:rFonts w:hint="eastAsia" w:ascii="宋体" w:hAnsi="宋体" w:cs="宋体"/>
          <w:color w:val="auto"/>
          <w:kern w:val="0"/>
          <w:sz w:val="24"/>
          <w:szCs w:val="24"/>
          <w:highlight w:val="none"/>
        </w:rPr>
        <w:t>据本</w:t>
      </w:r>
      <w:r>
        <w:rPr>
          <w:rFonts w:hint="eastAsia" w:ascii="宋体" w:hAnsi="宋体" w:cs="宋体"/>
          <w:color w:val="auto"/>
          <w:spacing w:val="-2"/>
          <w:kern w:val="0"/>
          <w:sz w:val="24"/>
          <w:szCs w:val="24"/>
          <w:highlight w:val="none"/>
        </w:rPr>
        <w:t>章</w:t>
      </w:r>
      <w:r>
        <w:rPr>
          <w:rFonts w:hint="eastAsia" w:ascii="宋体" w:hAnsi="宋体" w:cs="宋体"/>
          <w:color w:val="auto"/>
          <w:kern w:val="0"/>
          <w:sz w:val="24"/>
          <w:szCs w:val="24"/>
          <w:highlight w:val="none"/>
        </w:rPr>
        <w:t>资格审查前附表</w:t>
      </w:r>
      <w:r>
        <w:rPr>
          <w:rFonts w:hint="eastAsia" w:ascii="宋体" w:hAnsi="宋体" w:cs="宋体"/>
          <w:color w:val="auto"/>
          <w:spacing w:val="-2"/>
          <w:kern w:val="0"/>
          <w:sz w:val="24"/>
          <w:szCs w:val="24"/>
          <w:highlight w:val="none"/>
        </w:rPr>
        <w:t>规</w:t>
      </w:r>
      <w:r>
        <w:rPr>
          <w:rFonts w:hint="eastAsia" w:ascii="宋体" w:hAnsi="宋体" w:cs="宋体"/>
          <w:color w:val="auto"/>
          <w:kern w:val="0"/>
          <w:sz w:val="24"/>
          <w:szCs w:val="24"/>
          <w:highlight w:val="none"/>
        </w:rPr>
        <w:t>定</w:t>
      </w:r>
      <w:r>
        <w:rPr>
          <w:rFonts w:hint="eastAsia" w:ascii="宋体" w:hAnsi="宋体" w:cs="宋体"/>
          <w:color w:val="auto"/>
          <w:spacing w:val="-2"/>
          <w:kern w:val="0"/>
          <w:sz w:val="24"/>
          <w:szCs w:val="24"/>
          <w:highlight w:val="none"/>
        </w:rPr>
        <w:t>的标</w:t>
      </w:r>
      <w:r>
        <w:rPr>
          <w:rFonts w:hint="eastAsia" w:ascii="宋体" w:hAnsi="宋体" w:cs="宋体"/>
          <w:color w:val="auto"/>
          <w:kern w:val="0"/>
          <w:sz w:val="24"/>
          <w:szCs w:val="24"/>
          <w:highlight w:val="none"/>
        </w:rPr>
        <w:t>准对</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进</w:t>
      </w:r>
      <w:r>
        <w:rPr>
          <w:rFonts w:hint="eastAsia" w:ascii="宋体" w:hAnsi="宋体" w:cs="宋体"/>
          <w:color w:val="auto"/>
          <w:kern w:val="0"/>
          <w:sz w:val="24"/>
          <w:szCs w:val="24"/>
          <w:highlight w:val="none"/>
        </w:rPr>
        <w:t>行</w:t>
      </w:r>
      <w:r>
        <w:rPr>
          <w:rFonts w:hint="eastAsia" w:ascii="宋体" w:hAnsi="宋体" w:cs="宋体"/>
          <w:color w:val="auto"/>
          <w:spacing w:val="-2"/>
          <w:kern w:val="0"/>
          <w:sz w:val="24"/>
          <w:szCs w:val="24"/>
          <w:highlight w:val="none"/>
        </w:rPr>
        <w:t>资</w:t>
      </w:r>
      <w:r>
        <w:rPr>
          <w:rFonts w:hint="eastAsia" w:ascii="宋体" w:hAnsi="宋体" w:cs="宋体"/>
          <w:color w:val="auto"/>
          <w:kern w:val="0"/>
          <w:sz w:val="24"/>
          <w:szCs w:val="24"/>
          <w:highlight w:val="none"/>
        </w:rPr>
        <w:t>格审查，以确定</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是否具备投标资格，有一项不符合评审标准的，资格审查人员应当认定其投标无效，合格</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不足</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家的，不得评标。</w:t>
      </w:r>
    </w:p>
    <w:p w14:paraId="5D04BBE5">
      <w:pPr>
        <w:pStyle w:val="43"/>
        <w:spacing w:line="360" w:lineRule="auto"/>
        <w:rPr>
          <w:rFonts w:hint="eastAsia" w:ascii="宋体" w:hAnsi="宋体" w:cs="宋体"/>
          <w:color w:val="auto"/>
          <w:szCs w:val="24"/>
          <w:highlight w:val="none"/>
        </w:rPr>
        <w:sectPr>
          <w:pgSz w:w="11905" w:h="16838"/>
          <w:pgMar w:top="1134" w:right="1134" w:bottom="1134" w:left="1134" w:header="850" w:footer="992" w:gutter="0"/>
          <w:pgNumType w:fmt="decimal"/>
          <w:cols w:space="0" w:num="1"/>
          <w:docGrid w:type="lines" w:linePitch="317" w:charSpace="0"/>
        </w:sectPr>
      </w:pPr>
    </w:p>
    <w:p w14:paraId="57777A84">
      <w:pPr>
        <w:spacing w:line="360" w:lineRule="auto"/>
        <w:rPr>
          <w:rFonts w:hint="eastAsia" w:ascii="宋体" w:hAnsi="宋体" w:cs="宋体"/>
          <w:color w:val="auto"/>
          <w:sz w:val="24"/>
          <w:szCs w:val="24"/>
          <w:highlight w:val="none"/>
        </w:rPr>
      </w:pPr>
    </w:p>
    <w:p w14:paraId="600E6E6B">
      <w:pPr>
        <w:spacing w:line="360" w:lineRule="auto"/>
        <w:rPr>
          <w:rFonts w:hint="eastAsia" w:ascii="宋体" w:hAnsi="宋体" w:cs="宋体"/>
          <w:color w:val="auto"/>
          <w:sz w:val="24"/>
          <w:szCs w:val="24"/>
          <w:highlight w:val="none"/>
        </w:rPr>
      </w:pPr>
    </w:p>
    <w:p w14:paraId="3A6025BD">
      <w:pPr>
        <w:spacing w:line="360" w:lineRule="auto"/>
        <w:rPr>
          <w:rFonts w:hint="eastAsia" w:ascii="宋体" w:hAnsi="宋体" w:cs="宋体"/>
          <w:color w:val="auto"/>
          <w:sz w:val="24"/>
          <w:szCs w:val="24"/>
          <w:highlight w:val="none"/>
        </w:rPr>
      </w:pPr>
    </w:p>
    <w:p w14:paraId="32166654">
      <w:pPr>
        <w:spacing w:line="360" w:lineRule="auto"/>
        <w:rPr>
          <w:rFonts w:hint="eastAsia" w:ascii="宋体" w:hAnsi="宋体" w:cs="宋体"/>
          <w:color w:val="auto"/>
          <w:sz w:val="24"/>
          <w:szCs w:val="24"/>
          <w:highlight w:val="none"/>
        </w:rPr>
      </w:pPr>
    </w:p>
    <w:p w14:paraId="6F6F287F">
      <w:pPr>
        <w:spacing w:line="360" w:lineRule="auto"/>
        <w:rPr>
          <w:rFonts w:hint="eastAsia" w:ascii="宋体" w:hAnsi="宋体" w:cs="宋体"/>
          <w:color w:val="auto"/>
          <w:sz w:val="24"/>
          <w:szCs w:val="24"/>
          <w:highlight w:val="none"/>
        </w:rPr>
      </w:pPr>
    </w:p>
    <w:p w14:paraId="211B8501">
      <w:pPr>
        <w:spacing w:line="360" w:lineRule="auto"/>
        <w:rPr>
          <w:rFonts w:hint="eastAsia" w:ascii="宋体" w:hAnsi="宋体" w:cs="宋体"/>
          <w:color w:val="auto"/>
          <w:sz w:val="24"/>
          <w:szCs w:val="24"/>
          <w:highlight w:val="none"/>
        </w:rPr>
      </w:pPr>
    </w:p>
    <w:p w14:paraId="4F2A20E7">
      <w:pPr>
        <w:spacing w:line="360" w:lineRule="auto"/>
        <w:rPr>
          <w:rFonts w:hint="eastAsia" w:ascii="宋体" w:hAnsi="宋体" w:cs="宋体"/>
          <w:color w:val="auto"/>
          <w:sz w:val="24"/>
          <w:szCs w:val="24"/>
          <w:highlight w:val="none"/>
        </w:rPr>
      </w:pPr>
    </w:p>
    <w:p w14:paraId="1EBF62A1">
      <w:pPr>
        <w:spacing w:line="360" w:lineRule="auto"/>
        <w:rPr>
          <w:rFonts w:hint="eastAsia" w:ascii="宋体" w:hAnsi="宋体" w:cs="宋体"/>
          <w:color w:val="auto"/>
          <w:sz w:val="24"/>
          <w:szCs w:val="24"/>
          <w:highlight w:val="none"/>
        </w:rPr>
      </w:pPr>
    </w:p>
    <w:p w14:paraId="5099FF9A">
      <w:pPr>
        <w:pStyle w:val="44"/>
        <w:spacing w:line="360" w:lineRule="auto"/>
        <w:rPr>
          <w:rFonts w:hAnsi="宋体" w:cs="宋体"/>
          <w:color w:val="auto"/>
          <w:szCs w:val="24"/>
          <w:highlight w:val="none"/>
        </w:rPr>
      </w:pPr>
    </w:p>
    <w:p w14:paraId="67D5AEE7">
      <w:pPr>
        <w:pStyle w:val="44"/>
        <w:spacing w:line="360" w:lineRule="auto"/>
        <w:rPr>
          <w:rFonts w:hAnsi="宋体" w:cs="宋体"/>
          <w:color w:val="auto"/>
          <w:szCs w:val="24"/>
          <w:highlight w:val="none"/>
        </w:rPr>
      </w:pPr>
    </w:p>
    <w:p w14:paraId="246AB4E0">
      <w:pPr>
        <w:pStyle w:val="44"/>
        <w:spacing w:line="360" w:lineRule="auto"/>
        <w:rPr>
          <w:rFonts w:hAnsi="宋体" w:cs="宋体"/>
          <w:color w:val="auto"/>
          <w:szCs w:val="24"/>
          <w:highlight w:val="none"/>
        </w:rPr>
      </w:pPr>
    </w:p>
    <w:p w14:paraId="7B674578">
      <w:pPr>
        <w:pStyle w:val="44"/>
        <w:spacing w:line="360" w:lineRule="auto"/>
        <w:rPr>
          <w:rFonts w:hAnsi="宋体" w:cs="宋体"/>
          <w:color w:val="auto"/>
          <w:szCs w:val="24"/>
          <w:highlight w:val="none"/>
        </w:rPr>
      </w:pPr>
    </w:p>
    <w:p w14:paraId="425EDD1B">
      <w:pPr>
        <w:pStyle w:val="2"/>
        <w:spacing w:line="360" w:lineRule="auto"/>
        <w:jc w:val="center"/>
        <w:rPr>
          <w:rFonts w:hint="eastAsia" w:ascii="宋体" w:hAnsi="宋体" w:cs="宋体"/>
          <w:color w:val="auto"/>
          <w:szCs w:val="44"/>
          <w:highlight w:val="none"/>
        </w:rPr>
      </w:pPr>
      <w:bookmarkStart w:id="152" w:name="_Toc10622"/>
      <w:bookmarkStart w:id="153" w:name="_Toc224"/>
      <w:bookmarkStart w:id="154" w:name="_Toc11130"/>
      <w:bookmarkStart w:id="155" w:name="_Toc6837"/>
      <w:bookmarkStart w:id="156" w:name="_Toc26616"/>
      <w:bookmarkStart w:id="157" w:name="_Toc3916"/>
      <w:bookmarkStart w:id="158" w:name="_Toc15954"/>
      <w:bookmarkStart w:id="159" w:name="_Toc24503"/>
      <w:bookmarkStart w:id="160" w:name="_Toc23608"/>
      <w:r>
        <w:rPr>
          <w:rFonts w:hint="eastAsia" w:ascii="宋体" w:hAnsi="宋体" w:cs="宋体"/>
          <w:color w:val="auto"/>
          <w:szCs w:val="44"/>
          <w:highlight w:val="none"/>
        </w:rPr>
        <w:t>第四章</w:t>
      </w:r>
      <w:r>
        <w:rPr>
          <w:rFonts w:ascii="宋体" w:hAnsi="宋体" w:cs="宋体"/>
          <w:color w:val="auto"/>
          <w:szCs w:val="44"/>
          <w:highlight w:val="none"/>
        </w:rPr>
        <w:t xml:space="preserve">  </w:t>
      </w:r>
      <w:r>
        <w:rPr>
          <w:rFonts w:hint="eastAsia" w:ascii="宋体" w:hAnsi="宋体" w:cs="宋体"/>
          <w:color w:val="auto"/>
          <w:szCs w:val="44"/>
          <w:highlight w:val="none"/>
        </w:rPr>
        <w:t>评标办法</w:t>
      </w:r>
      <w:r>
        <w:rPr>
          <w:rFonts w:hint="eastAsia" w:ascii="宋体" w:hAnsi="宋体" w:cs="宋体"/>
          <w:bCs/>
          <w:color w:val="auto"/>
          <w:szCs w:val="44"/>
          <w:highlight w:val="none"/>
        </w:rPr>
        <w:t>（综合评分法）</w:t>
      </w:r>
      <w:bookmarkEnd w:id="152"/>
      <w:bookmarkEnd w:id="153"/>
      <w:bookmarkEnd w:id="154"/>
      <w:bookmarkEnd w:id="155"/>
      <w:bookmarkEnd w:id="156"/>
      <w:bookmarkEnd w:id="157"/>
      <w:bookmarkEnd w:id="158"/>
      <w:bookmarkEnd w:id="159"/>
      <w:bookmarkEnd w:id="160"/>
    </w:p>
    <w:p w14:paraId="3FBDA9D6">
      <w:pPr>
        <w:spacing w:line="360" w:lineRule="auto"/>
        <w:rPr>
          <w:rFonts w:hint="eastAsia" w:ascii="宋体" w:hAnsi="宋体" w:cs="宋体"/>
          <w:color w:val="auto"/>
          <w:sz w:val="24"/>
          <w:szCs w:val="24"/>
          <w:highlight w:val="none"/>
        </w:rPr>
      </w:pPr>
    </w:p>
    <w:p w14:paraId="3FFD3C88">
      <w:pPr>
        <w:spacing w:line="360" w:lineRule="auto"/>
        <w:rPr>
          <w:rFonts w:hint="eastAsia" w:ascii="宋体" w:hAnsi="宋体" w:cs="宋体"/>
          <w:color w:val="auto"/>
          <w:sz w:val="24"/>
          <w:szCs w:val="24"/>
          <w:highlight w:val="none"/>
        </w:rPr>
      </w:pPr>
    </w:p>
    <w:p w14:paraId="0CF19436">
      <w:pPr>
        <w:spacing w:line="360" w:lineRule="auto"/>
        <w:rPr>
          <w:rFonts w:hint="eastAsia" w:ascii="宋体" w:hAnsi="宋体" w:cs="宋体"/>
          <w:color w:val="auto"/>
          <w:sz w:val="24"/>
          <w:szCs w:val="24"/>
          <w:highlight w:val="none"/>
        </w:rPr>
      </w:pPr>
    </w:p>
    <w:p w14:paraId="7D19156A">
      <w:pPr>
        <w:spacing w:line="360" w:lineRule="auto"/>
        <w:rPr>
          <w:rFonts w:hint="eastAsia" w:ascii="宋体" w:hAnsi="宋体" w:cs="宋体"/>
          <w:color w:val="auto"/>
          <w:sz w:val="24"/>
          <w:szCs w:val="24"/>
          <w:highlight w:val="none"/>
        </w:rPr>
      </w:pPr>
    </w:p>
    <w:p w14:paraId="6251B913">
      <w:pPr>
        <w:spacing w:line="360" w:lineRule="auto"/>
        <w:rPr>
          <w:rFonts w:hint="eastAsia" w:ascii="宋体" w:hAnsi="宋体" w:cs="宋体"/>
          <w:color w:val="auto"/>
          <w:sz w:val="24"/>
          <w:szCs w:val="24"/>
          <w:highlight w:val="none"/>
        </w:rPr>
      </w:pPr>
    </w:p>
    <w:p w14:paraId="0A731209">
      <w:pPr>
        <w:spacing w:line="360" w:lineRule="auto"/>
        <w:rPr>
          <w:rFonts w:hint="eastAsia" w:ascii="宋体" w:hAnsi="宋体" w:cs="宋体"/>
          <w:color w:val="auto"/>
          <w:sz w:val="24"/>
          <w:szCs w:val="24"/>
          <w:highlight w:val="none"/>
        </w:rPr>
      </w:pPr>
    </w:p>
    <w:p w14:paraId="72C76B05">
      <w:pPr>
        <w:spacing w:line="360" w:lineRule="auto"/>
        <w:rPr>
          <w:rFonts w:hint="eastAsia" w:ascii="宋体" w:hAnsi="宋体" w:cs="宋体"/>
          <w:color w:val="auto"/>
          <w:sz w:val="24"/>
          <w:szCs w:val="24"/>
          <w:highlight w:val="none"/>
        </w:rPr>
      </w:pPr>
    </w:p>
    <w:p w14:paraId="3DD66427">
      <w:pPr>
        <w:spacing w:line="360" w:lineRule="auto"/>
        <w:rPr>
          <w:rFonts w:hint="eastAsia" w:ascii="宋体" w:hAnsi="宋体" w:cs="宋体"/>
          <w:color w:val="auto"/>
          <w:sz w:val="24"/>
          <w:szCs w:val="24"/>
          <w:highlight w:val="none"/>
        </w:rPr>
      </w:pPr>
    </w:p>
    <w:p w14:paraId="0D2F82A8">
      <w:pPr>
        <w:spacing w:line="360" w:lineRule="auto"/>
        <w:rPr>
          <w:rFonts w:hint="eastAsia" w:ascii="宋体" w:hAnsi="宋体" w:cs="宋体"/>
          <w:color w:val="auto"/>
          <w:sz w:val="24"/>
          <w:szCs w:val="24"/>
          <w:highlight w:val="none"/>
        </w:rPr>
      </w:pPr>
    </w:p>
    <w:p w14:paraId="19721F68">
      <w:pPr>
        <w:pStyle w:val="24"/>
        <w:ind w:firstLine="200"/>
        <w:rPr>
          <w:rFonts w:hint="eastAsia" w:ascii="宋体" w:hAnsi="宋体" w:cs="宋体"/>
          <w:color w:val="auto"/>
          <w:sz w:val="24"/>
          <w:szCs w:val="24"/>
          <w:highlight w:val="none"/>
        </w:rPr>
      </w:pPr>
    </w:p>
    <w:p w14:paraId="22181D87">
      <w:pPr>
        <w:pStyle w:val="24"/>
        <w:ind w:firstLine="200"/>
        <w:rPr>
          <w:rFonts w:hint="eastAsia" w:ascii="宋体" w:hAnsi="宋体" w:cs="宋体"/>
          <w:color w:val="auto"/>
          <w:sz w:val="24"/>
          <w:szCs w:val="24"/>
          <w:highlight w:val="none"/>
        </w:rPr>
      </w:pPr>
    </w:p>
    <w:p w14:paraId="1A2D94F9">
      <w:pPr>
        <w:pStyle w:val="65"/>
        <w:spacing w:line="360" w:lineRule="auto"/>
        <w:rPr>
          <w:rFonts w:hint="eastAsia" w:ascii="宋体" w:hAnsi="宋体" w:cs="宋体"/>
          <w:color w:val="auto"/>
          <w:szCs w:val="24"/>
          <w:highlight w:val="none"/>
        </w:rPr>
      </w:pPr>
    </w:p>
    <w:p w14:paraId="0D649363">
      <w:pPr>
        <w:pStyle w:val="65"/>
        <w:spacing w:line="360" w:lineRule="auto"/>
        <w:rPr>
          <w:rFonts w:hint="eastAsia" w:ascii="宋体" w:hAnsi="宋体" w:cs="宋体"/>
          <w:color w:val="auto"/>
          <w:szCs w:val="24"/>
          <w:highlight w:val="none"/>
        </w:rPr>
      </w:pPr>
    </w:p>
    <w:p w14:paraId="31E56132">
      <w:pPr>
        <w:pStyle w:val="65"/>
        <w:spacing w:line="360" w:lineRule="auto"/>
        <w:rPr>
          <w:rFonts w:hint="eastAsia" w:ascii="宋体" w:hAnsi="宋体" w:cs="宋体"/>
          <w:color w:val="auto"/>
          <w:szCs w:val="24"/>
          <w:highlight w:val="none"/>
        </w:rPr>
      </w:pPr>
    </w:p>
    <w:p w14:paraId="2F2C0F82">
      <w:pPr>
        <w:pStyle w:val="65"/>
        <w:spacing w:line="360" w:lineRule="auto"/>
        <w:rPr>
          <w:rFonts w:hint="eastAsia" w:ascii="宋体" w:hAnsi="宋体" w:cs="宋体"/>
          <w:color w:val="auto"/>
          <w:szCs w:val="24"/>
          <w:highlight w:val="none"/>
        </w:rPr>
      </w:pPr>
    </w:p>
    <w:p w14:paraId="5E8DA7EA">
      <w:pPr>
        <w:pStyle w:val="65"/>
        <w:spacing w:line="360" w:lineRule="auto"/>
        <w:rPr>
          <w:rFonts w:hint="eastAsia" w:ascii="宋体" w:hAnsi="宋体" w:cs="宋体"/>
          <w:color w:val="auto"/>
          <w:szCs w:val="24"/>
          <w:highlight w:val="none"/>
        </w:rPr>
      </w:pPr>
    </w:p>
    <w:p w14:paraId="4D2BE5AD">
      <w:pPr>
        <w:spacing w:line="360" w:lineRule="auto"/>
        <w:rPr>
          <w:rFonts w:hint="eastAsia" w:ascii="宋体" w:hAnsi="宋体" w:cs="宋体"/>
          <w:color w:val="auto"/>
          <w:sz w:val="24"/>
          <w:szCs w:val="24"/>
          <w:highlight w:val="none"/>
        </w:rPr>
      </w:pPr>
    </w:p>
    <w:p w14:paraId="1D794E63">
      <w:pPr>
        <w:spacing w:line="360" w:lineRule="auto"/>
        <w:jc w:val="center"/>
        <w:outlineLvl w:val="1"/>
        <w:rPr>
          <w:rFonts w:hint="eastAsia" w:ascii="宋体" w:hAnsi="宋体" w:cs="宋体"/>
          <w:b/>
          <w:bCs/>
          <w:color w:val="auto"/>
          <w:sz w:val="24"/>
          <w:szCs w:val="24"/>
          <w:highlight w:val="none"/>
        </w:rPr>
      </w:pPr>
      <w:bookmarkStart w:id="161" w:name="_Toc7823"/>
      <w:bookmarkStart w:id="162" w:name="_Toc11937"/>
      <w:bookmarkStart w:id="163" w:name="_Toc144974437"/>
      <w:bookmarkStart w:id="164" w:name="_Toc423780638"/>
      <w:bookmarkStart w:id="165" w:name="_Toc32002"/>
      <w:bookmarkStart w:id="166" w:name="_Toc28361"/>
      <w:bookmarkStart w:id="167" w:name="_Toc2877"/>
      <w:bookmarkStart w:id="168" w:name="_Toc20677"/>
      <w:bookmarkStart w:id="169" w:name="_Toc152047233"/>
      <w:bookmarkStart w:id="170" w:name="_Toc294807282"/>
      <w:r>
        <w:rPr>
          <w:rFonts w:hint="eastAsia" w:ascii="宋体" w:hAnsi="宋体" w:cs="宋体"/>
          <w:b/>
          <w:bCs/>
          <w:color w:val="auto"/>
          <w:sz w:val="24"/>
          <w:szCs w:val="24"/>
          <w:highlight w:val="none"/>
        </w:rPr>
        <w:t>评标办法前附表</w:t>
      </w:r>
      <w:bookmarkEnd w:id="161"/>
      <w:bookmarkEnd w:id="162"/>
      <w:bookmarkEnd w:id="163"/>
      <w:bookmarkEnd w:id="164"/>
      <w:bookmarkEnd w:id="165"/>
      <w:bookmarkEnd w:id="166"/>
      <w:bookmarkEnd w:id="167"/>
      <w:bookmarkEnd w:id="168"/>
      <w:bookmarkEnd w:id="169"/>
      <w:bookmarkEnd w:id="170"/>
    </w:p>
    <w:tbl>
      <w:tblPr>
        <w:tblStyle w:val="26"/>
        <w:tblW w:w="9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95"/>
        <w:gridCol w:w="1118"/>
        <w:gridCol w:w="1720"/>
        <w:gridCol w:w="5785"/>
      </w:tblGrid>
      <w:tr w14:paraId="3A395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67" w:type="dxa"/>
            <w:gridSpan w:val="3"/>
            <w:vAlign w:val="center"/>
          </w:tcPr>
          <w:p w14:paraId="659728C7">
            <w:pPr>
              <w:spacing w:line="360" w:lineRule="auto"/>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条款号</w:t>
            </w:r>
          </w:p>
        </w:tc>
        <w:tc>
          <w:tcPr>
            <w:tcW w:w="1720" w:type="dxa"/>
            <w:vAlign w:val="center"/>
          </w:tcPr>
          <w:p w14:paraId="17BB046B">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评审因素</w:t>
            </w:r>
          </w:p>
        </w:tc>
        <w:tc>
          <w:tcPr>
            <w:tcW w:w="5785" w:type="dxa"/>
            <w:vAlign w:val="center"/>
          </w:tcPr>
          <w:p w14:paraId="0313A401">
            <w:pPr>
              <w:spacing w:line="360" w:lineRule="auto"/>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评审标准</w:t>
            </w:r>
          </w:p>
        </w:tc>
      </w:tr>
      <w:tr w14:paraId="24F2D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754" w:type="dxa"/>
            <w:vMerge w:val="restart"/>
            <w:vAlign w:val="center"/>
          </w:tcPr>
          <w:p w14:paraId="1C0691EF">
            <w:pPr>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2.1</w:t>
            </w:r>
          </w:p>
        </w:tc>
        <w:tc>
          <w:tcPr>
            <w:tcW w:w="1213" w:type="dxa"/>
            <w:gridSpan w:val="2"/>
            <w:vMerge w:val="restart"/>
            <w:vAlign w:val="center"/>
          </w:tcPr>
          <w:p w14:paraId="0915AB3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符合性评审标准</w:t>
            </w:r>
          </w:p>
        </w:tc>
        <w:tc>
          <w:tcPr>
            <w:tcW w:w="1720" w:type="dxa"/>
            <w:vAlign w:val="center"/>
          </w:tcPr>
          <w:p w14:paraId="3E2628F3">
            <w:pPr>
              <w:widowControl/>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标书雷同性分析</w:t>
            </w:r>
          </w:p>
        </w:tc>
        <w:tc>
          <w:tcPr>
            <w:tcW w:w="5785" w:type="dxa"/>
            <w:vAlign w:val="center"/>
          </w:tcPr>
          <w:p w14:paraId="7B1F3D2D">
            <w:pPr>
              <w:widowControl/>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投标（响应）文件制作机器码不能一致</w:t>
            </w:r>
          </w:p>
        </w:tc>
      </w:tr>
      <w:tr w14:paraId="23551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754" w:type="dxa"/>
            <w:vMerge w:val="continue"/>
            <w:vAlign w:val="center"/>
          </w:tcPr>
          <w:p w14:paraId="76EFFAE0">
            <w:pPr>
              <w:spacing w:line="360" w:lineRule="auto"/>
              <w:jc w:val="center"/>
              <w:rPr>
                <w:rFonts w:hint="eastAsia" w:ascii="宋体" w:hAnsi="宋体" w:cs="宋体"/>
                <w:color w:val="auto"/>
                <w:sz w:val="24"/>
                <w:szCs w:val="24"/>
                <w:highlight w:val="none"/>
              </w:rPr>
            </w:pPr>
          </w:p>
        </w:tc>
        <w:tc>
          <w:tcPr>
            <w:tcW w:w="1213" w:type="dxa"/>
            <w:gridSpan w:val="2"/>
            <w:vMerge w:val="continue"/>
            <w:vAlign w:val="center"/>
          </w:tcPr>
          <w:p w14:paraId="4B3FBCF5">
            <w:pPr>
              <w:spacing w:line="360" w:lineRule="auto"/>
              <w:jc w:val="center"/>
              <w:rPr>
                <w:rFonts w:hint="eastAsia" w:ascii="宋体" w:hAnsi="宋体" w:cs="宋体"/>
                <w:color w:val="auto"/>
                <w:sz w:val="24"/>
                <w:szCs w:val="24"/>
                <w:highlight w:val="none"/>
              </w:rPr>
            </w:pPr>
          </w:p>
        </w:tc>
        <w:tc>
          <w:tcPr>
            <w:tcW w:w="1720" w:type="dxa"/>
            <w:vAlign w:val="center"/>
          </w:tcPr>
          <w:p w14:paraId="0F47100E">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投标人名称</w:t>
            </w:r>
          </w:p>
        </w:tc>
        <w:tc>
          <w:tcPr>
            <w:tcW w:w="5785" w:type="dxa"/>
            <w:vAlign w:val="center"/>
          </w:tcPr>
          <w:p w14:paraId="117144F3">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与营业执照一致</w:t>
            </w:r>
          </w:p>
        </w:tc>
      </w:tr>
      <w:tr w14:paraId="7DFCB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4FB2E6D1">
            <w:pPr>
              <w:spacing w:line="360" w:lineRule="auto"/>
              <w:ind w:firstLine="480" w:firstLineChars="200"/>
              <w:rPr>
                <w:rFonts w:hint="eastAsia" w:ascii="宋体" w:hAnsi="宋体" w:cs="宋体"/>
                <w:color w:val="auto"/>
                <w:sz w:val="24"/>
                <w:szCs w:val="24"/>
                <w:highlight w:val="none"/>
              </w:rPr>
            </w:pPr>
          </w:p>
        </w:tc>
        <w:tc>
          <w:tcPr>
            <w:tcW w:w="1213" w:type="dxa"/>
            <w:gridSpan w:val="2"/>
            <w:vMerge w:val="continue"/>
          </w:tcPr>
          <w:p w14:paraId="3DB844F4">
            <w:pPr>
              <w:spacing w:line="360" w:lineRule="auto"/>
              <w:ind w:firstLine="480" w:firstLineChars="200"/>
              <w:rPr>
                <w:rFonts w:hint="eastAsia" w:ascii="宋体" w:hAnsi="宋体" w:cs="宋体"/>
                <w:color w:val="auto"/>
                <w:sz w:val="24"/>
                <w:szCs w:val="24"/>
                <w:highlight w:val="none"/>
              </w:rPr>
            </w:pPr>
          </w:p>
        </w:tc>
        <w:tc>
          <w:tcPr>
            <w:tcW w:w="1720" w:type="dxa"/>
            <w:vAlign w:val="center"/>
          </w:tcPr>
          <w:p w14:paraId="79D6EF7B">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投标文件签署、盖章</w:t>
            </w:r>
          </w:p>
        </w:tc>
        <w:tc>
          <w:tcPr>
            <w:tcW w:w="5785" w:type="dxa"/>
            <w:vAlign w:val="center"/>
          </w:tcPr>
          <w:p w14:paraId="397416FF">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投标文件按招标文件要求签署、盖章</w:t>
            </w:r>
          </w:p>
        </w:tc>
      </w:tr>
      <w:tr w14:paraId="5AC97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7AA9A45F">
            <w:pPr>
              <w:spacing w:line="360" w:lineRule="auto"/>
              <w:ind w:firstLine="480" w:firstLineChars="200"/>
              <w:rPr>
                <w:rFonts w:hint="eastAsia" w:ascii="宋体" w:hAnsi="宋体" w:cs="宋体"/>
                <w:color w:val="auto"/>
                <w:sz w:val="24"/>
                <w:szCs w:val="24"/>
                <w:highlight w:val="none"/>
              </w:rPr>
            </w:pPr>
          </w:p>
        </w:tc>
        <w:tc>
          <w:tcPr>
            <w:tcW w:w="1213" w:type="dxa"/>
            <w:gridSpan w:val="2"/>
            <w:vMerge w:val="continue"/>
          </w:tcPr>
          <w:p w14:paraId="4E46E835">
            <w:pPr>
              <w:spacing w:line="360" w:lineRule="auto"/>
              <w:ind w:firstLine="480" w:firstLineChars="200"/>
              <w:rPr>
                <w:rFonts w:hint="eastAsia" w:ascii="宋体" w:hAnsi="宋体" w:cs="宋体"/>
                <w:color w:val="auto"/>
                <w:sz w:val="24"/>
                <w:szCs w:val="24"/>
                <w:highlight w:val="none"/>
              </w:rPr>
            </w:pPr>
          </w:p>
        </w:tc>
        <w:tc>
          <w:tcPr>
            <w:tcW w:w="1720" w:type="dxa"/>
            <w:vAlign w:val="center"/>
          </w:tcPr>
          <w:p w14:paraId="0D91CE28">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报价唯一</w:t>
            </w:r>
          </w:p>
        </w:tc>
        <w:tc>
          <w:tcPr>
            <w:tcW w:w="5785" w:type="dxa"/>
            <w:vAlign w:val="center"/>
          </w:tcPr>
          <w:p w14:paraId="37064979">
            <w:pPr>
              <w:widowControl/>
              <w:spacing w:line="360" w:lineRule="auto"/>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只有一个有效投标报价</w:t>
            </w:r>
          </w:p>
        </w:tc>
      </w:tr>
      <w:tr w14:paraId="28362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7A3CFD40">
            <w:pPr>
              <w:spacing w:line="360" w:lineRule="auto"/>
              <w:ind w:firstLine="480" w:firstLineChars="200"/>
              <w:rPr>
                <w:rFonts w:hint="eastAsia" w:ascii="宋体" w:hAnsi="宋体" w:cs="宋体"/>
                <w:color w:val="auto"/>
                <w:sz w:val="24"/>
                <w:szCs w:val="24"/>
                <w:highlight w:val="none"/>
              </w:rPr>
            </w:pPr>
          </w:p>
        </w:tc>
        <w:tc>
          <w:tcPr>
            <w:tcW w:w="1213" w:type="dxa"/>
            <w:gridSpan w:val="2"/>
            <w:vMerge w:val="continue"/>
          </w:tcPr>
          <w:p w14:paraId="57CA6620">
            <w:pPr>
              <w:spacing w:line="360" w:lineRule="auto"/>
              <w:ind w:firstLine="480" w:firstLineChars="200"/>
              <w:rPr>
                <w:rFonts w:hint="eastAsia" w:ascii="宋体" w:hAnsi="宋体" w:cs="宋体"/>
                <w:color w:val="auto"/>
                <w:sz w:val="24"/>
                <w:szCs w:val="24"/>
                <w:highlight w:val="none"/>
              </w:rPr>
            </w:pPr>
          </w:p>
        </w:tc>
        <w:tc>
          <w:tcPr>
            <w:tcW w:w="1720" w:type="dxa"/>
            <w:vAlign w:val="center"/>
          </w:tcPr>
          <w:p w14:paraId="3FC1986B">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投标报价</w:t>
            </w:r>
          </w:p>
        </w:tc>
        <w:tc>
          <w:tcPr>
            <w:tcW w:w="5785" w:type="dxa"/>
            <w:vAlign w:val="center"/>
          </w:tcPr>
          <w:p w14:paraId="254D6EF6">
            <w:pPr>
              <w:widowControl/>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报价未超过招标文件中规定的最高限价</w:t>
            </w:r>
          </w:p>
        </w:tc>
      </w:tr>
      <w:tr w14:paraId="76055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1E29945D">
            <w:pPr>
              <w:spacing w:line="360" w:lineRule="auto"/>
              <w:ind w:firstLine="480" w:firstLineChars="200"/>
              <w:rPr>
                <w:rFonts w:hint="eastAsia" w:ascii="宋体" w:hAnsi="宋体" w:cs="宋体"/>
                <w:color w:val="auto"/>
                <w:sz w:val="24"/>
                <w:szCs w:val="24"/>
                <w:highlight w:val="none"/>
              </w:rPr>
            </w:pPr>
          </w:p>
        </w:tc>
        <w:tc>
          <w:tcPr>
            <w:tcW w:w="1213" w:type="dxa"/>
            <w:gridSpan w:val="2"/>
            <w:vMerge w:val="continue"/>
          </w:tcPr>
          <w:p w14:paraId="7FB56F1A">
            <w:pPr>
              <w:spacing w:line="360" w:lineRule="auto"/>
              <w:ind w:firstLine="480" w:firstLineChars="200"/>
              <w:rPr>
                <w:rFonts w:hint="eastAsia" w:ascii="宋体" w:hAnsi="宋体" w:cs="宋体"/>
                <w:color w:val="auto"/>
                <w:sz w:val="24"/>
                <w:szCs w:val="24"/>
                <w:highlight w:val="none"/>
              </w:rPr>
            </w:pPr>
          </w:p>
        </w:tc>
        <w:tc>
          <w:tcPr>
            <w:tcW w:w="1720" w:type="dxa"/>
            <w:vAlign w:val="center"/>
          </w:tcPr>
          <w:p w14:paraId="16732E9F">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投标内容</w:t>
            </w:r>
          </w:p>
        </w:tc>
        <w:tc>
          <w:tcPr>
            <w:tcW w:w="5785" w:type="dxa"/>
            <w:vAlign w:val="center"/>
          </w:tcPr>
          <w:p w14:paraId="104C34EA">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须知前附表”规定</w:t>
            </w:r>
          </w:p>
        </w:tc>
      </w:tr>
      <w:tr w14:paraId="47A7F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52CF0663">
            <w:pPr>
              <w:spacing w:line="360" w:lineRule="auto"/>
              <w:ind w:firstLine="480" w:firstLineChars="200"/>
              <w:rPr>
                <w:rFonts w:hint="eastAsia" w:ascii="宋体" w:hAnsi="宋体" w:cs="宋体"/>
                <w:color w:val="auto"/>
                <w:sz w:val="24"/>
                <w:szCs w:val="24"/>
                <w:highlight w:val="none"/>
              </w:rPr>
            </w:pPr>
          </w:p>
        </w:tc>
        <w:tc>
          <w:tcPr>
            <w:tcW w:w="1213" w:type="dxa"/>
            <w:gridSpan w:val="2"/>
            <w:vMerge w:val="continue"/>
          </w:tcPr>
          <w:p w14:paraId="7724DEF3">
            <w:pPr>
              <w:spacing w:line="360" w:lineRule="auto"/>
              <w:ind w:firstLine="480" w:firstLineChars="200"/>
              <w:rPr>
                <w:rFonts w:hint="eastAsia" w:ascii="宋体" w:hAnsi="宋体" w:cs="宋体"/>
                <w:color w:val="auto"/>
                <w:sz w:val="24"/>
                <w:szCs w:val="24"/>
                <w:highlight w:val="none"/>
              </w:rPr>
            </w:pPr>
          </w:p>
        </w:tc>
        <w:tc>
          <w:tcPr>
            <w:tcW w:w="1720" w:type="dxa"/>
            <w:vAlign w:val="center"/>
          </w:tcPr>
          <w:p w14:paraId="3C8C8BE8">
            <w:pPr>
              <w:widowControl/>
              <w:spacing w:line="360" w:lineRule="auto"/>
              <w:jc w:val="center"/>
              <w:rPr>
                <w:rFonts w:hint="eastAsia" w:ascii="宋体" w:hAnsi="宋体" w:cs="宋体"/>
                <w:color w:val="auto"/>
                <w:sz w:val="24"/>
                <w:szCs w:val="24"/>
                <w:highlight w:val="none"/>
              </w:rPr>
            </w:pPr>
            <w:r>
              <w:rPr>
                <w:rFonts w:hint="eastAsia" w:ascii="宋体" w:hAnsi="宋体" w:cs="宋体"/>
                <w:b w:val="0"/>
                <w:bCs w:val="0"/>
                <w:color w:val="auto"/>
                <w:kern w:val="10"/>
                <w:sz w:val="24"/>
                <w:szCs w:val="24"/>
                <w:highlight w:val="none"/>
                <w:lang w:val="en-US" w:eastAsia="zh-CN"/>
              </w:rPr>
              <w:t>服务期限</w:t>
            </w:r>
          </w:p>
        </w:tc>
        <w:tc>
          <w:tcPr>
            <w:tcW w:w="5785" w:type="dxa"/>
            <w:vAlign w:val="center"/>
          </w:tcPr>
          <w:p w14:paraId="40FC4D0E">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须知前附表”规定</w:t>
            </w:r>
          </w:p>
        </w:tc>
      </w:tr>
      <w:tr w14:paraId="110C2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59279CB6">
            <w:pPr>
              <w:spacing w:line="360" w:lineRule="auto"/>
              <w:ind w:firstLine="480" w:firstLineChars="200"/>
              <w:rPr>
                <w:rFonts w:hint="eastAsia" w:ascii="宋体" w:hAnsi="宋体" w:cs="宋体"/>
                <w:color w:val="auto"/>
                <w:sz w:val="24"/>
                <w:szCs w:val="24"/>
                <w:highlight w:val="none"/>
              </w:rPr>
            </w:pPr>
          </w:p>
        </w:tc>
        <w:tc>
          <w:tcPr>
            <w:tcW w:w="1213" w:type="dxa"/>
            <w:gridSpan w:val="2"/>
            <w:vMerge w:val="continue"/>
          </w:tcPr>
          <w:p w14:paraId="4A1ABC5C">
            <w:pPr>
              <w:spacing w:line="360" w:lineRule="auto"/>
              <w:ind w:firstLine="480" w:firstLineChars="200"/>
              <w:rPr>
                <w:rFonts w:hint="eastAsia" w:ascii="宋体" w:hAnsi="宋体" w:cs="宋体"/>
                <w:color w:val="auto"/>
                <w:sz w:val="24"/>
                <w:szCs w:val="24"/>
                <w:highlight w:val="none"/>
              </w:rPr>
            </w:pPr>
          </w:p>
        </w:tc>
        <w:tc>
          <w:tcPr>
            <w:tcW w:w="1720" w:type="dxa"/>
            <w:vAlign w:val="center"/>
          </w:tcPr>
          <w:p w14:paraId="450D6454">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交付期限</w:t>
            </w:r>
          </w:p>
        </w:tc>
        <w:tc>
          <w:tcPr>
            <w:tcW w:w="5785" w:type="dxa"/>
            <w:vAlign w:val="center"/>
          </w:tcPr>
          <w:p w14:paraId="2CCD6919">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须知前附表”规定</w:t>
            </w:r>
          </w:p>
        </w:tc>
      </w:tr>
      <w:tr w14:paraId="11AB4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07FC65DD">
            <w:pPr>
              <w:spacing w:line="360" w:lineRule="auto"/>
              <w:ind w:firstLine="480" w:firstLineChars="200"/>
              <w:rPr>
                <w:rFonts w:hint="eastAsia" w:ascii="宋体" w:hAnsi="宋体" w:cs="宋体"/>
                <w:color w:val="auto"/>
                <w:sz w:val="24"/>
                <w:szCs w:val="24"/>
                <w:highlight w:val="none"/>
              </w:rPr>
            </w:pPr>
          </w:p>
        </w:tc>
        <w:tc>
          <w:tcPr>
            <w:tcW w:w="1213" w:type="dxa"/>
            <w:gridSpan w:val="2"/>
            <w:vMerge w:val="continue"/>
          </w:tcPr>
          <w:p w14:paraId="16E34C28">
            <w:pPr>
              <w:spacing w:line="360" w:lineRule="auto"/>
              <w:ind w:firstLine="480" w:firstLineChars="200"/>
              <w:rPr>
                <w:rFonts w:hint="eastAsia" w:ascii="宋体" w:hAnsi="宋体" w:cs="宋体"/>
                <w:color w:val="auto"/>
                <w:sz w:val="24"/>
                <w:szCs w:val="24"/>
                <w:highlight w:val="none"/>
              </w:rPr>
            </w:pPr>
          </w:p>
        </w:tc>
        <w:tc>
          <w:tcPr>
            <w:tcW w:w="1720" w:type="dxa"/>
            <w:vAlign w:val="center"/>
          </w:tcPr>
          <w:p w14:paraId="73998E2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终端质保期</w:t>
            </w:r>
          </w:p>
        </w:tc>
        <w:tc>
          <w:tcPr>
            <w:tcW w:w="5785" w:type="dxa"/>
            <w:vAlign w:val="center"/>
          </w:tcPr>
          <w:p w14:paraId="49CD37D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须知前附表”规定</w:t>
            </w:r>
          </w:p>
        </w:tc>
      </w:tr>
      <w:tr w14:paraId="75FC3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263E7336">
            <w:pPr>
              <w:spacing w:line="360" w:lineRule="auto"/>
              <w:ind w:firstLine="480" w:firstLineChars="200"/>
              <w:rPr>
                <w:rFonts w:hint="eastAsia" w:ascii="宋体" w:hAnsi="宋体" w:cs="宋体"/>
                <w:color w:val="auto"/>
                <w:sz w:val="24"/>
                <w:szCs w:val="24"/>
                <w:highlight w:val="none"/>
              </w:rPr>
            </w:pPr>
          </w:p>
        </w:tc>
        <w:tc>
          <w:tcPr>
            <w:tcW w:w="1213" w:type="dxa"/>
            <w:gridSpan w:val="2"/>
            <w:vMerge w:val="continue"/>
          </w:tcPr>
          <w:p w14:paraId="4DC1A2FC">
            <w:pPr>
              <w:spacing w:line="360" w:lineRule="auto"/>
              <w:ind w:firstLine="480" w:firstLineChars="200"/>
              <w:rPr>
                <w:rFonts w:hint="eastAsia" w:ascii="宋体" w:hAnsi="宋体" w:cs="宋体"/>
                <w:color w:val="auto"/>
                <w:sz w:val="24"/>
                <w:szCs w:val="24"/>
                <w:highlight w:val="none"/>
              </w:rPr>
            </w:pPr>
          </w:p>
        </w:tc>
        <w:tc>
          <w:tcPr>
            <w:tcW w:w="1720" w:type="dxa"/>
            <w:vAlign w:val="center"/>
          </w:tcPr>
          <w:p w14:paraId="43927959">
            <w:pPr>
              <w:widowControl/>
              <w:spacing w:line="360" w:lineRule="auto"/>
              <w:jc w:val="center"/>
              <w:rPr>
                <w:rFonts w:hint="eastAsia" w:ascii="宋体" w:hAnsi="宋体" w:cs="宋体"/>
                <w:color w:val="auto"/>
                <w:spacing w:val="1"/>
                <w:kern w:val="0"/>
                <w:sz w:val="24"/>
                <w:szCs w:val="24"/>
                <w:highlight w:val="none"/>
              </w:rPr>
            </w:pPr>
            <w:r>
              <w:rPr>
                <w:rFonts w:hint="eastAsia" w:ascii="宋体" w:hAnsi="宋体" w:cs="宋体"/>
                <w:color w:val="auto"/>
                <w:kern w:val="0"/>
                <w:sz w:val="24"/>
                <w:szCs w:val="24"/>
                <w:highlight w:val="none"/>
              </w:rPr>
              <w:t>质量要求</w:t>
            </w:r>
          </w:p>
        </w:tc>
        <w:tc>
          <w:tcPr>
            <w:tcW w:w="5785" w:type="dxa"/>
            <w:vAlign w:val="center"/>
          </w:tcPr>
          <w:p w14:paraId="5584A064">
            <w:pPr>
              <w:widowControl/>
              <w:spacing w:line="360" w:lineRule="auto"/>
              <w:jc w:val="center"/>
              <w:rPr>
                <w:rFonts w:hint="eastAsia" w:ascii="宋体" w:hAnsi="宋体" w:cs="宋体"/>
                <w:color w:val="auto"/>
                <w:spacing w:val="1"/>
                <w:kern w:val="0"/>
                <w:sz w:val="24"/>
                <w:szCs w:val="24"/>
                <w:highlight w:val="none"/>
              </w:rPr>
            </w:pPr>
            <w:r>
              <w:rPr>
                <w:rFonts w:hint="eastAsia" w:ascii="宋体" w:hAnsi="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须知前附表”规定</w:t>
            </w:r>
          </w:p>
        </w:tc>
      </w:tr>
      <w:tr w14:paraId="6D073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58A86C00">
            <w:pPr>
              <w:spacing w:line="360" w:lineRule="auto"/>
              <w:ind w:firstLine="480" w:firstLineChars="200"/>
              <w:rPr>
                <w:rFonts w:hint="eastAsia" w:ascii="宋体" w:hAnsi="宋体" w:cs="宋体"/>
                <w:color w:val="auto"/>
                <w:sz w:val="24"/>
                <w:szCs w:val="24"/>
                <w:highlight w:val="none"/>
              </w:rPr>
            </w:pPr>
          </w:p>
        </w:tc>
        <w:tc>
          <w:tcPr>
            <w:tcW w:w="1213" w:type="dxa"/>
            <w:gridSpan w:val="2"/>
            <w:vMerge w:val="continue"/>
          </w:tcPr>
          <w:p w14:paraId="5E25BBC6">
            <w:pPr>
              <w:spacing w:line="360" w:lineRule="auto"/>
              <w:ind w:firstLine="480" w:firstLineChars="200"/>
              <w:rPr>
                <w:rFonts w:hint="eastAsia" w:ascii="宋体" w:hAnsi="宋体" w:cs="宋体"/>
                <w:color w:val="auto"/>
                <w:sz w:val="24"/>
                <w:szCs w:val="24"/>
                <w:highlight w:val="none"/>
              </w:rPr>
            </w:pPr>
          </w:p>
        </w:tc>
        <w:tc>
          <w:tcPr>
            <w:tcW w:w="1720" w:type="dxa"/>
            <w:vAlign w:val="center"/>
          </w:tcPr>
          <w:p w14:paraId="63132A90">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5785" w:type="dxa"/>
            <w:vAlign w:val="center"/>
          </w:tcPr>
          <w:p w14:paraId="271DB089">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须知前附表”规定</w:t>
            </w:r>
          </w:p>
        </w:tc>
      </w:tr>
      <w:tr w14:paraId="7AE2E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745ADD72">
            <w:pPr>
              <w:spacing w:line="360" w:lineRule="auto"/>
              <w:ind w:firstLine="480" w:firstLineChars="200"/>
              <w:rPr>
                <w:rFonts w:hint="eastAsia" w:ascii="宋体" w:hAnsi="宋体" w:cs="宋体"/>
                <w:color w:val="auto"/>
                <w:sz w:val="24"/>
                <w:szCs w:val="24"/>
                <w:highlight w:val="none"/>
              </w:rPr>
            </w:pPr>
          </w:p>
        </w:tc>
        <w:tc>
          <w:tcPr>
            <w:tcW w:w="1213" w:type="dxa"/>
            <w:gridSpan w:val="2"/>
            <w:vMerge w:val="continue"/>
          </w:tcPr>
          <w:p w14:paraId="4381637C">
            <w:pPr>
              <w:spacing w:line="360" w:lineRule="auto"/>
              <w:ind w:firstLine="480" w:firstLineChars="200"/>
              <w:rPr>
                <w:rFonts w:hint="eastAsia" w:ascii="宋体" w:hAnsi="宋体" w:cs="宋体"/>
                <w:color w:val="auto"/>
                <w:sz w:val="24"/>
                <w:szCs w:val="24"/>
                <w:highlight w:val="none"/>
              </w:rPr>
            </w:pPr>
          </w:p>
        </w:tc>
        <w:tc>
          <w:tcPr>
            <w:tcW w:w="1720" w:type="dxa"/>
            <w:vAlign w:val="center"/>
          </w:tcPr>
          <w:p w14:paraId="336F10D2">
            <w:pPr>
              <w:widowControl/>
              <w:spacing w:line="360" w:lineRule="auto"/>
              <w:jc w:val="center"/>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其他要求</w:t>
            </w:r>
          </w:p>
        </w:tc>
        <w:tc>
          <w:tcPr>
            <w:tcW w:w="5785" w:type="dxa"/>
            <w:vAlign w:val="center"/>
          </w:tcPr>
          <w:p w14:paraId="6B976FA6">
            <w:pPr>
              <w:widowControl/>
              <w:spacing w:line="360" w:lineRule="auto"/>
              <w:jc w:val="center"/>
              <w:rPr>
                <w:rFonts w:hint="eastAsia" w:ascii="宋体" w:hAnsi="宋体" w:cs="宋体"/>
                <w:color w:val="auto"/>
                <w:spacing w:val="1"/>
                <w:kern w:val="0"/>
                <w:sz w:val="24"/>
                <w:szCs w:val="24"/>
                <w:highlight w:val="none"/>
              </w:rPr>
            </w:pPr>
            <w:r>
              <w:rPr>
                <w:rFonts w:hint="eastAsia" w:ascii="宋体" w:hAnsi="宋体" w:cs="宋体"/>
                <w:color w:val="auto"/>
                <w:kern w:val="0"/>
                <w:sz w:val="24"/>
                <w:szCs w:val="24"/>
                <w:highlight w:val="none"/>
              </w:rPr>
              <w:t>符合</w:t>
            </w:r>
            <w:r>
              <w:rPr>
                <w:rFonts w:hint="eastAsia" w:ascii="宋体" w:hAnsi="宋体" w:cs="宋体"/>
                <w:color w:val="auto"/>
                <w:kern w:val="0"/>
                <w:sz w:val="24"/>
                <w:szCs w:val="24"/>
                <w:highlight w:val="none"/>
                <w:lang w:val="en-US" w:eastAsia="zh-CN"/>
              </w:rPr>
              <w:t>招标文件</w:t>
            </w:r>
            <w:r>
              <w:rPr>
                <w:rFonts w:hint="eastAsia" w:ascii="宋体" w:hAnsi="宋体" w:cs="宋体"/>
                <w:color w:val="auto"/>
                <w:spacing w:val="1"/>
                <w:kern w:val="0"/>
                <w:sz w:val="24"/>
                <w:szCs w:val="24"/>
                <w:highlight w:val="none"/>
                <w:lang w:val="en-US" w:eastAsia="zh-CN"/>
              </w:rPr>
              <w:t>其他实质性内容</w:t>
            </w:r>
          </w:p>
        </w:tc>
      </w:tr>
      <w:tr w14:paraId="6083A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967" w:type="dxa"/>
            <w:gridSpan w:val="3"/>
            <w:tcBorders>
              <w:right w:val="single" w:color="auto" w:sz="4" w:space="0"/>
            </w:tcBorders>
            <w:vAlign w:val="center"/>
          </w:tcPr>
          <w:p w14:paraId="78F0FD4E">
            <w:pPr>
              <w:spacing w:line="360" w:lineRule="auto"/>
              <w:jc w:val="center"/>
              <w:rPr>
                <w:rFonts w:hint="eastAsia" w:ascii="宋体" w:hAnsi="宋体" w:cs="宋体"/>
                <w:b/>
                <w:bCs/>
                <w:color w:val="auto"/>
                <w:sz w:val="24"/>
                <w:szCs w:val="24"/>
                <w:highlight w:val="none"/>
              </w:rPr>
            </w:pPr>
            <w:bookmarkStart w:id="171" w:name="_Toc152047234"/>
            <w:bookmarkStart w:id="172" w:name="_Toc11863"/>
            <w:bookmarkStart w:id="173" w:name="_Toc423780639"/>
            <w:bookmarkStart w:id="174" w:name="_Toc19977"/>
            <w:bookmarkStart w:id="175" w:name="_Toc9703"/>
            <w:bookmarkStart w:id="176" w:name="_Toc144974438"/>
            <w:bookmarkStart w:id="177" w:name="_Toc29194"/>
            <w:bookmarkStart w:id="178" w:name="_Toc294807283"/>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款</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号</w:t>
            </w:r>
          </w:p>
        </w:tc>
        <w:tc>
          <w:tcPr>
            <w:tcW w:w="1720" w:type="dxa"/>
            <w:tcBorders>
              <w:left w:val="single" w:color="auto" w:sz="4" w:space="0"/>
            </w:tcBorders>
            <w:vAlign w:val="center"/>
          </w:tcPr>
          <w:p w14:paraId="0114DA66">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条款内容</w:t>
            </w:r>
          </w:p>
        </w:tc>
        <w:tc>
          <w:tcPr>
            <w:tcW w:w="5785" w:type="dxa"/>
            <w:vAlign w:val="center"/>
          </w:tcPr>
          <w:p w14:paraId="4611C8E1">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编</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列</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内</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容</w:t>
            </w:r>
          </w:p>
        </w:tc>
      </w:tr>
      <w:tr w14:paraId="7BB7D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967" w:type="dxa"/>
            <w:gridSpan w:val="3"/>
            <w:tcBorders>
              <w:right w:val="single" w:color="auto" w:sz="4" w:space="0"/>
            </w:tcBorders>
            <w:vAlign w:val="center"/>
          </w:tcPr>
          <w:p w14:paraId="55AE93AF">
            <w:pPr>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2.2.1</w:t>
            </w:r>
          </w:p>
        </w:tc>
        <w:tc>
          <w:tcPr>
            <w:tcW w:w="1720" w:type="dxa"/>
            <w:tcBorders>
              <w:left w:val="single" w:color="auto" w:sz="4" w:space="0"/>
            </w:tcBorders>
            <w:vAlign w:val="center"/>
          </w:tcPr>
          <w:p w14:paraId="11FE5E36">
            <w:pPr>
              <w:pStyle w:val="69"/>
              <w:wordWrap w:val="0"/>
              <w:snapToGrid w:val="0"/>
              <w:spacing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698DCA80">
            <w:pPr>
              <w:pStyle w:val="69"/>
              <w:wordWrap w:val="0"/>
              <w:snapToGrid w:val="0"/>
              <w:spacing w:line="288" w:lineRule="auto"/>
              <w:ind w:left="0" w:leftChars="0"/>
              <w:jc w:val="left"/>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(总分100分)</w:t>
            </w:r>
          </w:p>
        </w:tc>
        <w:tc>
          <w:tcPr>
            <w:tcW w:w="5785" w:type="dxa"/>
            <w:vAlign w:val="center"/>
          </w:tcPr>
          <w:p w14:paraId="57798CB6">
            <w:pPr>
              <w:pStyle w:val="69"/>
              <w:wordWrap w:val="0"/>
              <w:snapToGrid w:val="0"/>
              <w:spacing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商务部分： </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29DA652D">
            <w:pPr>
              <w:pStyle w:val="69"/>
              <w:wordWrap w:val="0"/>
              <w:snapToGrid w:val="0"/>
              <w:spacing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 xml:space="preserve"> 50 </w:t>
            </w:r>
            <w:r>
              <w:rPr>
                <w:rFonts w:hint="eastAsia" w:ascii="宋体" w:hAnsi="宋体" w:eastAsia="宋体" w:cs="宋体"/>
                <w:color w:val="auto"/>
                <w:sz w:val="24"/>
                <w:szCs w:val="24"/>
                <w:highlight w:val="none"/>
              </w:rPr>
              <w:t>分</w:t>
            </w:r>
          </w:p>
          <w:p w14:paraId="32DAD79A">
            <w:pPr>
              <w:pStyle w:val="69"/>
              <w:wordWrap w:val="0"/>
              <w:snapToGrid w:val="0"/>
              <w:spacing w:line="288" w:lineRule="auto"/>
              <w:ind w:left="0" w:leftChars="0"/>
              <w:jc w:val="left"/>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投标报价： </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r>
      <w:tr w14:paraId="5A982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67" w:type="dxa"/>
            <w:gridSpan w:val="3"/>
            <w:vAlign w:val="center"/>
          </w:tcPr>
          <w:p w14:paraId="66562158">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条款号</w:t>
            </w:r>
          </w:p>
        </w:tc>
        <w:tc>
          <w:tcPr>
            <w:tcW w:w="1720" w:type="dxa"/>
            <w:vAlign w:val="center"/>
          </w:tcPr>
          <w:p w14:paraId="33978AE8">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评分标准</w:t>
            </w:r>
          </w:p>
        </w:tc>
        <w:tc>
          <w:tcPr>
            <w:tcW w:w="5785" w:type="dxa"/>
            <w:vAlign w:val="center"/>
          </w:tcPr>
          <w:p w14:paraId="454A7A89">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评分因素</w:t>
            </w:r>
          </w:p>
        </w:tc>
      </w:tr>
      <w:tr w14:paraId="76879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5" w:hRule="atLeast"/>
          <w:jc w:val="center"/>
        </w:trPr>
        <w:tc>
          <w:tcPr>
            <w:tcW w:w="849" w:type="dxa"/>
            <w:gridSpan w:val="2"/>
            <w:tcBorders>
              <w:right w:val="single" w:color="auto" w:sz="4" w:space="0"/>
            </w:tcBorders>
            <w:vAlign w:val="center"/>
          </w:tcPr>
          <w:p w14:paraId="07762BD5">
            <w:pPr>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2.2.2</w:t>
            </w: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w:t>
            </w:r>
          </w:p>
        </w:tc>
        <w:tc>
          <w:tcPr>
            <w:tcW w:w="1118" w:type="dxa"/>
            <w:tcBorders>
              <w:left w:val="single" w:color="auto" w:sz="4" w:space="0"/>
            </w:tcBorders>
            <w:vAlign w:val="center"/>
          </w:tcPr>
          <w:p w14:paraId="29D09D5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投标报价评分标准</w:t>
            </w:r>
          </w:p>
          <w:p w14:paraId="18CCB4E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1720" w:type="dxa"/>
            <w:vAlign w:val="center"/>
          </w:tcPr>
          <w:p w14:paraId="0DED5CE4">
            <w:pPr>
              <w:pStyle w:val="48"/>
              <w:spacing w:line="360" w:lineRule="auto"/>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投标报价</w:t>
            </w:r>
          </w:p>
          <w:p w14:paraId="36804D1C">
            <w:pPr>
              <w:pStyle w:val="48"/>
              <w:spacing w:line="360" w:lineRule="auto"/>
              <w:jc w:val="center"/>
              <w:rPr>
                <w:rFonts w:hint="default" w:ascii="宋体" w:hAnsi="宋体" w:cs="宋体"/>
                <w:b/>
                <w:bCs/>
                <w:color w:val="auto"/>
                <w:sz w:val="24"/>
                <w:szCs w:val="24"/>
                <w:highlight w:val="none"/>
                <w:lang w:val="en-US" w:eastAsia="zh-CN"/>
              </w:rPr>
            </w:pPr>
          </w:p>
        </w:tc>
        <w:tc>
          <w:tcPr>
            <w:tcW w:w="5785" w:type="dxa"/>
            <w:tcBorders>
              <w:bottom w:val="single" w:color="000000" w:sz="2" w:space="0"/>
            </w:tcBorders>
            <w:vAlign w:val="center"/>
          </w:tcPr>
          <w:p w14:paraId="2CE4EC36">
            <w:pPr>
              <w:numPr>
                <w:ilvl w:val="0"/>
                <w:numId w:val="0"/>
              </w:numPr>
              <w:tabs>
                <w:tab w:val="left" w:pos="420"/>
              </w:tabs>
              <w:spacing w:line="360" w:lineRule="auto"/>
              <w:contextualSpacing/>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计算方法如下：</w:t>
            </w:r>
          </w:p>
          <w:p w14:paraId="35BD065C">
            <w:pPr>
              <w:numPr>
                <w:ilvl w:val="0"/>
                <w:numId w:val="0"/>
              </w:numPr>
              <w:tabs>
                <w:tab w:val="left" w:pos="420"/>
              </w:tabs>
              <w:spacing w:line="360" w:lineRule="auto"/>
              <w:contextualSpacing/>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评标基准值=有效</w:t>
            </w:r>
            <w:r>
              <w:rPr>
                <w:rFonts w:hint="eastAsia" w:ascii="宋体" w:hAnsi="宋体" w:eastAsia="宋体" w:cs="宋体"/>
                <w:color w:val="auto"/>
                <w:sz w:val="24"/>
                <w:szCs w:val="24"/>
                <w:highlight w:val="none"/>
                <w:lang w:val="en-US" w:eastAsia="zh-CN" w:bidi="ar"/>
              </w:rPr>
              <w:t>投标人</w:t>
            </w:r>
            <w:r>
              <w:rPr>
                <w:rFonts w:hint="eastAsia" w:ascii="宋体" w:hAnsi="宋体" w:eastAsia="宋体" w:cs="宋体"/>
                <w:color w:val="auto"/>
                <w:sz w:val="24"/>
                <w:szCs w:val="24"/>
                <w:highlight w:val="none"/>
                <w:lang w:bidi="ar"/>
              </w:rPr>
              <w:t>的最低投标报价</w:t>
            </w:r>
          </w:p>
          <w:p w14:paraId="6EACDF45">
            <w:pPr>
              <w:numPr>
                <w:ilvl w:val="0"/>
                <w:numId w:val="0"/>
              </w:numPr>
              <w:tabs>
                <w:tab w:val="left" w:pos="420"/>
              </w:tabs>
              <w:spacing w:line="360" w:lineRule="auto"/>
              <w:contextualSpacing/>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投标报价得分=评标基准值/投标报价×</w:t>
            </w: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0</w:t>
            </w:r>
          </w:p>
          <w:p w14:paraId="791C4AB3">
            <w:pPr>
              <w:numPr>
                <w:ilvl w:val="0"/>
                <w:numId w:val="0"/>
              </w:numPr>
              <w:tabs>
                <w:tab w:val="left" w:pos="420"/>
              </w:tabs>
              <w:spacing w:line="360" w:lineRule="auto"/>
              <w:ind w:firstLine="480" w:firstLineChars="200"/>
              <w:contextualSpacing/>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为贯彻落实《政府采购促进中小企业发展管理办法》（财库[2020]46号）、《关于进一步加大政府采购支持中小企业力度的通知》财库[2022]19号、《关于促进残疾人就业政府采购政策的通知》（财库[2017]141号）、《关于政府采购支持监狱企业发展有关问题的通知》（财库[2014]68号）等规定，促进中小型企业的发展，对于非专门面向中小企业的，评审时给予小型或微型企业、监狱企业、残疾人福利性单位</w:t>
            </w:r>
            <w:r>
              <w:rPr>
                <w:rFonts w:hint="eastAsia" w:ascii="宋体" w:hAnsi="宋体" w:eastAsia="宋体" w:cs="宋体"/>
                <w:b/>
                <w:bCs/>
                <w:color w:val="auto"/>
                <w:sz w:val="24"/>
                <w:szCs w:val="24"/>
                <w:highlight w:val="none"/>
                <w:lang w:bidi="ar"/>
              </w:rPr>
              <w:t>10%</w:t>
            </w:r>
            <w:r>
              <w:rPr>
                <w:rFonts w:hint="eastAsia" w:ascii="宋体" w:hAnsi="宋体" w:eastAsia="宋体" w:cs="宋体"/>
                <w:color w:val="auto"/>
                <w:sz w:val="24"/>
                <w:szCs w:val="24"/>
                <w:highlight w:val="none"/>
                <w:lang w:bidi="ar"/>
              </w:rPr>
              <w:t>的价格扣除，用扣除后的价格参与评审。同一供应商，小微企业、监狱企业、残疾人福利性单位价格扣除优惠只享受一次，不得重复享受。应提供《中小企业声明函》，格式见投标文件格式，未提供声明函者不予认定。</w:t>
            </w:r>
          </w:p>
          <w:p w14:paraId="32FD52A0">
            <w:pPr>
              <w:numPr>
                <w:ilvl w:val="0"/>
                <w:numId w:val="0"/>
              </w:numPr>
              <w:tabs>
                <w:tab w:val="left" w:pos="420"/>
              </w:tabs>
              <w:spacing w:line="360" w:lineRule="auto"/>
              <w:ind w:firstLine="480" w:firstLineChars="200"/>
              <w:contextualSpacing/>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评标委员会认定某供应商的投标报价明显低于其他有效供应商投标报价，有可能影响服务质量或者不能诚信履约的，评标委员会有权要求该供应商对其报价的合理性作出书面说明，并提供相关证明材料，否则作为无效投标处理。</w:t>
            </w:r>
          </w:p>
        </w:tc>
      </w:tr>
      <w:tr w14:paraId="3E2DC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jc w:val="center"/>
        </w:trPr>
        <w:tc>
          <w:tcPr>
            <w:tcW w:w="849" w:type="dxa"/>
            <w:gridSpan w:val="2"/>
            <w:vMerge w:val="restart"/>
            <w:tcBorders>
              <w:right w:val="single" w:color="auto" w:sz="4" w:space="0"/>
            </w:tcBorders>
            <w:vAlign w:val="center"/>
          </w:tcPr>
          <w:p w14:paraId="0D4363A7">
            <w:pPr>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2.2.2</w:t>
            </w:r>
            <w:r>
              <w:rPr>
                <w:rFonts w:hint="eastAsia" w:ascii="宋体" w:hAnsi="宋体" w:cs="宋体"/>
                <w:color w:val="auto"/>
                <w:sz w:val="24"/>
                <w:szCs w:val="24"/>
                <w:highlight w:val="none"/>
              </w:rPr>
              <w:t>（2）</w:t>
            </w:r>
          </w:p>
        </w:tc>
        <w:tc>
          <w:tcPr>
            <w:tcW w:w="1118" w:type="dxa"/>
            <w:vMerge w:val="restart"/>
            <w:tcBorders>
              <w:left w:val="single" w:color="auto" w:sz="4" w:space="0"/>
            </w:tcBorders>
            <w:vAlign w:val="center"/>
          </w:tcPr>
          <w:p w14:paraId="2D3468F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技术部分评分标准（</w:t>
            </w:r>
            <w:r>
              <w:rPr>
                <w:rFonts w:hint="eastAsia" w:ascii="宋体" w:hAnsi="宋体" w:cs="宋体"/>
                <w:color w:val="auto"/>
                <w:sz w:val="24"/>
                <w:szCs w:val="24"/>
                <w:highlight w:val="none"/>
                <w:lang w:val="en-US" w:eastAsia="zh-CN"/>
              </w:rPr>
              <w:t>50分</w:t>
            </w:r>
            <w:r>
              <w:rPr>
                <w:rFonts w:hint="eastAsia" w:ascii="宋体" w:hAnsi="宋体" w:cs="宋体"/>
                <w:color w:val="auto"/>
                <w:sz w:val="24"/>
                <w:szCs w:val="24"/>
                <w:highlight w:val="none"/>
              </w:rPr>
              <w:t>）</w:t>
            </w:r>
          </w:p>
        </w:tc>
        <w:tc>
          <w:tcPr>
            <w:tcW w:w="1720" w:type="dxa"/>
            <w:vAlign w:val="center"/>
          </w:tcPr>
          <w:p w14:paraId="263CD05A">
            <w:pPr>
              <w:wordWrap w:val="0"/>
              <w:snapToGrid w:val="0"/>
              <w:spacing w:line="420" w:lineRule="exact"/>
              <w:ind w:left="0" w:leftChars="0"/>
              <w:jc w:val="center"/>
              <w:rPr>
                <w:rFonts w:hint="eastAsia" w:ascii="宋体" w:hAnsi="宋体" w:eastAsia="宋体" w:cs="Times New Roman"/>
                <w:b w:val="0"/>
                <w:bCs w:val="0"/>
                <w:color w:val="auto"/>
                <w:kern w:val="2"/>
                <w:sz w:val="24"/>
                <w:szCs w:val="22"/>
                <w:highlight w:val="none"/>
              </w:rPr>
            </w:pPr>
            <w:r>
              <w:rPr>
                <w:rFonts w:hint="eastAsia" w:ascii="宋体" w:hAnsi="宋体" w:eastAsia="宋体" w:cs="Times New Roman"/>
                <w:color w:val="auto"/>
                <w:kern w:val="2"/>
                <w:sz w:val="24"/>
                <w:szCs w:val="22"/>
                <w:highlight w:val="none"/>
              </w:rPr>
              <w:t>需求响应</w:t>
            </w:r>
            <w:r>
              <w:rPr>
                <w:rFonts w:hint="eastAsia" w:ascii="宋体" w:hAnsi="宋体" w:eastAsia="宋体" w:cs="Times New Roman"/>
                <w:color w:val="auto"/>
                <w:sz w:val="24"/>
                <w:szCs w:val="22"/>
                <w:highlight w:val="none"/>
              </w:rPr>
              <w:t>（</w:t>
            </w:r>
            <w:r>
              <w:rPr>
                <w:rFonts w:hint="eastAsia" w:ascii="宋体" w:hAnsi="宋体" w:cs="Times New Roman"/>
                <w:color w:val="auto"/>
                <w:sz w:val="24"/>
                <w:szCs w:val="22"/>
                <w:highlight w:val="none"/>
                <w:lang w:val="en-US" w:eastAsia="zh-CN"/>
              </w:rPr>
              <w:t>35</w:t>
            </w:r>
            <w:r>
              <w:rPr>
                <w:rFonts w:hint="eastAsia" w:ascii="宋体" w:hAnsi="宋体" w:eastAsia="宋体" w:cs="Times New Roman"/>
                <w:color w:val="auto"/>
                <w:sz w:val="24"/>
                <w:szCs w:val="22"/>
                <w:highlight w:val="none"/>
              </w:rPr>
              <w:t>分）</w:t>
            </w:r>
          </w:p>
        </w:tc>
        <w:tc>
          <w:tcPr>
            <w:tcW w:w="5785" w:type="dxa"/>
            <w:vAlign w:val="center"/>
          </w:tcPr>
          <w:p w14:paraId="19570419">
            <w:pPr>
              <w:wordWrap w:val="0"/>
              <w:snapToGrid w:val="0"/>
              <w:spacing w:line="420" w:lineRule="exact"/>
              <w:ind w:left="0" w:leftChars="0" w:firstLine="0" w:firstLineChars="0"/>
              <w:jc w:val="left"/>
              <w:rPr>
                <w:rFonts w:hint="eastAsia" w:ascii="宋体" w:hAnsi="宋体"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投标文件对 第</w:t>
            </w:r>
            <w:r>
              <w:rPr>
                <w:rFonts w:hint="eastAsia" w:ascii="宋体" w:hAnsi="宋体" w:cs="Times New Roman"/>
                <w:color w:val="auto"/>
                <w:kern w:val="2"/>
                <w:sz w:val="24"/>
                <w:szCs w:val="22"/>
                <w:highlight w:val="none"/>
                <w:lang w:val="en-US" w:eastAsia="zh-CN"/>
              </w:rPr>
              <w:t>六</w:t>
            </w:r>
            <w:r>
              <w:rPr>
                <w:rFonts w:hint="eastAsia" w:ascii="宋体" w:hAnsi="宋体" w:eastAsia="宋体" w:cs="Times New Roman"/>
                <w:color w:val="auto"/>
                <w:kern w:val="2"/>
                <w:sz w:val="24"/>
                <w:szCs w:val="22"/>
                <w:highlight w:val="none"/>
              </w:rPr>
              <w:t xml:space="preserve">章 </w:t>
            </w:r>
            <w:r>
              <w:rPr>
                <w:rFonts w:hint="eastAsia" w:ascii="宋体" w:hAnsi="宋体" w:cs="Times New Roman"/>
                <w:color w:val="auto"/>
                <w:kern w:val="2"/>
                <w:sz w:val="24"/>
                <w:szCs w:val="22"/>
                <w:highlight w:val="none"/>
                <w:lang w:val="en-US" w:eastAsia="zh-CN"/>
              </w:rPr>
              <w:t>采购人</w:t>
            </w:r>
            <w:r>
              <w:rPr>
                <w:rFonts w:hint="eastAsia" w:ascii="宋体" w:hAnsi="宋体" w:eastAsia="宋体" w:cs="Times New Roman"/>
                <w:color w:val="auto"/>
                <w:kern w:val="2"/>
                <w:sz w:val="24"/>
                <w:szCs w:val="22"/>
                <w:highlight w:val="none"/>
              </w:rPr>
              <w:t>需求的响应程度（</w:t>
            </w:r>
            <w:r>
              <w:rPr>
                <w:rFonts w:hint="eastAsia" w:ascii="宋体" w:hAnsi="宋体" w:cs="Times New Roman"/>
                <w:color w:val="auto"/>
                <w:kern w:val="2"/>
                <w:sz w:val="24"/>
                <w:szCs w:val="22"/>
                <w:highlight w:val="none"/>
                <w:lang w:val="en-US" w:eastAsia="zh-CN"/>
              </w:rPr>
              <w:t>35</w:t>
            </w:r>
            <w:r>
              <w:rPr>
                <w:rFonts w:hint="eastAsia" w:ascii="宋体" w:hAnsi="宋体" w:eastAsia="宋体" w:cs="Times New Roman"/>
                <w:color w:val="auto"/>
                <w:kern w:val="2"/>
                <w:sz w:val="24"/>
                <w:szCs w:val="22"/>
                <w:highlight w:val="none"/>
              </w:rPr>
              <w:t>分）</w:t>
            </w:r>
          </w:p>
          <w:p w14:paraId="0957D3AA">
            <w:pPr>
              <w:wordWrap w:val="0"/>
              <w:snapToGrid w:val="0"/>
              <w:spacing w:line="420" w:lineRule="exact"/>
              <w:ind w:left="0" w:leftChars="0" w:firstLine="0" w:firstLineChars="0"/>
              <w:jc w:val="left"/>
              <w:rPr>
                <w:rFonts w:hint="eastAsia" w:ascii="宋体" w:hAnsi="宋体" w:eastAsia="宋体" w:cs="Times New Roman"/>
                <w:color w:val="auto"/>
                <w:kern w:val="2"/>
                <w:sz w:val="24"/>
                <w:szCs w:val="22"/>
                <w:highlight w:val="none"/>
              </w:rPr>
            </w:pPr>
            <w:r>
              <w:rPr>
                <w:rFonts w:hint="eastAsia" w:ascii="宋体" w:hAnsi="宋体" w:cs="Times New Roman"/>
                <w:color w:val="auto"/>
                <w:kern w:val="2"/>
                <w:sz w:val="24"/>
                <w:szCs w:val="22"/>
                <w:highlight w:val="none"/>
                <w:lang w:val="en-US" w:eastAsia="zh-CN"/>
              </w:rPr>
              <w:t>采购人</w:t>
            </w:r>
            <w:r>
              <w:rPr>
                <w:rFonts w:hint="eastAsia" w:ascii="宋体" w:hAnsi="宋体" w:eastAsia="宋体" w:cs="Times New Roman"/>
                <w:color w:val="auto"/>
                <w:kern w:val="2"/>
                <w:sz w:val="24"/>
                <w:szCs w:val="22"/>
                <w:highlight w:val="none"/>
              </w:rPr>
              <w:t>需求每一项不满足扣</w:t>
            </w:r>
            <w:r>
              <w:rPr>
                <w:rFonts w:hint="eastAsia" w:ascii="宋体" w:hAnsi="宋体" w:cs="Times New Roman"/>
                <w:color w:val="auto"/>
                <w:kern w:val="2"/>
                <w:sz w:val="24"/>
                <w:szCs w:val="22"/>
                <w:highlight w:val="none"/>
                <w:lang w:val="en-US" w:eastAsia="zh-CN"/>
              </w:rPr>
              <w:t>1</w:t>
            </w:r>
            <w:r>
              <w:rPr>
                <w:rFonts w:hint="eastAsia" w:ascii="宋体" w:hAnsi="宋体" w:eastAsia="宋体" w:cs="Times New Roman"/>
                <w:color w:val="auto"/>
                <w:kern w:val="2"/>
                <w:sz w:val="24"/>
                <w:szCs w:val="22"/>
                <w:highlight w:val="none"/>
              </w:rPr>
              <w:t xml:space="preserve"> 分，扣完为止。要求提供证明材料的，若未提供视为不满足。</w:t>
            </w:r>
          </w:p>
        </w:tc>
      </w:tr>
      <w:tr w14:paraId="79B49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9" w:type="dxa"/>
            <w:gridSpan w:val="2"/>
            <w:vMerge w:val="continue"/>
            <w:tcBorders>
              <w:right w:val="single" w:color="auto" w:sz="4" w:space="0"/>
            </w:tcBorders>
            <w:vAlign w:val="center"/>
          </w:tcPr>
          <w:p w14:paraId="08D2794A">
            <w:pPr>
              <w:spacing w:line="360" w:lineRule="auto"/>
              <w:jc w:val="center"/>
              <w:rPr>
                <w:rFonts w:hint="eastAsia" w:ascii="宋体" w:hAnsi="宋体" w:cs="宋体"/>
                <w:color w:val="auto"/>
                <w:sz w:val="24"/>
                <w:szCs w:val="24"/>
                <w:highlight w:val="none"/>
              </w:rPr>
            </w:pPr>
          </w:p>
        </w:tc>
        <w:tc>
          <w:tcPr>
            <w:tcW w:w="1118" w:type="dxa"/>
            <w:vMerge w:val="continue"/>
            <w:tcBorders>
              <w:left w:val="single" w:color="auto" w:sz="4" w:space="0"/>
            </w:tcBorders>
            <w:vAlign w:val="center"/>
          </w:tcPr>
          <w:p w14:paraId="1A2814E4">
            <w:pPr>
              <w:spacing w:line="360" w:lineRule="auto"/>
              <w:jc w:val="center"/>
              <w:rPr>
                <w:rFonts w:hint="eastAsia" w:ascii="宋体" w:hAnsi="宋体" w:cs="宋体"/>
                <w:color w:val="auto"/>
                <w:sz w:val="24"/>
                <w:szCs w:val="24"/>
                <w:highlight w:val="none"/>
              </w:rPr>
            </w:pPr>
          </w:p>
        </w:tc>
        <w:tc>
          <w:tcPr>
            <w:tcW w:w="1720" w:type="dxa"/>
            <w:vAlign w:val="center"/>
          </w:tcPr>
          <w:p w14:paraId="2DD1DBC7">
            <w:pPr>
              <w:wordWrap w:val="0"/>
              <w:snapToGrid w:val="0"/>
              <w:spacing w:line="420" w:lineRule="exact"/>
              <w:ind w:left="0" w:leftChars="0"/>
              <w:jc w:val="center"/>
              <w:rPr>
                <w:rFonts w:hint="eastAsia" w:ascii="宋体" w:hAnsi="宋体" w:eastAsia="宋体" w:cs="Times New Roman"/>
                <w:b w:val="0"/>
                <w:bCs w:val="0"/>
                <w:color w:val="auto"/>
                <w:kern w:val="2"/>
                <w:sz w:val="24"/>
                <w:szCs w:val="22"/>
                <w:highlight w:val="none"/>
              </w:rPr>
            </w:pPr>
            <w:r>
              <w:rPr>
                <w:rFonts w:hint="eastAsia" w:ascii="宋体" w:hAnsi="宋体" w:cs="Times New Roman"/>
                <w:color w:val="auto"/>
                <w:sz w:val="24"/>
                <w:szCs w:val="22"/>
                <w:highlight w:val="none"/>
                <w:lang w:val="en-US" w:eastAsia="zh-CN"/>
              </w:rPr>
              <w:t>整体方案</w:t>
            </w:r>
            <w:r>
              <w:rPr>
                <w:rFonts w:hint="eastAsia" w:ascii="宋体" w:hAnsi="宋体" w:eastAsia="宋体" w:cs="Times New Roman"/>
                <w:color w:val="auto"/>
                <w:sz w:val="24"/>
                <w:szCs w:val="22"/>
                <w:highlight w:val="none"/>
              </w:rPr>
              <w:t>（</w:t>
            </w:r>
            <w:r>
              <w:rPr>
                <w:rFonts w:hint="eastAsia" w:ascii="宋体" w:hAnsi="宋体" w:cs="Times New Roman"/>
                <w:color w:val="auto"/>
                <w:sz w:val="24"/>
                <w:szCs w:val="22"/>
                <w:highlight w:val="none"/>
                <w:lang w:val="en-US" w:eastAsia="zh-CN"/>
              </w:rPr>
              <w:t>8</w:t>
            </w:r>
            <w:r>
              <w:rPr>
                <w:rFonts w:hint="eastAsia" w:ascii="宋体" w:hAnsi="宋体" w:eastAsia="宋体" w:cs="Times New Roman"/>
                <w:color w:val="auto"/>
                <w:sz w:val="24"/>
                <w:szCs w:val="22"/>
                <w:highlight w:val="none"/>
              </w:rPr>
              <w:t>分）</w:t>
            </w:r>
          </w:p>
        </w:tc>
        <w:tc>
          <w:tcPr>
            <w:tcW w:w="5785" w:type="dxa"/>
            <w:vAlign w:val="center"/>
          </w:tcPr>
          <w:p w14:paraId="019F57A2">
            <w:pPr>
              <w:wordWrap/>
              <w:snapToGrid/>
              <w:spacing w:line="420" w:lineRule="exact"/>
              <w:rPr>
                <w:rFonts w:hint="eastAsia" w:ascii="宋体" w:hAnsi="宋体" w:cs="Times New Roman"/>
                <w:color w:val="auto"/>
                <w:kern w:val="2"/>
                <w:sz w:val="24"/>
                <w:szCs w:val="22"/>
                <w:highlight w:val="none"/>
              </w:rPr>
            </w:pPr>
            <w:r>
              <w:rPr>
                <w:rFonts w:hint="eastAsia" w:ascii="宋体" w:hAnsi="宋体" w:cs="Times New Roman"/>
                <w:color w:val="auto"/>
                <w:kern w:val="2"/>
                <w:sz w:val="24"/>
                <w:szCs w:val="22"/>
                <w:highlight w:val="none"/>
              </w:rPr>
              <w:t>方案目标清晰、项目</w:t>
            </w:r>
            <w:r>
              <w:rPr>
                <w:rFonts w:hint="eastAsia" w:ascii="宋体" w:hAnsi="宋体" w:cs="Times New Roman"/>
                <w:color w:val="auto"/>
                <w:kern w:val="2"/>
                <w:sz w:val="24"/>
                <w:szCs w:val="22"/>
                <w:highlight w:val="none"/>
                <w:lang w:val="en-US" w:eastAsia="zh-CN"/>
              </w:rPr>
              <w:t>理解</w:t>
            </w:r>
            <w:r>
              <w:rPr>
                <w:rFonts w:hint="eastAsia" w:ascii="宋体" w:hAnsi="宋体" w:cs="Times New Roman"/>
                <w:color w:val="auto"/>
                <w:kern w:val="2"/>
                <w:sz w:val="24"/>
                <w:szCs w:val="22"/>
                <w:highlight w:val="none"/>
              </w:rPr>
              <w:t>程度高、方案针对性强、系统功能设计完整、方案科学合理、安全严密，能全面覆盖项目总体需求。根据技术方案是否符合上述要求评分：</w:t>
            </w:r>
          </w:p>
          <w:p w14:paraId="00982995">
            <w:pPr>
              <w:wordWrap/>
              <w:snapToGrid/>
              <w:spacing w:line="420" w:lineRule="exact"/>
              <w:rPr>
                <w:rFonts w:hint="eastAsia" w:ascii="宋体" w:hAnsi="宋体" w:cs="Times New Roman"/>
                <w:color w:val="auto"/>
                <w:kern w:val="2"/>
                <w:sz w:val="24"/>
                <w:szCs w:val="22"/>
                <w:highlight w:val="none"/>
                <w:lang w:eastAsia="zh-CN"/>
              </w:rPr>
            </w:pPr>
            <w:r>
              <w:rPr>
                <w:rFonts w:hint="eastAsia" w:ascii="宋体" w:hAnsi="宋体" w:cs="Times New Roman"/>
                <w:color w:val="auto"/>
                <w:kern w:val="2"/>
                <w:sz w:val="24"/>
                <w:szCs w:val="22"/>
                <w:highlight w:val="none"/>
                <w:lang w:val="en-US" w:eastAsia="zh-CN"/>
              </w:rPr>
              <w:t xml:space="preserve">1、内容完整、详细、表述清晰、科学合理，得 8分； </w:t>
            </w:r>
          </w:p>
          <w:p w14:paraId="344F2055">
            <w:pPr>
              <w:wordWrap/>
              <w:snapToGrid/>
              <w:spacing w:line="420" w:lineRule="exact"/>
              <w:rPr>
                <w:rFonts w:hint="eastAsia" w:ascii="宋体" w:hAnsi="宋体" w:cs="Times New Roman"/>
                <w:color w:val="auto"/>
                <w:kern w:val="2"/>
                <w:sz w:val="24"/>
                <w:szCs w:val="22"/>
                <w:highlight w:val="none"/>
                <w:lang w:eastAsia="zh-CN"/>
              </w:rPr>
            </w:pPr>
            <w:r>
              <w:rPr>
                <w:rFonts w:hint="eastAsia" w:ascii="宋体" w:hAnsi="宋体" w:cs="Times New Roman"/>
                <w:color w:val="auto"/>
                <w:kern w:val="2"/>
                <w:sz w:val="24"/>
                <w:szCs w:val="22"/>
                <w:highlight w:val="none"/>
                <w:lang w:val="en-US" w:eastAsia="zh-CN"/>
              </w:rPr>
              <w:t xml:space="preserve">2、内容比较完整、详细、表述清晰、比较合理，得 6 分； </w:t>
            </w:r>
          </w:p>
          <w:p w14:paraId="6320B948">
            <w:pPr>
              <w:wordWrap/>
              <w:snapToGrid/>
              <w:spacing w:line="420" w:lineRule="exact"/>
              <w:rPr>
                <w:rFonts w:hint="eastAsia" w:ascii="宋体" w:hAnsi="宋体" w:cs="Times New Roman"/>
                <w:color w:val="auto"/>
                <w:kern w:val="2"/>
                <w:sz w:val="24"/>
                <w:szCs w:val="22"/>
                <w:highlight w:val="none"/>
                <w:lang w:eastAsia="zh-CN"/>
              </w:rPr>
            </w:pPr>
            <w:r>
              <w:rPr>
                <w:rFonts w:hint="eastAsia" w:ascii="宋体" w:hAnsi="宋体" w:cs="Times New Roman"/>
                <w:color w:val="auto"/>
                <w:kern w:val="2"/>
                <w:sz w:val="24"/>
                <w:szCs w:val="22"/>
                <w:highlight w:val="none"/>
                <w:lang w:val="en-US" w:eastAsia="zh-CN"/>
              </w:rPr>
              <w:t xml:space="preserve">3、内容基本完整、详细、表述基本清晰、合理，得 4 分； </w:t>
            </w:r>
          </w:p>
          <w:p w14:paraId="0667B5F0">
            <w:pPr>
              <w:wordWrap/>
              <w:snapToGrid/>
              <w:spacing w:line="420" w:lineRule="exact"/>
              <w:rPr>
                <w:rFonts w:hint="eastAsia" w:ascii="宋体" w:hAnsi="宋体" w:cs="Times New Roman"/>
                <w:color w:val="auto"/>
                <w:kern w:val="2"/>
                <w:sz w:val="24"/>
                <w:szCs w:val="22"/>
                <w:highlight w:val="none"/>
                <w:lang w:eastAsia="zh-CN"/>
              </w:rPr>
            </w:pPr>
            <w:r>
              <w:rPr>
                <w:rFonts w:hint="eastAsia" w:ascii="宋体" w:hAnsi="宋体" w:cs="Times New Roman"/>
                <w:color w:val="auto"/>
                <w:kern w:val="2"/>
                <w:sz w:val="24"/>
                <w:szCs w:val="22"/>
                <w:highlight w:val="none"/>
                <w:lang w:val="en-US" w:eastAsia="zh-CN"/>
              </w:rPr>
              <w:t xml:space="preserve">4、内容不完整、详细(或较差)，表述不清晰、合 </w:t>
            </w:r>
          </w:p>
          <w:p w14:paraId="7CB4BBB1">
            <w:pPr>
              <w:wordWrap/>
              <w:snapToGrid/>
              <w:spacing w:line="420" w:lineRule="exact"/>
              <w:rPr>
                <w:rFonts w:hint="eastAsia" w:ascii="宋体" w:hAnsi="宋体" w:cs="Times New Roman"/>
                <w:color w:val="auto"/>
                <w:kern w:val="2"/>
                <w:sz w:val="24"/>
                <w:szCs w:val="22"/>
                <w:highlight w:val="none"/>
                <w:lang w:eastAsia="zh-CN"/>
              </w:rPr>
            </w:pPr>
            <w:r>
              <w:rPr>
                <w:rFonts w:hint="eastAsia" w:ascii="宋体" w:hAnsi="宋体" w:cs="Times New Roman"/>
                <w:color w:val="auto"/>
                <w:kern w:val="2"/>
                <w:sz w:val="24"/>
                <w:szCs w:val="22"/>
                <w:highlight w:val="none"/>
                <w:lang w:val="en-US" w:eastAsia="zh-CN"/>
              </w:rPr>
              <w:t xml:space="preserve">理(或较差)，得 1 分； </w:t>
            </w:r>
          </w:p>
          <w:p w14:paraId="19515AE6">
            <w:pPr>
              <w:wordWrap/>
              <w:snapToGrid/>
              <w:spacing w:line="420" w:lineRule="exact"/>
              <w:rPr>
                <w:rFonts w:hint="eastAsia" w:ascii="宋体" w:hAnsi="宋体" w:cs="Times New Roman"/>
                <w:color w:val="auto"/>
                <w:kern w:val="2"/>
                <w:sz w:val="24"/>
                <w:szCs w:val="22"/>
                <w:highlight w:val="none"/>
                <w:lang w:eastAsia="zh-CN"/>
              </w:rPr>
            </w:pPr>
            <w:r>
              <w:rPr>
                <w:rFonts w:hint="eastAsia" w:ascii="宋体" w:hAnsi="宋体" w:cs="Times New Roman"/>
                <w:color w:val="auto"/>
                <w:kern w:val="2"/>
                <w:sz w:val="24"/>
                <w:szCs w:val="22"/>
                <w:highlight w:val="none"/>
                <w:lang w:val="en-US" w:eastAsia="zh-CN"/>
              </w:rPr>
              <w:t>未提供不得分。</w:t>
            </w:r>
          </w:p>
        </w:tc>
      </w:tr>
      <w:tr w14:paraId="7A93B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9" w:type="dxa"/>
            <w:gridSpan w:val="2"/>
            <w:vMerge w:val="continue"/>
            <w:tcBorders>
              <w:right w:val="single" w:color="auto" w:sz="4" w:space="0"/>
            </w:tcBorders>
            <w:vAlign w:val="center"/>
          </w:tcPr>
          <w:p w14:paraId="00049AD2">
            <w:pPr>
              <w:spacing w:line="360" w:lineRule="auto"/>
              <w:jc w:val="center"/>
              <w:rPr>
                <w:rFonts w:hint="eastAsia" w:ascii="宋体" w:hAnsi="宋体" w:cs="宋体"/>
                <w:color w:val="auto"/>
                <w:sz w:val="24"/>
                <w:szCs w:val="24"/>
                <w:highlight w:val="none"/>
              </w:rPr>
            </w:pPr>
          </w:p>
        </w:tc>
        <w:tc>
          <w:tcPr>
            <w:tcW w:w="1118" w:type="dxa"/>
            <w:vMerge w:val="continue"/>
            <w:tcBorders>
              <w:left w:val="single" w:color="auto" w:sz="4" w:space="0"/>
            </w:tcBorders>
            <w:vAlign w:val="center"/>
          </w:tcPr>
          <w:p w14:paraId="65FD73E2">
            <w:pPr>
              <w:spacing w:line="360" w:lineRule="auto"/>
              <w:jc w:val="center"/>
              <w:rPr>
                <w:rFonts w:hint="eastAsia" w:ascii="宋体" w:hAnsi="宋体" w:cs="宋体"/>
                <w:color w:val="auto"/>
                <w:sz w:val="24"/>
                <w:szCs w:val="24"/>
                <w:highlight w:val="none"/>
              </w:rPr>
            </w:pPr>
          </w:p>
        </w:tc>
        <w:tc>
          <w:tcPr>
            <w:tcW w:w="1720" w:type="dxa"/>
            <w:vAlign w:val="center"/>
          </w:tcPr>
          <w:p w14:paraId="10876147">
            <w:pPr>
              <w:wordWrap w:val="0"/>
              <w:snapToGrid w:val="0"/>
              <w:spacing w:line="420" w:lineRule="exact"/>
              <w:ind w:left="0" w:leftChars="0"/>
              <w:jc w:val="center"/>
              <w:rPr>
                <w:rFonts w:hint="eastAsia" w:ascii="宋体" w:hAnsi="宋体" w:eastAsia="宋体" w:cs="Times New Roman"/>
                <w:b w:val="0"/>
                <w:bCs w:val="0"/>
                <w:color w:val="auto"/>
                <w:kern w:val="2"/>
                <w:sz w:val="24"/>
                <w:szCs w:val="22"/>
                <w:highlight w:val="none"/>
              </w:rPr>
            </w:pPr>
            <w:r>
              <w:rPr>
                <w:rFonts w:hint="eastAsia" w:ascii="宋体" w:hAnsi="宋体" w:eastAsia="宋体" w:cs="Times New Roman"/>
                <w:b w:val="0"/>
                <w:bCs w:val="0"/>
                <w:color w:val="auto"/>
                <w:kern w:val="2"/>
                <w:sz w:val="24"/>
                <w:szCs w:val="22"/>
                <w:highlight w:val="none"/>
                <w:lang w:val="en-US" w:eastAsia="zh-CN"/>
              </w:rPr>
              <w:t xml:space="preserve">服务响应 </w:t>
            </w:r>
          </w:p>
          <w:p w14:paraId="089F4A67">
            <w:pPr>
              <w:wordWrap w:val="0"/>
              <w:snapToGrid w:val="0"/>
              <w:spacing w:line="420" w:lineRule="exact"/>
              <w:ind w:left="0" w:leftChars="0"/>
              <w:jc w:val="center"/>
              <w:rPr>
                <w:rFonts w:hint="eastAsia" w:ascii="宋体" w:hAnsi="宋体" w:eastAsia="宋体" w:cs="Times New Roman"/>
                <w:b w:val="0"/>
                <w:bCs w:val="0"/>
                <w:color w:val="auto"/>
                <w:kern w:val="2"/>
                <w:sz w:val="24"/>
                <w:szCs w:val="22"/>
                <w:highlight w:val="none"/>
              </w:rPr>
            </w:pPr>
            <w:r>
              <w:rPr>
                <w:rFonts w:hint="eastAsia" w:ascii="宋体" w:hAnsi="宋体" w:eastAsia="宋体" w:cs="Times New Roman"/>
                <w:b w:val="0"/>
                <w:bCs w:val="0"/>
                <w:color w:val="auto"/>
                <w:kern w:val="2"/>
                <w:sz w:val="24"/>
                <w:szCs w:val="22"/>
                <w:highlight w:val="none"/>
                <w:lang w:val="en-US" w:eastAsia="zh-CN"/>
              </w:rPr>
              <w:t>（</w:t>
            </w:r>
            <w:r>
              <w:rPr>
                <w:rFonts w:hint="eastAsia" w:ascii="宋体" w:hAnsi="宋体" w:cs="Times New Roman"/>
                <w:b w:val="0"/>
                <w:bCs w:val="0"/>
                <w:color w:val="auto"/>
                <w:kern w:val="2"/>
                <w:sz w:val="24"/>
                <w:szCs w:val="22"/>
                <w:highlight w:val="none"/>
                <w:lang w:val="en-US" w:eastAsia="zh-CN"/>
              </w:rPr>
              <w:t>7</w:t>
            </w:r>
            <w:r>
              <w:rPr>
                <w:rFonts w:hint="eastAsia" w:ascii="宋体" w:hAnsi="宋体" w:eastAsia="宋体" w:cs="Times New Roman"/>
                <w:b w:val="0"/>
                <w:bCs w:val="0"/>
                <w:color w:val="auto"/>
                <w:kern w:val="2"/>
                <w:sz w:val="24"/>
                <w:szCs w:val="22"/>
                <w:highlight w:val="none"/>
                <w:lang w:val="en-US" w:eastAsia="zh-CN"/>
              </w:rPr>
              <w:t>分）</w:t>
            </w:r>
          </w:p>
        </w:tc>
        <w:tc>
          <w:tcPr>
            <w:tcW w:w="5785" w:type="dxa"/>
            <w:vAlign w:val="center"/>
          </w:tcPr>
          <w:p w14:paraId="140EAD87">
            <w:pPr>
              <w:wordWrap/>
              <w:snapToGrid/>
              <w:spacing w:line="420" w:lineRule="exact"/>
              <w:rPr>
                <w:rFonts w:hint="eastAsia" w:ascii="宋体" w:hAnsi="宋体" w:cs="Times New Roman"/>
                <w:color w:val="auto"/>
                <w:sz w:val="24"/>
                <w:szCs w:val="22"/>
                <w:highlight w:val="none"/>
              </w:rPr>
            </w:pPr>
            <w:r>
              <w:rPr>
                <w:rFonts w:hint="eastAsia" w:ascii="宋体" w:hAnsi="宋体" w:cs="Times New Roman"/>
                <w:color w:val="auto"/>
                <w:sz w:val="24"/>
                <w:szCs w:val="22"/>
                <w:highlight w:val="none"/>
                <w:lang w:val="en-US" w:eastAsia="zh-CN"/>
              </w:rPr>
              <w:t xml:space="preserve">根据投标人提供的服务、响应措施情况进行打分： </w:t>
            </w:r>
          </w:p>
          <w:p w14:paraId="42CBBE43">
            <w:pPr>
              <w:wordWrap/>
              <w:snapToGrid/>
              <w:spacing w:line="420" w:lineRule="exact"/>
              <w:rPr>
                <w:rFonts w:hint="eastAsia" w:ascii="宋体" w:hAnsi="宋体" w:cs="Times New Roman"/>
                <w:color w:val="auto"/>
                <w:sz w:val="24"/>
                <w:szCs w:val="22"/>
                <w:highlight w:val="none"/>
              </w:rPr>
            </w:pPr>
            <w:r>
              <w:rPr>
                <w:rFonts w:hint="eastAsia" w:ascii="宋体" w:hAnsi="宋体" w:cs="Times New Roman"/>
                <w:color w:val="auto"/>
                <w:sz w:val="24"/>
                <w:szCs w:val="22"/>
                <w:highlight w:val="none"/>
                <w:lang w:val="en-US" w:eastAsia="zh-CN"/>
              </w:rPr>
              <w:t xml:space="preserve">1、有完善的响应机制，能够提供合理的技术讲解，对 </w:t>
            </w:r>
          </w:p>
          <w:p w14:paraId="09684B12">
            <w:pPr>
              <w:wordWrap/>
              <w:snapToGrid/>
              <w:spacing w:line="420" w:lineRule="exact"/>
              <w:rPr>
                <w:rFonts w:hint="eastAsia" w:ascii="宋体" w:hAnsi="宋体" w:cs="Times New Roman"/>
                <w:color w:val="auto"/>
                <w:sz w:val="24"/>
                <w:szCs w:val="22"/>
                <w:highlight w:val="none"/>
              </w:rPr>
            </w:pPr>
            <w:r>
              <w:rPr>
                <w:rFonts w:hint="eastAsia" w:ascii="宋体" w:hAnsi="宋体" w:cs="Times New Roman"/>
                <w:color w:val="auto"/>
                <w:sz w:val="24"/>
                <w:szCs w:val="22"/>
                <w:highlight w:val="none"/>
                <w:lang w:val="en-US" w:eastAsia="zh-CN"/>
              </w:rPr>
              <w:t xml:space="preserve">服务时间做出详细的实质性承诺的，得 7 分； </w:t>
            </w:r>
          </w:p>
          <w:p w14:paraId="33EC50DA">
            <w:pPr>
              <w:wordWrap/>
              <w:snapToGrid/>
              <w:spacing w:line="420" w:lineRule="exact"/>
              <w:rPr>
                <w:rFonts w:hint="eastAsia" w:ascii="宋体" w:hAnsi="宋体" w:cs="Times New Roman"/>
                <w:color w:val="auto"/>
                <w:sz w:val="24"/>
                <w:szCs w:val="22"/>
                <w:highlight w:val="none"/>
              </w:rPr>
            </w:pPr>
            <w:r>
              <w:rPr>
                <w:rFonts w:hint="eastAsia" w:ascii="宋体" w:hAnsi="宋体" w:cs="Times New Roman"/>
                <w:color w:val="auto"/>
                <w:sz w:val="24"/>
                <w:szCs w:val="22"/>
                <w:highlight w:val="none"/>
                <w:lang w:val="en-US" w:eastAsia="zh-CN"/>
              </w:rPr>
              <w:t xml:space="preserve">2、响应机制比较完整，提供较合理的技术讲解，对服务时间做出详细的实质性承诺的，良好的，得 5 分； </w:t>
            </w:r>
          </w:p>
          <w:p w14:paraId="0EF7BDAB">
            <w:pPr>
              <w:wordWrap/>
              <w:snapToGrid/>
              <w:spacing w:line="420" w:lineRule="exact"/>
              <w:rPr>
                <w:rFonts w:hint="eastAsia" w:ascii="宋体" w:hAnsi="宋体" w:cs="Times New Roman"/>
                <w:color w:val="auto"/>
                <w:sz w:val="24"/>
                <w:szCs w:val="22"/>
                <w:highlight w:val="none"/>
              </w:rPr>
            </w:pPr>
            <w:r>
              <w:rPr>
                <w:rFonts w:hint="eastAsia" w:ascii="宋体" w:hAnsi="宋体" w:cs="Times New Roman"/>
                <w:color w:val="auto"/>
                <w:sz w:val="24"/>
                <w:szCs w:val="22"/>
                <w:highlight w:val="none"/>
                <w:lang w:val="en-US" w:eastAsia="zh-CN"/>
              </w:rPr>
              <w:t xml:space="preserve">2、有完善的响应机制，对服务时间做出实质性承诺的， </w:t>
            </w:r>
          </w:p>
          <w:p w14:paraId="6892D265">
            <w:pPr>
              <w:wordWrap/>
              <w:snapToGrid/>
              <w:spacing w:line="420" w:lineRule="exact"/>
              <w:rPr>
                <w:rFonts w:hint="eastAsia" w:ascii="宋体" w:hAnsi="宋体" w:cs="Times New Roman"/>
                <w:color w:val="auto"/>
                <w:sz w:val="24"/>
                <w:szCs w:val="22"/>
                <w:highlight w:val="none"/>
              </w:rPr>
            </w:pPr>
            <w:r>
              <w:rPr>
                <w:rFonts w:hint="eastAsia" w:ascii="宋体" w:hAnsi="宋体" w:cs="Times New Roman"/>
                <w:color w:val="auto"/>
                <w:sz w:val="24"/>
                <w:szCs w:val="22"/>
                <w:highlight w:val="none"/>
                <w:lang w:val="en-US" w:eastAsia="zh-CN"/>
              </w:rPr>
              <w:t xml:space="preserve">尚可的，得 3 分； </w:t>
            </w:r>
          </w:p>
          <w:p w14:paraId="633C0CEB">
            <w:pPr>
              <w:wordWrap/>
              <w:snapToGrid/>
              <w:spacing w:line="420" w:lineRule="exact"/>
              <w:rPr>
                <w:rFonts w:hint="eastAsia" w:ascii="宋体" w:hAnsi="宋体" w:cs="Times New Roman"/>
                <w:color w:val="auto"/>
                <w:sz w:val="24"/>
                <w:szCs w:val="22"/>
                <w:highlight w:val="none"/>
              </w:rPr>
            </w:pPr>
            <w:r>
              <w:rPr>
                <w:rFonts w:hint="eastAsia" w:ascii="宋体" w:hAnsi="宋体" w:cs="Times New Roman"/>
                <w:color w:val="auto"/>
                <w:sz w:val="24"/>
                <w:szCs w:val="22"/>
                <w:highlight w:val="none"/>
                <w:lang w:val="en-US" w:eastAsia="zh-CN"/>
              </w:rPr>
              <w:t xml:space="preserve">3、有响应机制，对服务时间不完善(或较差)的，得 1 </w:t>
            </w:r>
          </w:p>
          <w:p w14:paraId="57330AB3">
            <w:pPr>
              <w:wordWrap/>
              <w:snapToGrid/>
              <w:spacing w:line="420" w:lineRule="exact"/>
              <w:rPr>
                <w:rFonts w:hint="eastAsia" w:ascii="宋体" w:hAnsi="宋体" w:cs="Times New Roman"/>
                <w:color w:val="auto"/>
                <w:sz w:val="24"/>
                <w:szCs w:val="22"/>
                <w:highlight w:val="none"/>
              </w:rPr>
            </w:pPr>
            <w:r>
              <w:rPr>
                <w:rFonts w:hint="eastAsia" w:ascii="宋体" w:hAnsi="宋体" w:cs="Times New Roman"/>
                <w:color w:val="auto"/>
                <w:sz w:val="24"/>
                <w:szCs w:val="22"/>
                <w:highlight w:val="none"/>
                <w:lang w:val="en-US" w:eastAsia="zh-CN"/>
              </w:rPr>
              <w:t xml:space="preserve">分； </w:t>
            </w:r>
          </w:p>
          <w:p w14:paraId="067D6385">
            <w:pPr>
              <w:wordWrap/>
              <w:snapToGrid/>
              <w:spacing w:line="420" w:lineRule="exact"/>
              <w:rPr>
                <w:rFonts w:hint="eastAsia" w:ascii="宋体" w:hAnsi="宋体" w:cs="Times New Roman"/>
                <w:color w:val="auto"/>
                <w:sz w:val="24"/>
                <w:szCs w:val="22"/>
                <w:highlight w:val="none"/>
              </w:rPr>
            </w:pPr>
            <w:r>
              <w:rPr>
                <w:rFonts w:hint="eastAsia" w:ascii="宋体" w:hAnsi="宋体" w:cs="Times New Roman"/>
                <w:color w:val="auto"/>
                <w:sz w:val="24"/>
                <w:szCs w:val="22"/>
                <w:highlight w:val="none"/>
                <w:lang w:val="en-US" w:eastAsia="zh-CN"/>
              </w:rPr>
              <w:t>未提供不得分。</w:t>
            </w:r>
          </w:p>
        </w:tc>
      </w:tr>
      <w:tr w14:paraId="65874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9472" w:type="dxa"/>
            <w:gridSpan w:val="5"/>
            <w:vAlign w:val="center"/>
          </w:tcPr>
          <w:p w14:paraId="37CB905C">
            <w:pPr>
              <w:wordWrap/>
              <w:snapToGrid/>
              <w:spacing w:line="420" w:lineRule="exact"/>
              <w:rPr>
                <w:rFonts w:hint="default"/>
                <w:color w:val="auto"/>
                <w:highlight w:val="none"/>
                <w:lang w:val="en-US" w:eastAsia="zh-CN"/>
              </w:rPr>
            </w:pPr>
            <w:r>
              <w:rPr>
                <w:rFonts w:hint="eastAsia"/>
                <w:color w:val="auto"/>
                <w:sz w:val="24"/>
                <w:szCs w:val="24"/>
                <w:highlight w:val="none"/>
                <w:lang w:val="en-US" w:eastAsia="zh-CN"/>
              </w:rPr>
              <w:t>注:以上技术部分评分项，若缺项则该项为0分。</w:t>
            </w:r>
          </w:p>
        </w:tc>
      </w:tr>
      <w:tr w14:paraId="7A221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849" w:type="dxa"/>
            <w:gridSpan w:val="2"/>
            <w:vMerge w:val="restart"/>
            <w:tcBorders>
              <w:right w:val="single" w:color="auto" w:sz="4" w:space="0"/>
            </w:tcBorders>
            <w:vAlign w:val="center"/>
          </w:tcPr>
          <w:p w14:paraId="0DF44BC9">
            <w:pPr>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2.2.2</w:t>
            </w:r>
            <w:r>
              <w:rPr>
                <w:rFonts w:hint="eastAsia" w:ascii="宋体" w:hAnsi="宋体" w:cs="宋体"/>
                <w:color w:val="auto"/>
                <w:sz w:val="24"/>
                <w:szCs w:val="24"/>
                <w:highlight w:val="none"/>
              </w:rPr>
              <w:t>（3）</w:t>
            </w:r>
          </w:p>
        </w:tc>
        <w:tc>
          <w:tcPr>
            <w:tcW w:w="1118" w:type="dxa"/>
            <w:vMerge w:val="restart"/>
            <w:tcBorders>
              <w:left w:val="single" w:color="auto" w:sz="4" w:space="0"/>
            </w:tcBorders>
            <w:vAlign w:val="center"/>
          </w:tcPr>
          <w:p w14:paraId="31B4621C">
            <w:pPr>
              <w:pStyle w:val="69"/>
              <w:wordWrap w:val="0"/>
              <w:snapToGrid w:val="0"/>
              <w:spacing w:line="288"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商务评分标准</w:t>
            </w:r>
          </w:p>
          <w:p w14:paraId="3D9C4075">
            <w:pPr>
              <w:pStyle w:val="69"/>
              <w:wordWrap w:val="0"/>
              <w:snapToGrid w:val="0"/>
              <w:spacing w:line="288" w:lineRule="auto"/>
              <w:ind w:left="0" w:leftChars="0"/>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720" w:type="dxa"/>
            <w:vAlign w:val="center"/>
          </w:tcPr>
          <w:p w14:paraId="0157084B">
            <w:pPr>
              <w:wordWrap/>
              <w:snapToGrid/>
              <w:spacing w:line="420" w:lineRule="exact"/>
              <w:jc w:val="left"/>
              <w:rPr>
                <w:rFonts w:hint="eastAsia" w:ascii="宋体" w:hAnsi="宋体" w:cs="Times New Roman"/>
                <w:color w:val="auto"/>
                <w:sz w:val="24"/>
                <w:szCs w:val="22"/>
                <w:highlight w:val="none"/>
              </w:rPr>
            </w:pPr>
            <w:r>
              <w:rPr>
                <w:rFonts w:hint="eastAsia" w:ascii="宋体" w:hAnsi="宋体" w:eastAsia="宋体" w:cs="Times New Roman"/>
                <w:color w:val="auto"/>
                <w:kern w:val="2"/>
                <w:sz w:val="24"/>
                <w:szCs w:val="22"/>
                <w:highlight w:val="none"/>
              </w:rPr>
              <w:t>企业业绩（</w:t>
            </w:r>
            <w:r>
              <w:rPr>
                <w:rFonts w:hint="eastAsia" w:ascii="宋体" w:hAnsi="宋体" w:cs="Times New Roman"/>
                <w:color w:val="auto"/>
                <w:kern w:val="2"/>
                <w:sz w:val="24"/>
                <w:szCs w:val="22"/>
                <w:highlight w:val="none"/>
                <w:lang w:val="en-US" w:eastAsia="zh-CN"/>
              </w:rPr>
              <w:t>6</w:t>
            </w:r>
            <w:r>
              <w:rPr>
                <w:rFonts w:hint="eastAsia" w:ascii="宋体" w:hAnsi="宋体" w:eastAsia="宋体" w:cs="Times New Roman"/>
                <w:color w:val="auto"/>
                <w:kern w:val="2"/>
                <w:sz w:val="24"/>
                <w:szCs w:val="22"/>
                <w:highlight w:val="none"/>
              </w:rPr>
              <w:t>分）</w:t>
            </w:r>
          </w:p>
        </w:tc>
        <w:tc>
          <w:tcPr>
            <w:tcW w:w="5785" w:type="dxa"/>
            <w:vAlign w:val="center"/>
          </w:tcPr>
          <w:p w14:paraId="61B0A19F">
            <w:pPr>
              <w:wordWrap/>
              <w:snapToGrid/>
              <w:spacing w:line="420" w:lineRule="exact"/>
              <w:rPr>
                <w:rFonts w:hint="eastAsia" w:ascii="宋体" w:hAnsi="宋体" w:cs="Times New Roman"/>
                <w:color w:val="auto"/>
                <w:kern w:val="2"/>
                <w:sz w:val="24"/>
                <w:szCs w:val="22"/>
                <w:highlight w:val="none"/>
              </w:rPr>
            </w:pPr>
            <w:r>
              <w:rPr>
                <w:rFonts w:hint="eastAsia" w:ascii="宋体" w:hAnsi="宋体" w:cs="Times New Roman"/>
                <w:color w:val="auto"/>
                <w:kern w:val="2"/>
                <w:sz w:val="24"/>
                <w:szCs w:val="22"/>
                <w:highlight w:val="none"/>
              </w:rPr>
              <w:t xml:space="preserve">投标人提供 2022 年 1 月 1 日以来类似项目业绩，每提供 1 份得 </w:t>
            </w:r>
            <w:r>
              <w:rPr>
                <w:rFonts w:hint="eastAsia" w:ascii="宋体" w:hAnsi="宋体" w:cs="Times New Roman"/>
                <w:color w:val="auto"/>
                <w:kern w:val="2"/>
                <w:sz w:val="24"/>
                <w:szCs w:val="22"/>
                <w:highlight w:val="none"/>
                <w:lang w:val="en-US" w:eastAsia="zh-CN"/>
              </w:rPr>
              <w:t>3</w:t>
            </w:r>
            <w:r>
              <w:rPr>
                <w:rFonts w:hint="eastAsia" w:ascii="宋体" w:hAnsi="宋体" w:cs="Times New Roman"/>
                <w:color w:val="auto"/>
                <w:kern w:val="2"/>
                <w:sz w:val="24"/>
                <w:szCs w:val="22"/>
                <w:highlight w:val="none"/>
              </w:rPr>
              <w:t xml:space="preserve"> 分，最高得 6 分；（以合同签订时间为准，需提供合同的原件扫描件）</w:t>
            </w:r>
          </w:p>
        </w:tc>
      </w:tr>
      <w:tr w14:paraId="7B024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849" w:type="dxa"/>
            <w:gridSpan w:val="2"/>
            <w:vMerge w:val="continue"/>
            <w:tcBorders>
              <w:right w:val="single" w:color="auto" w:sz="4" w:space="0"/>
            </w:tcBorders>
            <w:vAlign w:val="center"/>
          </w:tcPr>
          <w:p w14:paraId="6C16B662">
            <w:pPr>
              <w:spacing w:line="360" w:lineRule="auto"/>
              <w:jc w:val="center"/>
              <w:rPr>
                <w:rFonts w:ascii="宋体" w:hAnsi="宋体" w:cs="宋体"/>
                <w:color w:val="auto"/>
                <w:sz w:val="24"/>
                <w:szCs w:val="24"/>
                <w:highlight w:val="none"/>
              </w:rPr>
            </w:pPr>
          </w:p>
        </w:tc>
        <w:tc>
          <w:tcPr>
            <w:tcW w:w="1118" w:type="dxa"/>
            <w:vMerge w:val="continue"/>
            <w:tcBorders>
              <w:left w:val="single" w:color="auto" w:sz="4" w:space="0"/>
            </w:tcBorders>
            <w:vAlign w:val="center"/>
          </w:tcPr>
          <w:p w14:paraId="67151C95">
            <w:pPr>
              <w:pStyle w:val="69"/>
              <w:wordWrap w:val="0"/>
              <w:snapToGrid w:val="0"/>
              <w:spacing w:line="288" w:lineRule="auto"/>
              <w:ind w:left="0" w:leftChars="0"/>
              <w:jc w:val="center"/>
              <w:rPr>
                <w:rFonts w:hint="eastAsia" w:ascii="宋体" w:hAnsi="宋体" w:eastAsia="宋体" w:cs="宋体"/>
                <w:color w:val="auto"/>
                <w:sz w:val="24"/>
                <w:szCs w:val="24"/>
                <w:highlight w:val="none"/>
              </w:rPr>
            </w:pPr>
          </w:p>
        </w:tc>
        <w:tc>
          <w:tcPr>
            <w:tcW w:w="1720" w:type="dxa"/>
            <w:vAlign w:val="center"/>
          </w:tcPr>
          <w:p w14:paraId="72CD7782">
            <w:pPr>
              <w:wordWrap/>
              <w:snapToGrid/>
              <w:spacing w:line="420" w:lineRule="exact"/>
              <w:jc w:val="left"/>
              <w:rPr>
                <w:rFonts w:hint="eastAsia" w:ascii="宋体" w:hAnsi="宋体"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lang w:val="en-US" w:eastAsia="zh-CN"/>
              </w:rPr>
              <w:t>产品先进性</w:t>
            </w:r>
            <w:r>
              <w:rPr>
                <w:rFonts w:hint="eastAsia" w:ascii="宋体" w:hAnsi="宋体" w:cs="Times New Roman"/>
                <w:color w:val="auto"/>
                <w:kern w:val="2"/>
                <w:sz w:val="24"/>
                <w:szCs w:val="22"/>
                <w:highlight w:val="none"/>
                <w:lang w:val="en-US" w:eastAsia="zh-CN"/>
              </w:rPr>
              <w:t>（4分）</w:t>
            </w:r>
          </w:p>
          <w:p w14:paraId="56E45A46">
            <w:pPr>
              <w:wordWrap/>
              <w:snapToGrid/>
              <w:spacing w:line="420" w:lineRule="exact"/>
              <w:jc w:val="left"/>
              <w:rPr>
                <w:rFonts w:hint="eastAsia" w:ascii="宋体" w:hAnsi="宋体" w:eastAsia="宋体" w:cs="Times New Roman"/>
                <w:color w:val="auto"/>
                <w:kern w:val="2"/>
                <w:sz w:val="24"/>
                <w:szCs w:val="22"/>
                <w:highlight w:val="none"/>
              </w:rPr>
            </w:pPr>
          </w:p>
        </w:tc>
        <w:tc>
          <w:tcPr>
            <w:tcW w:w="5785" w:type="dxa"/>
            <w:vAlign w:val="center"/>
          </w:tcPr>
          <w:p w14:paraId="77EDDE9D">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 xml:space="preserve">1、平台产品符合 GB42250-2022《信息安全技术网络安全专用产品安全技术要求》中所述的有关要求，得 </w:t>
            </w:r>
            <w:r>
              <w:rPr>
                <w:rFonts w:hint="eastAsia" w:ascii="宋体" w:hAnsi="宋体" w:cs="Times New Roman"/>
                <w:color w:val="auto"/>
                <w:sz w:val="24"/>
                <w:szCs w:val="22"/>
                <w:highlight w:val="none"/>
                <w:lang w:val="en-US" w:eastAsia="zh-CN"/>
              </w:rPr>
              <w:t>2</w:t>
            </w:r>
            <w:r>
              <w:rPr>
                <w:rFonts w:hint="eastAsia" w:ascii="宋体" w:hAnsi="宋体" w:eastAsia="宋体" w:cs="Times New Roman"/>
                <w:color w:val="auto"/>
                <w:sz w:val="24"/>
                <w:szCs w:val="22"/>
                <w:highlight w:val="none"/>
                <w:lang w:val="en-US" w:eastAsia="zh-CN"/>
              </w:rPr>
              <w:t xml:space="preserve"> 分 （需提供公安部出具的检测报告）。 </w:t>
            </w:r>
          </w:p>
          <w:p w14:paraId="4FF30782">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 xml:space="preserve">2、平台产品具备信息系统安全等级保护备案证明（三 </w:t>
            </w:r>
          </w:p>
          <w:p w14:paraId="11834614">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级），得</w:t>
            </w:r>
            <w:r>
              <w:rPr>
                <w:rFonts w:hint="eastAsia" w:ascii="宋体" w:hAnsi="宋体" w:cs="Times New Roman"/>
                <w:color w:val="auto"/>
                <w:sz w:val="24"/>
                <w:szCs w:val="22"/>
                <w:highlight w:val="none"/>
                <w:lang w:val="en-US" w:eastAsia="zh-CN"/>
              </w:rPr>
              <w:t>2</w:t>
            </w:r>
            <w:r>
              <w:rPr>
                <w:rFonts w:hint="eastAsia" w:ascii="宋体" w:hAnsi="宋体" w:eastAsia="宋体" w:cs="Times New Roman"/>
                <w:color w:val="auto"/>
                <w:sz w:val="24"/>
                <w:szCs w:val="22"/>
                <w:highlight w:val="none"/>
                <w:lang w:val="en-US" w:eastAsia="zh-CN"/>
              </w:rPr>
              <w:t xml:space="preserve"> 分（需提供备案证明及复测证明）。</w:t>
            </w:r>
          </w:p>
          <w:p w14:paraId="1D71037D">
            <w:pPr>
              <w:wordWrap/>
              <w:snapToGrid/>
              <w:spacing w:line="420" w:lineRule="exact"/>
              <w:rPr>
                <w:rFonts w:hint="eastAsia" w:ascii="宋体" w:hAnsi="宋体" w:eastAsia="宋体" w:cs="Times New Roman"/>
                <w:color w:val="auto"/>
                <w:sz w:val="24"/>
                <w:szCs w:val="22"/>
                <w:highlight w:val="none"/>
              </w:rPr>
            </w:pPr>
          </w:p>
        </w:tc>
      </w:tr>
      <w:tr w14:paraId="175C8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849" w:type="dxa"/>
            <w:gridSpan w:val="2"/>
            <w:vMerge w:val="continue"/>
            <w:tcBorders>
              <w:right w:val="single" w:color="auto" w:sz="4" w:space="0"/>
            </w:tcBorders>
            <w:vAlign w:val="center"/>
          </w:tcPr>
          <w:p w14:paraId="2CAEA347">
            <w:pPr>
              <w:spacing w:line="360" w:lineRule="auto"/>
              <w:jc w:val="center"/>
              <w:rPr>
                <w:rFonts w:ascii="宋体" w:hAnsi="宋体" w:cs="宋体"/>
                <w:color w:val="auto"/>
                <w:sz w:val="24"/>
                <w:szCs w:val="24"/>
                <w:highlight w:val="none"/>
              </w:rPr>
            </w:pPr>
          </w:p>
        </w:tc>
        <w:tc>
          <w:tcPr>
            <w:tcW w:w="1118" w:type="dxa"/>
            <w:vMerge w:val="continue"/>
            <w:tcBorders>
              <w:left w:val="single" w:color="auto" w:sz="4" w:space="0"/>
            </w:tcBorders>
            <w:vAlign w:val="center"/>
          </w:tcPr>
          <w:p w14:paraId="7E23A49D">
            <w:pPr>
              <w:pStyle w:val="69"/>
              <w:wordWrap w:val="0"/>
              <w:snapToGrid w:val="0"/>
              <w:spacing w:line="288" w:lineRule="auto"/>
              <w:ind w:left="0" w:leftChars="0"/>
              <w:jc w:val="center"/>
              <w:rPr>
                <w:rFonts w:hint="eastAsia" w:ascii="宋体" w:hAnsi="宋体" w:eastAsia="宋体" w:cs="宋体"/>
                <w:color w:val="auto"/>
                <w:sz w:val="24"/>
                <w:szCs w:val="24"/>
                <w:highlight w:val="none"/>
              </w:rPr>
            </w:pPr>
          </w:p>
        </w:tc>
        <w:tc>
          <w:tcPr>
            <w:tcW w:w="1720" w:type="dxa"/>
            <w:vAlign w:val="center"/>
          </w:tcPr>
          <w:p w14:paraId="789BA261">
            <w:pPr>
              <w:wordWrap/>
              <w:snapToGrid/>
              <w:spacing w:line="420" w:lineRule="exact"/>
              <w:jc w:val="left"/>
              <w:rPr>
                <w:rFonts w:hint="eastAsia" w:ascii="宋体" w:hAnsi="宋体"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lang w:val="en-US" w:eastAsia="zh-CN"/>
              </w:rPr>
              <w:t xml:space="preserve">售后服务计划 </w:t>
            </w:r>
          </w:p>
          <w:p w14:paraId="626217E3">
            <w:pPr>
              <w:wordWrap/>
              <w:snapToGrid/>
              <w:spacing w:line="420" w:lineRule="exact"/>
              <w:jc w:val="left"/>
              <w:rPr>
                <w:rFonts w:hint="eastAsia" w:ascii="宋体" w:hAnsi="宋体"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lang w:val="en-US" w:eastAsia="zh-CN"/>
              </w:rPr>
              <w:t>（4 分）</w:t>
            </w:r>
          </w:p>
          <w:p w14:paraId="719BBA86">
            <w:pPr>
              <w:wordWrap/>
              <w:snapToGrid/>
              <w:spacing w:line="420" w:lineRule="exact"/>
              <w:jc w:val="left"/>
              <w:rPr>
                <w:rFonts w:hint="eastAsia" w:ascii="宋体" w:hAnsi="宋体" w:eastAsia="宋体" w:cs="Times New Roman"/>
                <w:color w:val="auto"/>
                <w:kern w:val="2"/>
                <w:sz w:val="24"/>
                <w:szCs w:val="22"/>
                <w:highlight w:val="none"/>
              </w:rPr>
            </w:pPr>
          </w:p>
        </w:tc>
        <w:tc>
          <w:tcPr>
            <w:tcW w:w="5785" w:type="dxa"/>
            <w:vAlign w:val="center"/>
          </w:tcPr>
          <w:p w14:paraId="15E611CF">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 xml:space="preserve">投标人针对本项目制定有详尽、完善的服务计划，能够充分考虑采购人工作需要，对服务响应时间、解决问题周期、服务便捷程度有明确清晰的表述。 </w:t>
            </w:r>
          </w:p>
          <w:p w14:paraId="364E4BB1">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 xml:space="preserve">1、服务计划编制合理、可行性强，服务响应时间、解 </w:t>
            </w:r>
          </w:p>
          <w:p w14:paraId="3ABBF19A">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 xml:space="preserve">决问题周期、服务便捷程度充分满足采购人需求的，得4 分； </w:t>
            </w:r>
          </w:p>
          <w:p w14:paraId="7297C29E">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 xml:space="preserve">2、服务计划编制基本合理、可行，服务响应时间、解 </w:t>
            </w:r>
          </w:p>
          <w:p w14:paraId="6369A324">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 xml:space="preserve">决问题周期、服务便捷程度基本符合采购人需求的，得2 分； </w:t>
            </w:r>
          </w:p>
          <w:p w14:paraId="48DB5968">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 xml:space="preserve">3、服务计划编制粗略，服务响应时间、解决问题周期、 </w:t>
            </w:r>
          </w:p>
          <w:p w14:paraId="1011C0E1">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 xml:space="preserve">服务便捷程度不符合采购人需求的，得 1 分； </w:t>
            </w:r>
          </w:p>
          <w:p w14:paraId="1D976C63">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4、未提供不得分。</w:t>
            </w:r>
          </w:p>
          <w:p w14:paraId="07637A2E">
            <w:pPr>
              <w:wordWrap/>
              <w:snapToGrid/>
              <w:spacing w:line="420" w:lineRule="exact"/>
              <w:rPr>
                <w:rFonts w:hint="eastAsia" w:ascii="宋体" w:hAnsi="宋体" w:eastAsia="宋体" w:cs="Times New Roman"/>
                <w:color w:val="auto"/>
                <w:sz w:val="24"/>
                <w:szCs w:val="22"/>
                <w:highlight w:val="none"/>
              </w:rPr>
            </w:pPr>
          </w:p>
        </w:tc>
      </w:tr>
      <w:tr w14:paraId="513EC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849" w:type="dxa"/>
            <w:gridSpan w:val="2"/>
            <w:vMerge w:val="continue"/>
            <w:tcBorders>
              <w:right w:val="single" w:color="auto" w:sz="4" w:space="0"/>
            </w:tcBorders>
            <w:vAlign w:val="center"/>
          </w:tcPr>
          <w:p w14:paraId="256B22D8">
            <w:pPr>
              <w:spacing w:line="360" w:lineRule="auto"/>
              <w:jc w:val="center"/>
              <w:rPr>
                <w:rFonts w:ascii="宋体" w:hAnsi="宋体" w:cs="宋体"/>
                <w:color w:val="auto"/>
                <w:sz w:val="24"/>
                <w:szCs w:val="24"/>
                <w:highlight w:val="none"/>
              </w:rPr>
            </w:pPr>
          </w:p>
        </w:tc>
        <w:tc>
          <w:tcPr>
            <w:tcW w:w="1118" w:type="dxa"/>
            <w:vMerge w:val="continue"/>
            <w:tcBorders>
              <w:left w:val="single" w:color="auto" w:sz="4" w:space="0"/>
            </w:tcBorders>
            <w:vAlign w:val="center"/>
          </w:tcPr>
          <w:p w14:paraId="3F49460E">
            <w:pPr>
              <w:pStyle w:val="69"/>
              <w:wordWrap w:val="0"/>
              <w:snapToGrid w:val="0"/>
              <w:spacing w:line="288" w:lineRule="auto"/>
              <w:ind w:left="0" w:leftChars="0"/>
              <w:jc w:val="center"/>
              <w:rPr>
                <w:rFonts w:hint="eastAsia" w:ascii="宋体" w:hAnsi="宋体" w:eastAsia="宋体" w:cs="宋体"/>
                <w:color w:val="auto"/>
                <w:sz w:val="24"/>
                <w:szCs w:val="24"/>
                <w:highlight w:val="none"/>
              </w:rPr>
            </w:pPr>
          </w:p>
        </w:tc>
        <w:tc>
          <w:tcPr>
            <w:tcW w:w="1720" w:type="dxa"/>
            <w:vAlign w:val="center"/>
          </w:tcPr>
          <w:p w14:paraId="5670980C">
            <w:pPr>
              <w:wordWrap/>
              <w:snapToGrid/>
              <w:spacing w:line="420" w:lineRule="exact"/>
              <w:jc w:val="left"/>
              <w:rPr>
                <w:rFonts w:hint="eastAsia" w:ascii="宋体" w:hAnsi="宋体" w:eastAsia="宋体" w:cs="Times New Roman"/>
                <w:color w:val="auto"/>
                <w:kern w:val="2"/>
                <w:sz w:val="24"/>
                <w:szCs w:val="22"/>
                <w:highlight w:val="none"/>
              </w:rPr>
            </w:pPr>
            <w:r>
              <w:rPr>
                <w:rFonts w:hint="eastAsia" w:ascii="宋体" w:hAnsi="宋体" w:eastAsia="宋体" w:cs="Times New Roman"/>
                <w:color w:val="auto"/>
                <w:sz w:val="24"/>
                <w:szCs w:val="22"/>
                <w:highlight w:val="none"/>
                <w:lang w:val="en-US" w:eastAsia="zh-CN"/>
              </w:rPr>
              <w:t>质保期（2 分）</w:t>
            </w:r>
          </w:p>
        </w:tc>
        <w:tc>
          <w:tcPr>
            <w:tcW w:w="5785" w:type="dxa"/>
            <w:vAlign w:val="center"/>
          </w:tcPr>
          <w:p w14:paraId="0DCFB1F6">
            <w:pPr>
              <w:wordWrap/>
              <w:snapToGrid/>
              <w:spacing w:line="420" w:lineRule="exact"/>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终端质保期满足招标文件要求的，不得分；在满足招标文件基础上再延长1 年得 1 分；延长 2 年得 2 分。注：延长不足 1 年者，不得分。</w:t>
            </w:r>
          </w:p>
        </w:tc>
      </w:tr>
      <w:tr w14:paraId="16D83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849" w:type="dxa"/>
            <w:gridSpan w:val="2"/>
            <w:vMerge w:val="continue"/>
            <w:tcBorders>
              <w:right w:val="single" w:color="auto" w:sz="4" w:space="0"/>
            </w:tcBorders>
            <w:vAlign w:val="center"/>
          </w:tcPr>
          <w:p w14:paraId="41EAECD5">
            <w:pPr>
              <w:spacing w:line="360" w:lineRule="auto"/>
              <w:jc w:val="center"/>
              <w:rPr>
                <w:rFonts w:ascii="宋体" w:hAnsi="宋体" w:cs="宋体"/>
                <w:color w:val="auto"/>
                <w:sz w:val="24"/>
                <w:szCs w:val="24"/>
                <w:highlight w:val="none"/>
              </w:rPr>
            </w:pPr>
          </w:p>
        </w:tc>
        <w:tc>
          <w:tcPr>
            <w:tcW w:w="1118" w:type="dxa"/>
            <w:vMerge w:val="continue"/>
            <w:tcBorders>
              <w:left w:val="single" w:color="auto" w:sz="4" w:space="0"/>
            </w:tcBorders>
            <w:vAlign w:val="center"/>
          </w:tcPr>
          <w:p w14:paraId="5215B480">
            <w:pPr>
              <w:pStyle w:val="69"/>
              <w:wordWrap w:val="0"/>
              <w:snapToGrid w:val="0"/>
              <w:spacing w:line="288" w:lineRule="auto"/>
              <w:ind w:left="0" w:leftChars="0"/>
              <w:jc w:val="center"/>
              <w:rPr>
                <w:rFonts w:hint="eastAsia" w:ascii="宋体" w:hAnsi="宋体" w:eastAsia="宋体" w:cs="宋体"/>
                <w:color w:val="auto"/>
                <w:sz w:val="24"/>
                <w:szCs w:val="24"/>
                <w:highlight w:val="none"/>
              </w:rPr>
            </w:pPr>
          </w:p>
        </w:tc>
        <w:tc>
          <w:tcPr>
            <w:tcW w:w="1720" w:type="dxa"/>
            <w:vAlign w:val="center"/>
          </w:tcPr>
          <w:p w14:paraId="381D9955">
            <w:pPr>
              <w:wordWrap/>
              <w:snapToGrid/>
              <w:spacing w:line="420" w:lineRule="exact"/>
              <w:jc w:val="left"/>
              <w:rPr>
                <w:rFonts w:hint="eastAsia" w:ascii="宋体" w:hAnsi="宋体" w:eastAsia="宋体" w:cs="Times New Roman"/>
                <w:color w:val="auto"/>
                <w:kern w:val="2"/>
                <w:sz w:val="24"/>
                <w:szCs w:val="22"/>
                <w:highlight w:val="none"/>
                <w:lang w:val="en-US" w:eastAsia="zh-CN"/>
              </w:rPr>
            </w:pPr>
            <w:r>
              <w:rPr>
                <w:rFonts w:hint="eastAsia" w:ascii="宋体" w:hAnsi="宋体" w:eastAsia="宋体" w:cs="Times New Roman"/>
                <w:color w:val="auto"/>
                <w:kern w:val="2"/>
                <w:sz w:val="24"/>
                <w:szCs w:val="22"/>
                <w:highlight w:val="none"/>
                <w:lang w:val="en-US" w:eastAsia="zh-CN"/>
              </w:rPr>
              <w:t xml:space="preserve">优惠承诺 </w:t>
            </w:r>
          </w:p>
          <w:p w14:paraId="36C1F474">
            <w:pPr>
              <w:wordWrap/>
              <w:snapToGrid/>
              <w:spacing w:line="420" w:lineRule="exact"/>
              <w:jc w:val="left"/>
              <w:rPr>
                <w:rFonts w:hint="eastAsia" w:ascii="宋体" w:hAnsi="宋体" w:eastAsia="宋体" w:cs="Times New Roman"/>
                <w:color w:val="auto"/>
                <w:kern w:val="2"/>
                <w:sz w:val="24"/>
                <w:szCs w:val="22"/>
                <w:highlight w:val="none"/>
                <w:lang w:val="en-US" w:eastAsia="zh-CN"/>
              </w:rPr>
            </w:pPr>
            <w:r>
              <w:rPr>
                <w:rFonts w:hint="eastAsia" w:ascii="宋体" w:hAnsi="宋体" w:eastAsia="宋体" w:cs="Times New Roman"/>
                <w:color w:val="auto"/>
                <w:kern w:val="2"/>
                <w:sz w:val="24"/>
                <w:szCs w:val="22"/>
                <w:highlight w:val="none"/>
                <w:lang w:val="en-US" w:eastAsia="zh-CN"/>
              </w:rPr>
              <w:t>（4 分）</w:t>
            </w:r>
          </w:p>
          <w:p w14:paraId="5181F61F">
            <w:pPr>
              <w:wordWrap/>
              <w:snapToGrid/>
              <w:spacing w:line="420" w:lineRule="exact"/>
              <w:jc w:val="left"/>
              <w:rPr>
                <w:rFonts w:hint="eastAsia" w:ascii="宋体" w:hAnsi="宋体"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lang w:val="en-US" w:eastAsia="zh-CN"/>
              </w:rPr>
              <w:t xml:space="preserve"> </w:t>
            </w:r>
          </w:p>
          <w:p w14:paraId="554C45F5">
            <w:pPr>
              <w:wordWrap/>
              <w:snapToGrid/>
              <w:spacing w:line="420" w:lineRule="exact"/>
              <w:jc w:val="left"/>
              <w:rPr>
                <w:rFonts w:hint="eastAsia" w:ascii="宋体" w:hAnsi="宋体" w:eastAsia="宋体" w:cs="Times New Roman"/>
                <w:color w:val="auto"/>
                <w:kern w:val="2"/>
                <w:sz w:val="24"/>
                <w:szCs w:val="22"/>
                <w:highlight w:val="none"/>
              </w:rPr>
            </w:pPr>
          </w:p>
        </w:tc>
        <w:tc>
          <w:tcPr>
            <w:tcW w:w="5785" w:type="dxa"/>
            <w:vAlign w:val="center"/>
          </w:tcPr>
          <w:p w14:paraId="4CD68072">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 xml:space="preserve">根据供应商提供的优惠承诺方案进行打分： </w:t>
            </w:r>
          </w:p>
          <w:p w14:paraId="49DD4057">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 xml:space="preserve">1、内容完整、针对性强，紧贴项目需求的，得 4 分； </w:t>
            </w:r>
          </w:p>
          <w:p w14:paraId="5EDE9287">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 xml:space="preserve">2、内容简单、针对性一般，基本满足采购项目需求的， </w:t>
            </w:r>
          </w:p>
          <w:p w14:paraId="481735CD">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 xml:space="preserve">得 2 分； </w:t>
            </w:r>
          </w:p>
          <w:p w14:paraId="497048B7">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 xml:space="preserve">3、内容简单、针对性差，基本满足采购项目需求的， </w:t>
            </w:r>
          </w:p>
          <w:p w14:paraId="6AFB9765">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 xml:space="preserve">得 1 分； </w:t>
            </w:r>
          </w:p>
          <w:p w14:paraId="74E0C1EB">
            <w:pPr>
              <w:wordWrap/>
              <w:snapToGrid/>
              <w:spacing w:line="420" w:lineRule="exac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4、未提供不得分。</w:t>
            </w:r>
          </w:p>
        </w:tc>
      </w:tr>
    </w:tbl>
    <w:p w14:paraId="147A4006">
      <w:pPr>
        <w:spacing w:line="360" w:lineRule="auto"/>
        <w:rPr>
          <w:rFonts w:hint="eastAsia" w:ascii="宋体" w:hAnsi="宋体" w:cs="宋体"/>
          <w:color w:val="auto"/>
          <w:sz w:val="24"/>
          <w:szCs w:val="24"/>
          <w:highlight w:val="none"/>
        </w:rPr>
      </w:pPr>
    </w:p>
    <w:p w14:paraId="529CB299">
      <w:pPr>
        <w:wordWrap w:val="0"/>
        <w:spacing w:line="360" w:lineRule="auto"/>
        <w:ind w:firstLine="482" w:firstLineChars="200"/>
        <w:outlineLvl w:val="1"/>
        <w:rPr>
          <w:rFonts w:hint="eastAsia" w:ascii="宋体" w:hAnsi="宋体" w:cs="宋体"/>
          <w:color w:val="auto"/>
          <w:sz w:val="24"/>
          <w:szCs w:val="24"/>
          <w:highlight w:val="none"/>
        </w:rPr>
      </w:pPr>
      <w:bookmarkStart w:id="179" w:name="_Toc19151"/>
      <w:bookmarkStart w:id="180" w:name="_Toc8803"/>
      <w:bookmarkStart w:id="181" w:name="_Toc12763"/>
      <w:bookmarkStart w:id="182" w:name="_Toc5520"/>
      <w:bookmarkStart w:id="183" w:name="_Toc13785"/>
      <w:bookmarkStart w:id="184" w:name="_Toc530496915"/>
      <w:bookmarkStart w:id="185" w:name="_Toc16357"/>
      <w:bookmarkStart w:id="186" w:name="_Toc5513"/>
      <w:bookmarkStart w:id="187" w:name="_Toc22429"/>
      <w:bookmarkStart w:id="188" w:name="_Toc8332"/>
      <w:r>
        <w:rPr>
          <w:rFonts w:ascii="宋体" w:hAnsi="宋体" w:cs="宋体"/>
          <w:b/>
          <w:bCs/>
          <w:color w:val="auto"/>
          <w:sz w:val="24"/>
          <w:szCs w:val="24"/>
          <w:highlight w:val="none"/>
        </w:rPr>
        <w:t>1.</w:t>
      </w:r>
      <w:r>
        <w:rPr>
          <w:rFonts w:hint="eastAsia" w:ascii="宋体" w:hAnsi="宋体" w:cs="宋体"/>
          <w:b/>
          <w:bCs/>
          <w:color w:val="auto"/>
          <w:sz w:val="24"/>
          <w:szCs w:val="24"/>
          <w:highlight w:val="none"/>
        </w:rPr>
        <w:t>评标方法</w:t>
      </w:r>
      <w:bookmarkEnd w:id="179"/>
      <w:bookmarkEnd w:id="180"/>
      <w:bookmarkEnd w:id="181"/>
      <w:bookmarkEnd w:id="182"/>
      <w:bookmarkEnd w:id="183"/>
      <w:bookmarkEnd w:id="184"/>
      <w:bookmarkEnd w:id="185"/>
      <w:bookmarkEnd w:id="186"/>
      <w:bookmarkEnd w:id="187"/>
      <w:bookmarkEnd w:id="188"/>
    </w:p>
    <w:p w14:paraId="52089468">
      <w:pPr>
        <w:pStyle w:val="9"/>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本次评标采用综合评分法。评标委员会对满足招标文件实质性要求的投标文件，按照本章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第</w:t>
      </w:r>
      <w:r>
        <w:rPr>
          <w:rFonts w:ascii="宋体" w:hAnsi="宋体" w:cs="宋体"/>
          <w:color w:val="auto"/>
          <w:sz w:val="24"/>
          <w:szCs w:val="24"/>
          <w:highlight w:val="none"/>
        </w:rPr>
        <w:t xml:space="preserve"> 2.2 </w:t>
      </w:r>
      <w:r>
        <w:rPr>
          <w:rFonts w:hint="eastAsia" w:ascii="宋体" w:hAnsi="宋体" w:cs="宋体"/>
          <w:color w:val="auto"/>
          <w:sz w:val="24"/>
          <w:szCs w:val="24"/>
          <w:highlight w:val="none"/>
        </w:rPr>
        <w:t>款规定的评分标准进行打分，并按得分由高到低顺序推荐中标候选人，或根据采购人授权直接确定中标人，但投标报价低于其成本的除外。综合评分相等时，以投标报价低的优先；投标报价也相等的，以技术得分高的优先；如果技术得分也相等，由采购人自行确定。</w:t>
      </w:r>
    </w:p>
    <w:p w14:paraId="6B350567">
      <w:pPr>
        <w:wordWrap w:val="0"/>
        <w:spacing w:line="360" w:lineRule="auto"/>
        <w:ind w:firstLine="482" w:firstLineChars="200"/>
        <w:outlineLvl w:val="1"/>
        <w:rPr>
          <w:rFonts w:hint="eastAsia" w:ascii="宋体" w:hAnsi="宋体" w:cs="宋体"/>
          <w:b/>
          <w:bCs/>
          <w:color w:val="auto"/>
          <w:sz w:val="24"/>
          <w:szCs w:val="24"/>
          <w:highlight w:val="none"/>
        </w:rPr>
      </w:pPr>
      <w:bookmarkStart w:id="189" w:name="_Toc1782"/>
      <w:bookmarkStart w:id="190" w:name="_Toc18389"/>
      <w:bookmarkStart w:id="191" w:name="_Toc12679"/>
      <w:bookmarkStart w:id="192" w:name="_Toc23568_WPSOffice_Level1"/>
      <w:bookmarkStart w:id="193" w:name="_Toc530496916"/>
      <w:bookmarkStart w:id="194" w:name="_Toc15498"/>
      <w:bookmarkStart w:id="195" w:name="_Toc1567"/>
      <w:bookmarkStart w:id="196" w:name="_Toc23958"/>
      <w:bookmarkStart w:id="197" w:name="_Toc10068"/>
      <w:bookmarkStart w:id="198" w:name="_Toc22627"/>
      <w:bookmarkStart w:id="199" w:name="_Toc24369"/>
      <w:bookmarkStart w:id="200" w:name="_Toc10310"/>
      <w:bookmarkStart w:id="201" w:name="_Toc17114"/>
      <w:bookmarkStart w:id="202" w:name="_Toc9648"/>
      <w:r>
        <w:rPr>
          <w:rFonts w:ascii="宋体" w:hAnsi="宋体" w:cs="宋体"/>
          <w:b/>
          <w:bCs/>
          <w:color w:val="auto"/>
          <w:sz w:val="24"/>
          <w:szCs w:val="24"/>
          <w:highlight w:val="none"/>
        </w:rPr>
        <w:t>2.</w:t>
      </w:r>
      <w:r>
        <w:rPr>
          <w:rFonts w:hint="eastAsia" w:ascii="宋体" w:hAnsi="宋体" w:cs="宋体"/>
          <w:b/>
          <w:bCs/>
          <w:color w:val="auto"/>
          <w:sz w:val="24"/>
          <w:szCs w:val="24"/>
          <w:highlight w:val="none"/>
        </w:rPr>
        <w:t>评审标准</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D2EF9D6">
      <w:pPr>
        <w:pStyle w:val="4"/>
        <w:wordWrap w:val="0"/>
        <w:spacing w:line="360" w:lineRule="auto"/>
        <w:ind w:firstLine="482" w:firstLineChars="200"/>
        <w:rPr>
          <w:rFonts w:hint="eastAsia" w:ascii="宋体" w:hAnsi="宋体" w:cs="宋体"/>
          <w:color w:val="auto"/>
          <w:sz w:val="24"/>
          <w:szCs w:val="24"/>
          <w:highlight w:val="none"/>
        </w:rPr>
      </w:pPr>
      <w:bookmarkStart w:id="203" w:name="_Toc530496917"/>
      <w:bookmarkStart w:id="204" w:name="_Toc1152"/>
      <w:bookmarkStart w:id="205" w:name="_Toc10914"/>
      <w:bookmarkStart w:id="206" w:name="_Toc12861"/>
      <w:bookmarkStart w:id="207" w:name="_Toc514341693"/>
      <w:bookmarkStart w:id="208" w:name="_Toc19599"/>
      <w:bookmarkStart w:id="209" w:name="_Toc6317_WPSOffice_Level2"/>
      <w:r>
        <w:rPr>
          <w:rFonts w:ascii="宋体" w:hAnsi="宋体" w:cs="宋体"/>
          <w:color w:val="auto"/>
          <w:sz w:val="24"/>
          <w:szCs w:val="24"/>
          <w:highlight w:val="none"/>
        </w:rPr>
        <w:t xml:space="preserve">2.1 </w:t>
      </w:r>
      <w:bookmarkEnd w:id="203"/>
      <w:bookmarkEnd w:id="204"/>
      <w:bookmarkEnd w:id="205"/>
      <w:bookmarkEnd w:id="206"/>
      <w:bookmarkEnd w:id="207"/>
      <w:bookmarkEnd w:id="208"/>
      <w:bookmarkEnd w:id="209"/>
      <w:r>
        <w:rPr>
          <w:rFonts w:hint="eastAsia" w:ascii="宋体" w:hAnsi="宋体" w:cs="宋体"/>
          <w:color w:val="auto"/>
          <w:sz w:val="24"/>
          <w:szCs w:val="24"/>
          <w:highlight w:val="none"/>
        </w:rPr>
        <w:t>符合性评审标准</w:t>
      </w:r>
    </w:p>
    <w:p w14:paraId="79A0FE3D">
      <w:pPr>
        <w:autoSpaceDE w:val="0"/>
        <w:autoSpaceDN w:val="0"/>
        <w:adjustRightInd w:val="0"/>
        <w:spacing w:line="360" w:lineRule="auto"/>
        <w:ind w:left="522" w:right="-23"/>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符合性审查标准：见评标办法前附表。</w:t>
      </w:r>
    </w:p>
    <w:p w14:paraId="722EFDC6">
      <w:pPr>
        <w:pStyle w:val="4"/>
        <w:wordWrap w:val="0"/>
        <w:spacing w:line="360" w:lineRule="auto"/>
        <w:ind w:firstLine="482" w:firstLineChars="200"/>
        <w:rPr>
          <w:rFonts w:hint="eastAsia" w:ascii="宋体" w:hAnsi="宋体" w:cs="宋体"/>
          <w:color w:val="auto"/>
          <w:sz w:val="24"/>
          <w:szCs w:val="24"/>
          <w:highlight w:val="none"/>
        </w:rPr>
      </w:pPr>
      <w:bookmarkStart w:id="210" w:name="_Toc3829_WPSOffice_Level2"/>
      <w:bookmarkStart w:id="211" w:name="_Toc31383"/>
      <w:bookmarkStart w:id="212" w:name="_Toc12176"/>
      <w:bookmarkStart w:id="213" w:name="_Toc1213"/>
      <w:bookmarkStart w:id="214" w:name="_Toc530496918"/>
      <w:bookmarkStart w:id="215" w:name="_Toc26489"/>
      <w:bookmarkStart w:id="216" w:name="_Toc514341694"/>
      <w:r>
        <w:rPr>
          <w:rFonts w:ascii="宋体" w:hAnsi="宋体" w:cs="宋体"/>
          <w:color w:val="auto"/>
          <w:sz w:val="24"/>
          <w:szCs w:val="24"/>
          <w:highlight w:val="none"/>
        </w:rPr>
        <w:t xml:space="preserve">2.2 </w:t>
      </w:r>
      <w:r>
        <w:rPr>
          <w:rFonts w:hint="eastAsia" w:ascii="宋体" w:hAnsi="宋体" w:cs="宋体"/>
          <w:color w:val="auto"/>
          <w:sz w:val="24"/>
          <w:szCs w:val="24"/>
          <w:highlight w:val="none"/>
        </w:rPr>
        <w:t>分值构成与评分标准</w:t>
      </w:r>
      <w:bookmarkEnd w:id="210"/>
      <w:bookmarkEnd w:id="211"/>
      <w:bookmarkEnd w:id="212"/>
      <w:bookmarkEnd w:id="213"/>
      <w:bookmarkEnd w:id="214"/>
      <w:bookmarkEnd w:id="215"/>
      <w:bookmarkEnd w:id="216"/>
    </w:p>
    <w:p w14:paraId="58C608EE">
      <w:pPr>
        <w:pStyle w:val="9"/>
        <w:wordWrap w:val="0"/>
        <w:spacing w:line="360" w:lineRule="auto"/>
        <w:ind w:firstLine="480" w:firstLineChars="200"/>
        <w:rPr>
          <w:rFonts w:hint="eastAsia" w:ascii="宋体" w:hAnsi="宋体" w:cs="宋体"/>
          <w:color w:val="auto"/>
          <w:sz w:val="24"/>
          <w:szCs w:val="24"/>
          <w:highlight w:val="none"/>
        </w:rPr>
      </w:pPr>
      <w:bookmarkStart w:id="217" w:name="_Toc14710_WPSOffice_Level3"/>
      <w:r>
        <w:rPr>
          <w:rFonts w:ascii="宋体" w:hAnsi="宋体" w:cs="宋体"/>
          <w:color w:val="auto"/>
          <w:sz w:val="24"/>
          <w:szCs w:val="24"/>
          <w:highlight w:val="none"/>
        </w:rPr>
        <w:t xml:space="preserve">2.2.1 </w:t>
      </w:r>
      <w:r>
        <w:rPr>
          <w:rFonts w:hint="eastAsia" w:ascii="宋体" w:hAnsi="宋体" w:cs="宋体"/>
          <w:color w:val="auto"/>
          <w:sz w:val="24"/>
          <w:szCs w:val="24"/>
          <w:highlight w:val="none"/>
        </w:rPr>
        <w:t>分值构成</w:t>
      </w:r>
      <w:bookmarkEnd w:id="217"/>
    </w:p>
    <w:p w14:paraId="6E565BD7">
      <w:pPr>
        <w:pStyle w:val="9"/>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）投标报价：见评标办法前附表；</w:t>
      </w:r>
    </w:p>
    <w:p w14:paraId="7DF493F2">
      <w:pPr>
        <w:pStyle w:val="9"/>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）技术部分：见评标办法前附表；</w:t>
      </w:r>
    </w:p>
    <w:p w14:paraId="601E141A">
      <w:pPr>
        <w:pStyle w:val="9"/>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）商务部分：见评标办法前附表；</w:t>
      </w:r>
    </w:p>
    <w:p w14:paraId="646E8267">
      <w:pPr>
        <w:pStyle w:val="9"/>
        <w:wordWrap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2.2.2 </w:t>
      </w:r>
      <w:r>
        <w:rPr>
          <w:rFonts w:hint="eastAsia" w:ascii="宋体" w:hAnsi="宋体" w:cs="宋体"/>
          <w:color w:val="auto"/>
          <w:sz w:val="24"/>
          <w:szCs w:val="24"/>
          <w:highlight w:val="none"/>
        </w:rPr>
        <w:t>评分标准</w:t>
      </w:r>
    </w:p>
    <w:p w14:paraId="24DD37E5">
      <w:pPr>
        <w:pStyle w:val="9"/>
        <w:wordWrap w:val="0"/>
        <w:spacing w:line="360" w:lineRule="auto"/>
        <w:ind w:firstLine="480" w:firstLineChars="200"/>
        <w:rPr>
          <w:rFonts w:hint="eastAsia" w:ascii="宋体" w:hAnsi="宋体" w:cs="宋体"/>
          <w:color w:val="auto"/>
          <w:sz w:val="24"/>
          <w:szCs w:val="24"/>
          <w:highlight w:val="none"/>
        </w:rPr>
      </w:pPr>
      <w:bookmarkStart w:id="218" w:name="_Toc29820_WPSOffice_Level1"/>
      <w:bookmarkStart w:id="219" w:name="_Toc4307"/>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）投标报价：见评标办法前附表；</w:t>
      </w:r>
    </w:p>
    <w:p w14:paraId="31094CD1">
      <w:pPr>
        <w:pStyle w:val="9"/>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）技术部分：见评标办法前附表；</w:t>
      </w:r>
    </w:p>
    <w:p w14:paraId="670BCD85">
      <w:pPr>
        <w:pStyle w:val="9"/>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）商务部分：见评标办法前附表；</w:t>
      </w:r>
    </w:p>
    <w:p w14:paraId="0AB79453">
      <w:pPr>
        <w:wordWrap w:val="0"/>
        <w:spacing w:line="360" w:lineRule="auto"/>
        <w:ind w:firstLine="482" w:firstLineChars="200"/>
        <w:outlineLvl w:val="1"/>
        <w:rPr>
          <w:rFonts w:hint="eastAsia" w:ascii="宋体" w:hAnsi="宋体" w:cs="宋体"/>
          <w:b/>
          <w:bCs/>
          <w:color w:val="auto"/>
          <w:sz w:val="24"/>
          <w:szCs w:val="24"/>
          <w:highlight w:val="none"/>
        </w:rPr>
      </w:pPr>
      <w:bookmarkStart w:id="220" w:name="_Toc6454"/>
      <w:bookmarkStart w:id="221" w:name="_Toc11602"/>
      <w:bookmarkStart w:id="222" w:name="_Toc5177"/>
      <w:bookmarkStart w:id="223" w:name="_Toc29637"/>
      <w:bookmarkStart w:id="224" w:name="_Toc3793"/>
      <w:bookmarkStart w:id="225" w:name="_Toc530496919"/>
      <w:bookmarkStart w:id="226" w:name="_Toc12913"/>
      <w:bookmarkStart w:id="227" w:name="_Toc1565"/>
      <w:bookmarkStart w:id="228" w:name="_Toc26514"/>
      <w:bookmarkStart w:id="229" w:name="_Toc341"/>
      <w:bookmarkStart w:id="230" w:name="_Toc24215"/>
      <w:bookmarkStart w:id="231" w:name="_Toc23559"/>
      <w:r>
        <w:rPr>
          <w:rFonts w:ascii="宋体" w:hAnsi="宋体" w:cs="宋体"/>
          <w:b/>
          <w:bCs/>
          <w:color w:val="auto"/>
          <w:sz w:val="24"/>
          <w:szCs w:val="24"/>
          <w:highlight w:val="none"/>
        </w:rPr>
        <w:t>3.</w:t>
      </w:r>
      <w:r>
        <w:rPr>
          <w:rFonts w:hint="eastAsia" w:ascii="宋体" w:hAnsi="宋体" w:cs="宋体"/>
          <w:b/>
          <w:bCs/>
          <w:color w:val="auto"/>
          <w:sz w:val="24"/>
          <w:szCs w:val="24"/>
          <w:highlight w:val="none"/>
        </w:rPr>
        <w:t>评标程序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743A6B5A">
      <w:pPr>
        <w:spacing w:line="360" w:lineRule="auto"/>
        <w:ind w:firstLine="480" w:firstLineChars="200"/>
        <w:rPr>
          <w:rFonts w:hint="eastAsia" w:ascii="宋体" w:hAnsi="宋体" w:cs="宋体"/>
          <w:color w:val="auto"/>
          <w:sz w:val="24"/>
          <w:szCs w:val="24"/>
          <w:highlight w:val="none"/>
        </w:rPr>
      </w:pPr>
      <w:bookmarkStart w:id="232" w:name="_Toc18983"/>
      <w:bookmarkStart w:id="233" w:name="_Toc32083"/>
      <w:bookmarkStart w:id="234" w:name="_Toc7036"/>
      <w:bookmarkStart w:id="235" w:name="_Toc9613"/>
      <w:bookmarkStart w:id="236" w:name="_Toc1654"/>
      <w:bookmarkStart w:id="237" w:name="_Toc17957"/>
      <w:bookmarkStart w:id="238" w:name="_Toc5708"/>
      <w:bookmarkStart w:id="239" w:name="_Toc10682"/>
      <w:bookmarkStart w:id="240" w:name="_Toc9443"/>
      <w:bookmarkStart w:id="241" w:name="_Toc21400"/>
      <w:bookmarkStart w:id="242" w:name="_Toc25580_WPSOffice_Level2"/>
      <w:bookmarkStart w:id="243" w:name="_Toc15544"/>
      <w:bookmarkStart w:id="244" w:name="_Toc514341697"/>
      <w:bookmarkStart w:id="245" w:name="_Toc26918"/>
      <w:bookmarkStart w:id="246" w:name="_Toc5955"/>
      <w:bookmarkStart w:id="247" w:name="_Toc530496921"/>
      <w:r>
        <w:rPr>
          <w:rFonts w:ascii="宋体" w:hAnsi="宋体" w:cs="宋体"/>
          <w:color w:val="auto"/>
          <w:sz w:val="24"/>
          <w:szCs w:val="24"/>
          <w:highlight w:val="none"/>
        </w:rPr>
        <w:t xml:space="preserve">3.1 </w:t>
      </w:r>
      <w:r>
        <w:rPr>
          <w:rFonts w:hint="eastAsia" w:ascii="宋体" w:hAnsi="宋体" w:cs="宋体"/>
          <w:color w:val="auto"/>
          <w:sz w:val="24"/>
          <w:szCs w:val="24"/>
          <w:highlight w:val="none"/>
        </w:rPr>
        <w:t>符合性审查</w:t>
      </w:r>
      <w:bookmarkEnd w:id="232"/>
      <w:bookmarkEnd w:id="233"/>
      <w:bookmarkEnd w:id="234"/>
      <w:bookmarkEnd w:id="235"/>
      <w:bookmarkEnd w:id="236"/>
      <w:bookmarkEnd w:id="237"/>
      <w:bookmarkEnd w:id="238"/>
      <w:bookmarkEnd w:id="239"/>
      <w:bookmarkEnd w:id="240"/>
    </w:p>
    <w:p w14:paraId="3F28400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评标委员会依据本章评标办法前附表规定的标准，对符合资格的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的投标文件进行符合性审查，以确定其是否满足招标文件的实质性要求，有一项不符合评审标准的，评标委员会应当认定其投标无效。</w:t>
      </w:r>
    </w:p>
    <w:p w14:paraId="5F1AFDC3">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3.1.1 </w:t>
      </w:r>
      <w:r>
        <w:rPr>
          <w:rFonts w:hint="eastAsia" w:ascii="宋体" w:hAnsi="宋体" w:cs="宋体"/>
          <w:color w:val="auto"/>
          <w:sz w:val="24"/>
          <w:szCs w:val="24"/>
          <w:highlight w:val="none"/>
        </w:rPr>
        <w:t>投标报价有算术错误及其他错误的，评标委员会按以下原则要求</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对投标报价进行修正</w:t>
      </w:r>
    </w:p>
    <w:p w14:paraId="253D5F2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投标文件中开标一览表（报价表）内容与投标文件中相应内容不一致的，以</w:t>
      </w:r>
      <w:r>
        <w:rPr>
          <w:rFonts w:hint="eastAsia" w:ascii="宋体" w:hAnsi="宋体" w:cs="宋体"/>
          <w:color w:val="auto"/>
          <w:sz w:val="24"/>
          <w:szCs w:val="24"/>
          <w:highlight w:val="none"/>
          <w:lang w:val="en-US" w:eastAsia="zh-CN"/>
        </w:rPr>
        <w:t>投标文件</w:t>
      </w:r>
      <w:r>
        <w:rPr>
          <w:rFonts w:hint="eastAsia" w:ascii="宋体" w:hAnsi="宋体" w:cs="宋体"/>
          <w:color w:val="auto"/>
          <w:sz w:val="24"/>
          <w:szCs w:val="24"/>
          <w:highlight w:val="none"/>
        </w:rPr>
        <w:t>为准；</w:t>
      </w:r>
    </w:p>
    <w:p w14:paraId="0A174B7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大写金额和小写金额不一致的，以大写金额为准；</w:t>
      </w:r>
    </w:p>
    <w:p w14:paraId="1EC14F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单价金额小数点或者百分比有明显错位的，以</w:t>
      </w:r>
      <w:r>
        <w:rPr>
          <w:rFonts w:hint="eastAsia" w:ascii="宋体" w:hAnsi="宋体" w:cs="宋体"/>
          <w:color w:val="auto"/>
          <w:sz w:val="24"/>
          <w:szCs w:val="24"/>
          <w:highlight w:val="none"/>
          <w:lang w:val="en-US" w:eastAsia="zh-CN"/>
        </w:rPr>
        <w:t>开标一览表</w:t>
      </w:r>
      <w:r>
        <w:rPr>
          <w:rFonts w:hint="eastAsia" w:ascii="宋体" w:hAnsi="宋体" w:cs="宋体"/>
          <w:color w:val="auto"/>
          <w:sz w:val="24"/>
          <w:szCs w:val="24"/>
          <w:highlight w:val="none"/>
        </w:rPr>
        <w:t>的总价为准，并修改单价；</w:t>
      </w:r>
    </w:p>
    <w:p w14:paraId="0F6C75C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总价金额与按单价汇总金额不一致的，以单价金额计算结果为准。</w:t>
      </w:r>
    </w:p>
    <w:p w14:paraId="757DE80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同时出现两种以上不一致的，按照前款规定的顺序修正。修正后的报价应当采用书面形式，并加盖公章，或者由法定代表人或其授权的代表签字，</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不确认的，其投标无效。</w:t>
      </w:r>
    </w:p>
    <w:p w14:paraId="17F0B786">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3.1.2（一）采购人应当在采购文件中明确，政府采购评审中出现下列情形之一的，评审委员会应当启动异常低价投标（响应）审查程序： </w:t>
      </w:r>
    </w:p>
    <w:p w14:paraId="7335B216">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1.投标（响应）报价低于全部通过符合性审查供应商投标（响应）报价平均值50%的，即投标（响应）报价&lt;全部通过符合性审查供应商投标（响应）报价平均值×50%； </w:t>
      </w:r>
    </w:p>
    <w:p w14:paraId="4CB3714D">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2.投标（响应）报价低于通过符合性审查的次低报价供应商投标（响应）报价50%的，即投标（响应）报价&lt;通过符合性审查的次低报价供应商投标（响应）报价×50%； </w:t>
      </w:r>
    </w:p>
    <w:p w14:paraId="6FDC821A">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3.投标（响应）报价低于采购项目最高限价45%的，即投标（响应）报价&lt;采购项目最高限价×45%； </w:t>
      </w:r>
    </w:p>
    <w:p w14:paraId="7E4F9424">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4.评审委员会基于专业判断，认为供应商报价过低，有可能影响产品质量或者不能诚信履约的其他情形。 </w:t>
      </w:r>
    </w:p>
    <w:p w14:paraId="37CB12C3">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相关法律法规对供应商报价有规定的，从其规定。 </w:t>
      </w:r>
    </w:p>
    <w:p w14:paraId="52784970">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i w:val="0"/>
          <w:iCs w:val="0"/>
          <w:caps w:val="0"/>
          <w:color w:val="333333"/>
          <w:spacing w:val="0"/>
          <w:sz w:val="24"/>
          <w:szCs w:val="24"/>
          <w:shd w:val="clear" w:fill="FFFFFF"/>
        </w:rPr>
        <w:t>（二）</w:t>
      </w:r>
      <w:r>
        <w:rPr>
          <w:rFonts w:hint="default" w:ascii="宋体" w:hAnsi="宋体" w:cs="宋体"/>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9DAE376">
      <w:p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A9D8269">
      <w:p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3871D660">
      <w:p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49E6953F">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注：本项目由</w:t>
      </w:r>
      <w:r>
        <w:rPr>
          <w:rFonts w:hint="default" w:ascii="宋体" w:hAnsi="宋体" w:cs="宋体"/>
          <w:b w:val="0"/>
          <w:bCs w:val="0"/>
          <w:color w:val="auto"/>
          <w:sz w:val="24"/>
          <w:szCs w:val="24"/>
          <w:highlight w:val="none"/>
          <w:lang w:val="en-US" w:eastAsia="zh-CN"/>
        </w:rPr>
        <w:t>评审委员会</w:t>
      </w:r>
      <w:r>
        <w:rPr>
          <w:rFonts w:hint="eastAsia" w:ascii="宋体" w:hAnsi="宋体" w:cs="宋体"/>
          <w:b w:val="0"/>
          <w:bCs w:val="0"/>
          <w:color w:val="auto"/>
          <w:sz w:val="24"/>
          <w:szCs w:val="24"/>
          <w:highlight w:val="none"/>
          <w:lang w:val="en-US" w:eastAsia="zh-CN"/>
        </w:rPr>
        <w:t>在河南省公共资源交易中心评标室进行评审，若</w:t>
      </w:r>
      <w:r>
        <w:rPr>
          <w:rFonts w:hint="default" w:ascii="宋体" w:hAnsi="宋体" w:cs="宋体"/>
          <w:b w:val="0"/>
          <w:bCs w:val="0"/>
          <w:color w:val="auto"/>
          <w:sz w:val="24"/>
          <w:szCs w:val="24"/>
          <w:highlight w:val="none"/>
          <w:lang w:val="en-US" w:eastAsia="zh-CN"/>
        </w:rPr>
        <w:t>采购人、采购代理机构</w:t>
      </w:r>
      <w:r>
        <w:rPr>
          <w:rFonts w:hint="eastAsia" w:ascii="宋体" w:hAnsi="宋体" w:cs="宋体"/>
          <w:b w:val="0"/>
          <w:bCs w:val="0"/>
          <w:color w:val="auto"/>
          <w:sz w:val="24"/>
          <w:szCs w:val="24"/>
          <w:highlight w:val="none"/>
          <w:lang w:val="en-US" w:eastAsia="zh-CN"/>
        </w:rPr>
        <w:t>无法通过河南省公共资源交易中心</w:t>
      </w:r>
      <w:r>
        <w:rPr>
          <w:rFonts w:hint="default" w:ascii="宋体" w:hAnsi="宋体" w:cs="宋体"/>
          <w:b w:val="0"/>
          <w:bCs w:val="0"/>
          <w:color w:val="auto"/>
          <w:sz w:val="24"/>
          <w:szCs w:val="24"/>
          <w:highlight w:val="none"/>
          <w:lang w:val="en-US" w:eastAsia="zh-CN"/>
        </w:rPr>
        <w:t>为评审委员会</w:t>
      </w:r>
      <w:r>
        <w:rPr>
          <w:rFonts w:hint="eastAsia" w:ascii="宋体" w:hAnsi="宋体" w:cs="宋体"/>
          <w:b w:val="0"/>
          <w:bCs w:val="0"/>
          <w:color w:val="auto"/>
          <w:sz w:val="24"/>
          <w:szCs w:val="24"/>
          <w:highlight w:val="none"/>
          <w:lang w:val="en-US" w:eastAsia="zh-CN"/>
        </w:rPr>
        <w:t>提供</w:t>
      </w:r>
      <w:r>
        <w:rPr>
          <w:rFonts w:hint="default" w:ascii="宋体" w:hAnsi="宋体" w:cs="宋体"/>
          <w:b w:val="0"/>
          <w:bCs w:val="0"/>
          <w:color w:val="auto"/>
          <w:sz w:val="24"/>
          <w:szCs w:val="24"/>
          <w:highlight w:val="none"/>
          <w:lang w:val="en-US" w:eastAsia="zh-CN"/>
        </w:rPr>
        <w:t>相关信息资料</w:t>
      </w:r>
      <w:r>
        <w:rPr>
          <w:rFonts w:hint="eastAsia" w:ascii="宋体" w:hAnsi="宋体" w:cs="宋体"/>
          <w:b w:val="0"/>
          <w:bCs w:val="0"/>
          <w:color w:val="auto"/>
          <w:sz w:val="24"/>
          <w:szCs w:val="24"/>
          <w:highlight w:val="none"/>
          <w:lang w:val="en-US" w:eastAsia="zh-CN"/>
        </w:rPr>
        <w:t>，及</w:t>
      </w:r>
      <w:r>
        <w:rPr>
          <w:rFonts w:hint="default" w:ascii="宋体" w:hAnsi="宋体" w:cs="宋体"/>
          <w:b w:val="0"/>
          <w:bCs w:val="0"/>
          <w:color w:val="auto"/>
          <w:sz w:val="24"/>
          <w:szCs w:val="24"/>
          <w:highlight w:val="none"/>
          <w:lang w:val="en-US" w:eastAsia="zh-CN"/>
        </w:rPr>
        <w:t>评审委员会</w:t>
      </w:r>
      <w:r>
        <w:rPr>
          <w:rFonts w:hint="eastAsia" w:ascii="宋体" w:hAnsi="宋体" w:cs="宋体"/>
          <w:b w:val="0"/>
          <w:bCs w:val="0"/>
          <w:color w:val="auto"/>
          <w:sz w:val="24"/>
          <w:szCs w:val="24"/>
          <w:highlight w:val="none"/>
          <w:lang w:val="en-US" w:eastAsia="zh-CN"/>
        </w:rPr>
        <w:t>无法</w:t>
      </w:r>
      <w:r>
        <w:rPr>
          <w:rFonts w:hint="default" w:ascii="宋体" w:hAnsi="宋体" w:cs="宋体"/>
          <w:b w:val="0"/>
          <w:bCs w:val="0"/>
          <w:color w:val="auto"/>
          <w:sz w:val="24"/>
          <w:szCs w:val="24"/>
          <w:highlight w:val="none"/>
          <w:lang w:val="en-US" w:eastAsia="zh-CN"/>
        </w:rPr>
        <w:t>借助互联网等渠道查询相关信息的</w:t>
      </w:r>
      <w:r>
        <w:rPr>
          <w:rFonts w:hint="eastAsia" w:ascii="宋体" w:hAnsi="宋体" w:cs="宋体"/>
          <w:b w:val="0"/>
          <w:bCs w:val="0"/>
          <w:color w:val="auto"/>
          <w:sz w:val="24"/>
          <w:szCs w:val="24"/>
          <w:highlight w:val="none"/>
          <w:lang w:val="en-US" w:eastAsia="zh-CN"/>
        </w:rPr>
        <w:t>，</w:t>
      </w:r>
      <w:r>
        <w:rPr>
          <w:rFonts w:hint="default" w:ascii="宋体" w:hAnsi="宋体" w:cs="宋体"/>
          <w:b w:val="0"/>
          <w:bCs w:val="0"/>
          <w:color w:val="auto"/>
          <w:sz w:val="24"/>
          <w:szCs w:val="24"/>
          <w:highlight w:val="none"/>
          <w:lang w:val="en-US" w:eastAsia="zh-CN"/>
        </w:rPr>
        <w:t>评审委员会</w:t>
      </w:r>
      <w:r>
        <w:rPr>
          <w:rFonts w:hint="eastAsia" w:ascii="宋体" w:hAnsi="宋体" w:cs="宋体"/>
          <w:b w:val="0"/>
          <w:bCs w:val="0"/>
          <w:color w:val="auto"/>
          <w:sz w:val="24"/>
          <w:szCs w:val="24"/>
          <w:highlight w:val="none"/>
          <w:lang w:val="en-US" w:eastAsia="zh-CN"/>
        </w:rPr>
        <w:t>根据</w:t>
      </w:r>
      <w:r>
        <w:rPr>
          <w:rFonts w:hint="default" w:ascii="宋体" w:hAnsi="宋体" w:cs="宋体"/>
          <w:b w:val="0"/>
          <w:bCs w:val="0"/>
          <w:color w:val="auto"/>
          <w:sz w:val="24"/>
          <w:szCs w:val="24"/>
          <w:highlight w:val="none"/>
          <w:lang w:val="en-US" w:eastAsia="zh-CN"/>
        </w:rPr>
        <w:t>投标（响应）供应商</w:t>
      </w:r>
      <w:r>
        <w:rPr>
          <w:rFonts w:hint="eastAsia" w:ascii="宋体" w:hAnsi="宋体" w:cs="宋体"/>
          <w:b w:val="0"/>
          <w:bCs w:val="0"/>
          <w:color w:val="auto"/>
          <w:sz w:val="24"/>
          <w:szCs w:val="24"/>
          <w:highlight w:val="none"/>
          <w:lang w:val="en-US" w:eastAsia="zh-CN"/>
        </w:rPr>
        <w:t>提供的</w:t>
      </w:r>
      <w:r>
        <w:rPr>
          <w:rFonts w:hint="default" w:ascii="宋体" w:hAnsi="宋体" w:cs="宋体"/>
          <w:b w:val="0"/>
          <w:bCs w:val="0"/>
          <w:color w:val="auto"/>
          <w:sz w:val="24"/>
          <w:szCs w:val="24"/>
          <w:highlight w:val="none"/>
          <w:lang w:val="en-US" w:eastAsia="zh-CN"/>
        </w:rPr>
        <w:t>书面说明、证明材料</w:t>
      </w:r>
      <w:r>
        <w:rPr>
          <w:rFonts w:hint="eastAsia" w:ascii="宋体" w:hAnsi="宋体" w:cs="宋体"/>
          <w:b w:val="0"/>
          <w:bCs w:val="0"/>
          <w:color w:val="auto"/>
          <w:sz w:val="24"/>
          <w:szCs w:val="24"/>
          <w:highlight w:val="none"/>
          <w:lang w:val="en-US" w:eastAsia="zh-CN"/>
        </w:rPr>
        <w:t>进行评审。投标（响应）供应商不能提供书面说明、证明材料，或者提供的书面说明、证明材料不能证明其报价合理性的，评审委员会应当将其作为无效投标（响应）处理。</w:t>
      </w:r>
    </w:p>
    <w:p w14:paraId="1C2081C2">
      <w:pPr>
        <w:pStyle w:val="4"/>
        <w:wordWrap w:val="0"/>
        <w:spacing w:line="360" w:lineRule="auto"/>
        <w:ind w:firstLine="482"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3.2 </w:t>
      </w:r>
      <w:r>
        <w:rPr>
          <w:rFonts w:hint="eastAsia" w:ascii="宋体" w:hAnsi="宋体" w:cs="宋体"/>
          <w:color w:val="auto"/>
          <w:sz w:val="24"/>
          <w:szCs w:val="24"/>
          <w:highlight w:val="none"/>
        </w:rPr>
        <w:t>详细评审</w:t>
      </w:r>
      <w:bookmarkEnd w:id="241"/>
      <w:bookmarkEnd w:id="242"/>
      <w:bookmarkEnd w:id="243"/>
      <w:bookmarkEnd w:id="244"/>
      <w:bookmarkEnd w:id="245"/>
      <w:bookmarkEnd w:id="246"/>
      <w:bookmarkEnd w:id="247"/>
      <w:r>
        <w:rPr>
          <w:rFonts w:ascii="宋体" w:hAnsi="宋体" w:cs="宋体"/>
          <w:color w:val="auto"/>
          <w:sz w:val="24"/>
          <w:szCs w:val="24"/>
          <w:highlight w:val="none"/>
        </w:rPr>
        <w:t xml:space="preserve"> </w:t>
      </w:r>
    </w:p>
    <w:p w14:paraId="0C68DC54">
      <w:pPr>
        <w:pStyle w:val="9"/>
        <w:wordWrap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3.2.1</w:t>
      </w:r>
      <w:r>
        <w:rPr>
          <w:rFonts w:hint="eastAsia" w:ascii="宋体" w:hAnsi="宋体" w:cs="宋体"/>
          <w:color w:val="auto"/>
          <w:sz w:val="24"/>
          <w:szCs w:val="24"/>
          <w:highlight w:val="none"/>
        </w:rPr>
        <w:t>评标委员会按本章第</w:t>
      </w:r>
      <w:r>
        <w:rPr>
          <w:rFonts w:ascii="宋体" w:hAnsi="宋体" w:cs="宋体"/>
          <w:color w:val="auto"/>
          <w:sz w:val="24"/>
          <w:szCs w:val="24"/>
          <w:highlight w:val="none"/>
        </w:rPr>
        <w:t>2.2</w:t>
      </w:r>
      <w:r>
        <w:rPr>
          <w:rFonts w:hint="eastAsia" w:ascii="宋体" w:hAnsi="宋体" w:cs="宋体"/>
          <w:color w:val="auto"/>
          <w:sz w:val="24"/>
          <w:szCs w:val="24"/>
          <w:highlight w:val="none"/>
        </w:rPr>
        <w:t>款规定的量化因素和分值进行打分，并计算出综合评估得分。</w:t>
      </w:r>
    </w:p>
    <w:p w14:paraId="4FA04296">
      <w:pPr>
        <w:pStyle w:val="9"/>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）按本章第</w:t>
      </w:r>
      <w:r>
        <w:rPr>
          <w:rFonts w:ascii="宋体" w:hAnsi="宋体" w:cs="宋体"/>
          <w:color w:val="auto"/>
          <w:sz w:val="24"/>
          <w:szCs w:val="24"/>
          <w:highlight w:val="none"/>
        </w:rPr>
        <w:t>2.2.2</w:t>
      </w: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）目规定的评审因素和分值对投标报价计算出得分</w:t>
      </w:r>
      <w:r>
        <w:rPr>
          <w:rFonts w:ascii="宋体" w:hAnsi="宋体" w:cs="宋体"/>
          <w:color w:val="auto"/>
          <w:sz w:val="24"/>
          <w:szCs w:val="24"/>
          <w:highlight w:val="none"/>
        </w:rPr>
        <w:t>A</w:t>
      </w:r>
      <w:r>
        <w:rPr>
          <w:rFonts w:hint="eastAsia" w:ascii="宋体" w:hAnsi="宋体" w:cs="宋体"/>
          <w:color w:val="auto"/>
          <w:sz w:val="24"/>
          <w:szCs w:val="24"/>
          <w:highlight w:val="none"/>
        </w:rPr>
        <w:t>；</w:t>
      </w:r>
    </w:p>
    <w:p w14:paraId="1B535CAE">
      <w:pPr>
        <w:pStyle w:val="9"/>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）按本章第</w:t>
      </w:r>
      <w:r>
        <w:rPr>
          <w:rFonts w:ascii="宋体" w:hAnsi="宋体" w:cs="宋体"/>
          <w:color w:val="auto"/>
          <w:sz w:val="24"/>
          <w:szCs w:val="24"/>
          <w:highlight w:val="none"/>
        </w:rPr>
        <w:t>2.2.2</w:t>
      </w: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）目规定的评审因素和分值对技术部分计算出得分</w:t>
      </w:r>
      <w:r>
        <w:rPr>
          <w:rFonts w:ascii="宋体" w:hAnsi="宋体" w:cs="宋体"/>
          <w:color w:val="auto"/>
          <w:sz w:val="24"/>
          <w:szCs w:val="24"/>
          <w:highlight w:val="none"/>
        </w:rPr>
        <w:t>B</w:t>
      </w:r>
      <w:r>
        <w:rPr>
          <w:rFonts w:hint="eastAsia" w:ascii="宋体" w:hAnsi="宋体" w:cs="宋体"/>
          <w:color w:val="auto"/>
          <w:sz w:val="24"/>
          <w:szCs w:val="24"/>
          <w:highlight w:val="none"/>
        </w:rPr>
        <w:t>；</w:t>
      </w:r>
    </w:p>
    <w:p w14:paraId="466E0B81">
      <w:pPr>
        <w:pStyle w:val="9"/>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）按本章第</w:t>
      </w:r>
      <w:r>
        <w:rPr>
          <w:rFonts w:ascii="宋体" w:hAnsi="宋体" w:cs="宋体"/>
          <w:color w:val="auto"/>
          <w:sz w:val="24"/>
          <w:szCs w:val="24"/>
          <w:highlight w:val="none"/>
        </w:rPr>
        <w:t>2.2.2</w:t>
      </w: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）目规定的评审因素和分值对商务部分计算出得分</w:t>
      </w:r>
      <w:r>
        <w:rPr>
          <w:rFonts w:ascii="宋体" w:hAnsi="宋体" w:cs="宋体"/>
          <w:color w:val="auto"/>
          <w:sz w:val="24"/>
          <w:szCs w:val="24"/>
          <w:highlight w:val="none"/>
        </w:rPr>
        <w:t>C</w:t>
      </w:r>
      <w:r>
        <w:rPr>
          <w:rFonts w:hint="eastAsia" w:ascii="宋体" w:hAnsi="宋体" w:cs="宋体"/>
          <w:color w:val="auto"/>
          <w:sz w:val="24"/>
          <w:szCs w:val="24"/>
          <w:highlight w:val="none"/>
        </w:rPr>
        <w:t>；</w:t>
      </w:r>
    </w:p>
    <w:p w14:paraId="7D192343">
      <w:pPr>
        <w:pStyle w:val="9"/>
        <w:wordWrap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3.2.2 </w:t>
      </w:r>
      <w:r>
        <w:rPr>
          <w:rFonts w:hint="eastAsia" w:ascii="宋体" w:hAnsi="宋体" w:cs="宋体"/>
          <w:color w:val="auto"/>
          <w:sz w:val="24"/>
          <w:szCs w:val="24"/>
          <w:highlight w:val="none"/>
        </w:rPr>
        <w:t>评分分值计算保留小数点后两位，小数点后第三位</w:t>
      </w:r>
      <w:r>
        <w:rPr>
          <w:rFonts w:hint="eastAsia" w:ascii="宋体" w:hAnsi="宋体" w:cs="宋体"/>
          <w:iCs/>
          <w:color w:val="auto"/>
          <w:sz w:val="24"/>
          <w:szCs w:val="24"/>
          <w:highlight w:val="none"/>
        </w:rPr>
        <w:t>“四</w:t>
      </w:r>
      <w:r>
        <w:rPr>
          <w:rFonts w:hint="eastAsia" w:ascii="宋体" w:hAnsi="宋体" w:cs="宋体"/>
          <w:color w:val="auto"/>
          <w:sz w:val="24"/>
          <w:szCs w:val="24"/>
          <w:highlight w:val="none"/>
        </w:rPr>
        <w:t>舍五入</w:t>
      </w:r>
      <w:r>
        <w:rPr>
          <w:rFonts w:hint="eastAsia" w:ascii="宋体" w:hAnsi="宋体" w:cs="宋体"/>
          <w:iCs/>
          <w:color w:val="auto"/>
          <w:sz w:val="24"/>
          <w:szCs w:val="24"/>
          <w:highlight w:val="none"/>
        </w:rPr>
        <w:t>”</w:t>
      </w:r>
      <w:r>
        <w:rPr>
          <w:rFonts w:hint="eastAsia" w:ascii="宋体" w:hAnsi="宋体" w:cs="宋体"/>
          <w:color w:val="auto"/>
          <w:sz w:val="24"/>
          <w:szCs w:val="24"/>
          <w:highlight w:val="none"/>
        </w:rPr>
        <w:t>。</w:t>
      </w:r>
    </w:p>
    <w:p w14:paraId="05EF4D0C">
      <w:pPr>
        <w:pStyle w:val="9"/>
        <w:wordWrap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3.2.3 </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得分</w:t>
      </w:r>
      <w:r>
        <w:rPr>
          <w:rFonts w:ascii="宋体" w:hAnsi="宋体" w:cs="宋体"/>
          <w:color w:val="auto"/>
          <w:sz w:val="24"/>
          <w:szCs w:val="24"/>
          <w:highlight w:val="none"/>
        </w:rPr>
        <w:t>=A+B+C</w:t>
      </w:r>
      <w:r>
        <w:rPr>
          <w:rFonts w:hint="eastAsia" w:ascii="宋体" w:hAnsi="宋体" w:cs="宋体"/>
          <w:color w:val="auto"/>
          <w:sz w:val="24"/>
          <w:szCs w:val="24"/>
          <w:highlight w:val="none"/>
        </w:rPr>
        <w:t>。</w:t>
      </w:r>
    </w:p>
    <w:p w14:paraId="5C040B15">
      <w:pPr>
        <w:pStyle w:val="9"/>
        <w:wordWrap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3.2.4 </w:t>
      </w:r>
      <w:r>
        <w:rPr>
          <w:rFonts w:hint="eastAsia" w:ascii="宋体" w:hAnsi="宋体" w:cs="宋体"/>
          <w:color w:val="auto"/>
          <w:sz w:val="24"/>
          <w:szCs w:val="24"/>
          <w:highlight w:val="none"/>
        </w:rPr>
        <w:t>评标委员会认为</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的报价，有能影响产品质量或者不能诚信履约的，应当要求其在评标现场合理的时间内提供书面说明，必要时提交相关证明材料；</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不能证明其报价合理性的，评标委员会应当将其作为无效投标处理。</w:t>
      </w:r>
    </w:p>
    <w:p w14:paraId="5BB712DA">
      <w:pPr>
        <w:pStyle w:val="4"/>
        <w:wordWrap w:val="0"/>
        <w:spacing w:line="360" w:lineRule="auto"/>
        <w:ind w:firstLine="482" w:firstLineChars="200"/>
        <w:rPr>
          <w:rFonts w:hint="eastAsia" w:ascii="宋体" w:hAnsi="宋体" w:cs="宋体"/>
          <w:color w:val="auto"/>
          <w:sz w:val="24"/>
          <w:szCs w:val="24"/>
          <w:highlight w:val="none"/>
        </w:rPr>
      </w:pPr>
      <w:bookmarkStart w:id="248" w:name="_Toc6375"/>
      <w:bookmarkStart w:id="249" w:name="_Toc14911"/>
      <w:bookmarkStart w:id="250" w:name="_Toc12654"/>
      <w:bookmarkStart w:id="251" w:name="_Toc530496922"/>
      <w:bookmarkStart w:id="252" w:name="_Toc23423"/>
      <w:bookmarkStart w:id="253" w:name="_Toc4702_WPSOffice_Level2"/>
      <w:bookmarkStart w:id="254" w:name="_Toc514341698"/>
      <w:r>
        <w:rPr>
          <w:rFonts w:ascii="宋体" w:hAnsi="宋体" w:cs="宋体"/>
          <w:color w:val="auto"/>
          <w:sz w:val="24"/>
          <w:szCs w:val="24"/>
          <w:highlight w:val="none"/>
        </w:rPr>
        <w:t xml:space="preserve">3.3 </w:t>
      </w:r>
      <w:r>
        <w:rPr>
          <w:rFonts w:hint="eastAsia" w:ascii="宋体" w:hAnsi="宋体" w:cs="宋体"/>
          <w:color w:val="auto"/>
          <w:sz w:val="24"/>
          <w:szCs w:val="24"/>
          <w:highlight w:val="none"/>
        </w:rPr>
        <w:t>投标文件的澄清</w:t>
      </w:r>
      <w:bookmarkEnd w:id="248"/>
      <w:bookmarkEnd w:id="249"/>
      <w:bookmarkEnd w:id="250"/>
      <w:bookmarkEnd w:id="251"/>
      <w:bookmarkEnd w:id="252"/>
      <w:bookmarkEnd w:id="253"/>
      <w:bookmarkEnd w:id="254"/>
    </w:p>
    <w:p w14:paraId="6A3E6B42">
      <w:pPr>
        <w:pStyle w:val="9"/>
        <w:wordWrap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3.3.1 </w:t>
      </w:r>
      <w:r>
        <w:rPr>
          <w:rFonts w:hint="eastAsia" w:ascii="宋体" w:hAnsi="宋体" w:cs="宋体"/>
          <w:color w:val="auto"/>
          <w:sz w:val="24"/>
          <w:szCs w:val="24"/>
          <w:highlight w:val="none"/>
        </w:rPr>
        <w:t>在评标过程中，评标委员会以书面形式要求</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对投标文件中含义不明确、对同类问题表述不一致或者有明显文字和计算错误的内容作必要的澄清、说明或补正。澄清、说明或补正应以书面方式进行。评标委员会不接受</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主动提出的澄清、说明或补正。</w:t>
      </w:r>
    </w:p>
    <w:p w14:paraId="76FFC7EF">
      <w:pPr>
        <w:pStyle w:val="9"/>
        <w:wordWrap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3.3.2 </w:t>
      </w:r>
      <w:r>
        <w:rPr>
          <w:rFonts w:hint="eastAsia" w:ascii="宋体" w:hAnsi="宋体" w:cs="宋体"/>
          <w:color w:val="auto"/>
          <w:sz w:val="24"/>
          <w:szCs w:val="24"/>
          <w:highlight w:val="none"/>
        </w:rPr>
        <w:t>澄清、说明或补正不得超出投标文件的范围且不得改变投标文件的实质性内容，并构成投标文件的组成部分。</w:t>
      </w:r>
    </w:p>
    <w:p w14:paraId="334D80B3">
      <w:pPr>
        <w:pStyle w:val="9"/>
        <w:wordWrap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3.3.3 </w:t>
      </w:r>
      <w:r>
        <w:rPr>
          <w:rFonts w:hint="eastAsia" w:ascii="宋体" w:hAnsi="宋体" w:cs="宋体"/>
          <w:color w:val="auto"/>
          <w:sz w:val="24"/>
          <w:szCs w:val="24"/>
          <w:highlight w:val="none"/>
        </w:rPr>
        <w:t>评标委员会对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提交的澄清、说明或补正有疑问的，以要求</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进一步澄清、说明或补正，直至满足评标委员会的要求。</w:t>
      </w:r>
    </w:p>
    <w:p w14:paraId="7C11365A">
      <w:pPr>
        <w:pStyle w:val="4"/>
        <w:wordWrap w:val="0"/>
        <w:spacing w:line="360" w:lineRule="auto"/>
        <w:ind w:firstLine="482" w:firstLineChars="200"/>
        <w:rPr>
          <w:rFonts w:hint="eastAsia" w:ascii="宋体" w:hAnsi="宋体" w:cs="宋体"/>
          <w:color w:val="auto"/>
          <w:sz w:val="24"/>
          <w:szCs w:val="24"/>
          <w:highlight w:val="none"/>
        </w:rPr>
      </w:pPr>
      <w:bookmarkStart w:id="255" w:name="_Toc530496923"/>
      <w:bookmarkStart w:id="256" w:name="_Toc14936_WPSOffice_Level2"/>
      <w:bookmarkStart w:id="257" w:name="_Toc17151"/>
      <w:bookmarkStart w:id="258" w:name="_Toc22558"/>
      <w:bookmarkStart w:id="259" w:name="_Toc834"/>
      <w:bookmarkStart w:id="260" w:name="_Toc514341699"/>
      <w:bookmarkStart w:id="261" w:name="_Toc26057"/>
      <w:r>
        <w:rPr>
          <w:rFonts w:ascii="宋体" w:hAnsi="宋体" w:cs="宋体"/>
          <w:color w:val="auto"/>
          <w:sz w:val="24"/>
          <w:szCs w:val="24"/>
          <w:highlight w:val="none"/>
        </w:rPr>
        <w:t xml:space="preserve">3.4  </w:t>
      </w:r>
      <w:r>
        <w:rPr>
          <w:rFonts w:hint="eastAsia" w:ascii="宋体" w:hAnsi="宋体" w:cs="宋体"/>
          <w:color w:val="auto"/>
          <w:sz w:val="24"/>
          <w:szCs w:val="24"/>
          <w:highlight w:val="none"/>
        </w:rPr>
        <w:t>评标结果</w:t>
      </w:r>
      <w:bookmarkEnd w:id="255"/>
      <w:bookmarkEnd w:id="256"/>
      <w:bookmarkEnd w:id="257"/>
      <w:bookmarkEnd w:id="258"/>
      <w:bookmarkEnd w:id="259"/>
      <w:bookmarkEnd w:id="260"/>
      <w:bookmarkEnd w:id="261"/>
    </w:p>
    <w:p w14:paraId="2A227AFA">
      <w:pPr>
        <w:pStyle w:val="9"/>
        <w:wordWrap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3.4.1 </w:t>
      </w:r>
      <w:r>
        <w:rPr>
          <w:rFonts w:hint="eastAsia" w:ascii="宋体" w:hAnsi="宋体" w:cs="宋体"/>
          <w:color w:val="auto"/>
          <w:sz w:val="24"/>
          <w:szCs w:val="24"/>
          <w:highlight w:val="none"/>
        </w:rPr>
        <w:t>除第二章</w:t>
      </w:r>
      <w:r>
        <w:rPr>
          <w:rFonts w:hint="eastAsia" w:ascii="宋体" w:hAnsi="宋体" w:cs="宋体"/>
          <w:i/>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须知</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前附表授权直接确定中标人外，评标委员会按照得分由高到低的顺序推荐中标候选人，并标明排序。</w:t>
      </w:r>
    </w:p>
    <w:p w14:paraId="12B5E9EE">
      <w:pPr>
        <w:pStyle w:val="9"/>
        <w:wordWrap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3.4.2 </w:t>
      </w:r>
      <w:r>
        <w:rPr>
          <w:rFonts w:hint="eastAsia" w:ascii="宋体" w:hAnsi="宋体" w:cs="宋体"/>
          <w:color w:val="auto"/>
          <w:sz w:val="24"/>
          <w:szCs w:val="24"/>
          <w:highlight w:val="none"/>
        </w:rPr>
        <w:t>评标委员会完成评标后，应当向采购人提交书面评标报告和中标候选人名单。</w:t>
      </w:r>
    </w:p>
    <w:p w14:paraId="35882198">
      <w:pPr>
        <w:pStyle w:val="20"/>
        <w:spacing w:line="360" w:lineRule="auto"/>
        <w:ind w:left="2250" w:hanging="1200"/>
        <w:rPr>
          <w:rFonts w:hint="eastAsia" w:ascii="宋体" w:hAnsi="宋体" w:cs="宋体"/>
          <w:color w:val="auto"/>
          <w:sz w:val="24"/>
          <w:szCs w:val="24"/>
          <w:highlight w:val="none"/>
        </w:rPr>
        <w:sectPr>
          <w:pgSz w:w="11905" w:h="16838"/>
          <w:pgMar w:top="1134" w:right="1134" w:bottom="1134" w:left="1134" w:header="850" w:footer="992" w:gutter="0"/>
          <w:pgNumType w:fmt="decimal"/>
          <w:cols w:space="0" w:num="1"/>
          <w:docGrid w:type="lines" w:linePitch="317" w:charSpace="0"/>
        </w:sectPr>
      </w:pPr>
    </w:p>
    <w:bookmarkEnd w:id="171"/>
    <w:bookmarkEnd w:id="172"/>
    <w:bookmarkEnd w:id="173"/>
    <w:bookmarkEnd w:id="174"/>
    <w:bookmarkEnd w:id="175"/>
    <w:bookmarkEnd w:id="176"/>
    <w:bookmarkEnd w:id="177"/>
    <w:bookmarkEnd w:id="178"/>
    <w:p w14:paraId="77A96A6D">
      <w:pPr>
        <w:spacing w:line="360" w:lineRule="auto"/>
        <w:rPr>
          <w:rFonts w:hint="eastAsia" w:ascii="宋体" w:hAnsi="宋体" w:cs="宋体"/>
          <w:color w:val="auto"/>
          <w:sz w:val="24"/>
          <w:szCs w:val="24"/>
          <w:highlight w:val="none"/>
        </w:rPr>
      </w:pPr>
    </w:p>
    <w:p w14:paraId="3E7092F6">
      <w:pPr>
        <w:spacing w:line="360" w:lineRule="auto"/>
        <w:rPr>
          <w:rFonts w:hint="eastAsia" w:ascii="宋体" w:hAnsi="宋体" w:cs="宋体"/>
          <w:color w:val="auto"/>
          <w:sz w:val="24"/>
          <w:szCs w:val="24"/>
          <w:highlight w:val="none"/>
        </w:rPr>
      </w:pPr>
    </w:p>
    <w:p w14:paraId="7AD705A5">
      <w:pPr>
        <w:spacing w:line="360" w:lineRule="auto"/>
        <w:rPr>
          <w:rFonts w:hint="eastAsia" w:ascii="宋体" w:hAnsi="宋体" w:cs="宋体"/>
          <w:color w:val="auto"/>
          <w:sz w:val="24"/>
          <w:szCs w:val="24"/>
          <w:highlight w:val="none"/>
        </w:rPr>
      </w:pPr>
    </w:p>
    <w:p w14:paraId="3A9377AB">
      <w:pPr>
        <w:spacing w:line="360" w:lineRule="auto"/>
        <w:rPr>
          <w:rFonts w:hint="eastAsia" w:ascii="宋体" w:hAnsi="宋体" w:cs="宋体"/>
          <w:color w:val="auto"/>
          <w:sz w:val="24"/>
          <w:szCs w:val="24"/>
          <w:highlight w:val="none"/>
        </w:rPr>
      </w:pPr>
    </w:p>
    <w:p w14:paraId="5278AA3C">
      <w:pPr>
        <w:spacing w:line="360" w:lineRule="auto"/>
        <w:rPr>
          <w:rFonts w:hint="eastAsia" w:ascii="宋体" w:hAnsi="宋体" w:cs="宋体"/>
          <w:color w:val="auto"/>
          <w:sz w:val="24"/>
          <w:szCs w:val="24"/>
          <w:highlight w:val="none"/>
        </w:rPr>
      </w:pPr>
    </w:p>
    <w:p w14:paraId="0A291E05">
      <w:pPr>
        <w:spacing w:line="360" w:lineRule="auto"/>
        <w:rPr>
          <w:rFonts w:hint="eastAsia" w:ascii="宋体" w:hAnsi="宋体" w:cs="宋体"/>
          <w:color w:val="auto"/>
          <w:sz w:val="24"/>
          <w:szCs w:val="24"/>
          <w:highlight w:val="none"/>
        </w:rPr>
      </w:pPr>
    </w:p>
    <w:p w14:paraId="3532E5EF">
      <w:pPr>
        <w:spacing w:line="360" w:lineRule="auto"/>
        <w:rPr>
          <w:rFonts w:hint="eastAsia" w:ascii="宋体" w:hAnsi="宋体" w:cs="宋体"/>
          <w:color w:val="auto"/>
          <w:sz w:val="24"/>
          <w:szCs w:val="24"/>
          <w:highlight w:val="none"/>
        </w:rPr>
      </w:pPr>
    </w:p>
    <w:p w14:paraId="5F0D8288">
      <w:pPr>
        <w:spacing w:line="360" w:lineRule="auto"/>
        <w:rPr>
          <w:rFonts w:hint="eastAsia" w:ascii="宋体" w:hAnsi="宋体" w:cs="宋体"/>
          <w:color w:val="auto"/>
          <w:sz w:val="24"/>
          <w:szCs w:val="24"/>
          <w:highlight w:val="none"/>
        </w:rPr>
      </w:pPr>
    </w:p>
    <w:p w14:paraId="1C833639">
      <w:pPr>
        <w:pStyle w:val="2"/>
        <w:spacing w:line="360" w:lineRule="auto"/>
        <w:jc w:val="center"/>
        <w:rPr>
          <w:rFonts w:hint="eastAsia" w:ascii="宋体" w:hAnsi="宋体" w:cs="宋体"/>
          <w:color w:val="auto"/>
          <w:szCs w:val="44"/>
          <w:highlight w:val="none"/>
        </w:rPr>
      </w:pPr>
      <w:bookmarkStart w:id="262" w:name="_Toc5687"/>
      <w:bookmarkStart w:id="263" w:name="_Toc4834"/>
      <w:bookmarkStart w:id="264" w:name="_Toc19265"/>
      <w:bookmarkStart w:id="265" w:name="_Toc18741"/>
      <w:bookmarkStart w:id="266" w:name="_Toc4214"/>
      <w:bookmarkStart w:id="267" w:name="_Toc24270"/>
      <w:bookmarkStart w:id="268" w:name="_Toc2980"/>
      <w:bookmarkStart w:id="269" w:name="_Toc26799"/>
      <w:bookmarkStart w:id="270" w:name="_Toc3930"/>
      <w:r>
        <w:rPr>
          <w:rFonts w:hint="eastAsia" w:ascii="宋体" w:hAnsi="宋体" w:cs="宋体"/>
          <w:color w:val="auto"/>
          <w:szCs w:val="44"/>
          <w:highlight w:val="none"/>
        </w:rPr>
        <w:t>第五章</w:t>
      </w:r>
      <w:r>
        <w:rPr>
          <w:rFonts w:ascii="宋体" w:hAnsi="宋体" w:cs="宋体"/>
          <w:color w:val="auto"/>
          <w:szCs w:val="44"/>
          <w:highlight w:val="none"/>
        </w:rPr>
        <w:t xml:space="preserve">  </w:t>
      </w:r>
      <w:r>
        <w:rPr>
          <w:rFonts w:hint="eastAsia" w:ascii="宋体" w:hAnsi="宋体" w:cs="宋体"/>
          <w:color w:val="auto"/>
          <w:szCs w:val="44"/>
          <w:highlight w:val="none"/>
        </w:rPr>
        <w:t>合同条款及格式</w:t>
      </w:r>
      <w:bookmarkEnd w:id="262"/>
      <w:bookmarkEnd w:id="263"/>
      <w:bookmarkEnd w:id="264"/>
      <w:bookmarkEnd w:id="265"/>
      <w:bookmarkEnd w:id="266"/>
      <w:bookmarkEnd w:id="267"/>
      <w:bookmarkEnd w:id="268"/>
      <w:bookmarkEnd w:id="269"/>
      <w:bookmarkEnd w:id="270"/>
    </w:p>
    <w:p w14:paraId="2A8AF769">
      <w:pPr>
        <w:spacing w:line="360" w:lineRule="auto"/>
        <w:ind w:firstLine="424" w:firstLineChars="200"/>
        <w:jc w:val="center"/>
        <w:rPr>
          <w:rFonts w:hint="eastAsia" w:ascii="宋体" w:hAnsi="宋体" w:cs="宋体"/>
          <w:color w:val="auto"/>
          <w:sz w:val="44"/>
          <w:szCs w:val="44"/>
          <w:highlight w:val="none"/>
        </w:rPr>
      </w:pPr>
      <w:r>
        <w:rPr>
          <w:rFonts w:ascii="宋体" w:hAnsi="宋体" w:eastAsia="宋体" w:cs="宋体"/>
          <w:color w:val="auto"/>
          <w:spacing w:val="6"/>
          <w:position w:val="5"/>
          <w:sz w:val="20"/>
          <w:szCs w:val="20"/>
          <w:highlight w:val="none"/>
        </w:rPr>
        <w:t>（以实际签订为准）</w:t>
      </w:r>
    </w:p>
    <w:p w14:paraId="72A9A17A">
      <w:pPr>
        <w:spacing w:before="227" w:line="221" w:lineRule="auto"/>
        <w:jc w:val="center"/>
        <w:rPr>
          <w:rFonts w:ascii="宋体" w:hAnsi="宋体" w:eastAsia="宋体" w:cs="宋体"/>
          <w:sz w:val="22"/>
          <w:szCs w:val="22"/>
        </w:rPr>
      </w:pPr>
      <w:r>
        <w:rPr>
          <w:rFonts w:hint="eastAsia" w:ascii="宋体" w:hAnsi="宋体" w:cs="宋体"/>
          <w:color w:val="auto"/>
          <w:sz w:val="24"/>
          <w:szCs w:val="24"/>
          <w:highlight w:val="none"/>
        </w:rPr>
        <w:br w:type="page"/>
      </w:r>
      <w:r>
        <w:rPr>
          <w:rFonts w:ascii="宋体" w:hAnsi="宋体" w:eastAsia="宋体" w:cs="宋体"/>
          <w:b/>
          <w:bCs/>
          <w:spacing w:val="-3"/>
          <w:sz w:val="22"/>
          <w:szCs w:val="22"/>
        </w:rPr>
        <w:t>（具体合同内容以甲乙双方协定为准）</w:t>
      </w:r>
    </w:p>
    <w:p w14:paraId="2736FF8E">
      <w:pPr>
        <w:pStyle w:val="9"/>
        <w:spacing w:line="358" w:lineRule="auto"/>
      </w:pPr>
    </w:p>
    <w:p w14:paraId="6C5372EA">
      <w:pPr>
        <w:spacing w:before="78" w:line="360" w:lineRule="auto"/>
        <w:rPr>
          <w:rFonts w:ascii="宋体" w:hAnsi="宋体" w:eastAsia="宋体" w:cs="宋体"/>
          <w:sz w:val="24"/>
          <w:szCs w:val="24"/>
        </w:rPr>
      </w:pPr>
      <w:r>
        <w:rPr>
          <w:rFonts w:ascii="宋体" w:hAnsi="宋体" w:eastAsia="宋体" w:cs="宋体"/>
          <w:spacing w:val="-1"/>
          <w:sz w:val="24"/>
          <w:szCs w:val="24"/>
        </w:rPr>
        <w:t>甲方</w:t>
      </w:r>
      <w:r>
        <w:rPr>
          <w:rFonts w:ascii="宋体" w:hAnsi="宋体" w:eastAsia="宋体" w:cs="宋体"/>
          <w:spacing w:val="-18"/>
          <w:sz w:val="24"/>
          <w:szCs w:val="24"/>
        </w:rPr>
        <w:t>：</w:t>
      </w:r>
      <w:r>
        <w:rPr>
          <w:rFonts w:ascii="宋体" w:hAnsi="宋体" w:eastAsia="宋体" w:cs="宋体"/>
          <w:spacing w:val="120"/>
          <w:sz w:val="24"/>
          <w:szCs w:val="24"/>
        </w:rPr>
        <w:t xml:space="preserve"> </w:t>
      </w:r>
      <w:r>
        <w:rPr>
          <w:rFonts w:ascii="宋体" w:hAnsi="宋体" w:eastAsia="宋体" w:cs="宋体"/>
          <w:spacing w:val="-18"/>
          <w:sz w:val="24"/>
          <w:szCs w:val="24"/>
        </w:rPr>
        <w:t>（</w:t>
      </w:r>
      <w:r>
        <w:rPr>
          <w:rFonts w:ascii="宋体" w:hAnsi="宋体" w:eastAsia="宋体" w:cs="宋体"/>
          <w:spacing w:val="-1"/>
          <w:sz w:val="24"/>
          <w:szCs w:val="24"/>
        </w:rPr>
        <w:t>采购人）</w:t>
      </w:r>
    </w:p>
    <w:p w14:paraId="5811DF54">
      <w:pPr>
        <w:spacing w:before="182" w:line="360" w:lineRule="auto"/>
        <w:rPr>
          <w:rFonts w:ascii="宋体" w:hAnsi="宋体" w:eastAsia="宋体" w:cs="宋体"/>
          <w:sz w:val="24"/>
          <w:szCs w:val="24"/>
        </w:rPr>
      </w:pPr>
      <w:r>
        <w:rPr>
          <w:rFonts w:ascii="宋体" w:hAnsi="宋体" w:eastAsia="宋体" w:cs="宋体"/>
          <w:sz w:val="24"/>
          <w:szCs w:val="24"/>
        </w:rPr>
        <w:t>乙方</w:t>
      </w:r>
      <w:r>
        <w:rPr>
          <w:rFonts w:ascii="宋体" w:hAnsi="宋体" w:eastAsia="宋体" w:cs="宋体"/>
          <w:spacing w:val="-15"/>
          <w:sz w:val="24"/>
          <w:szCs w:val="24"/>
        </w:rPr>
        <w:t>：</w:t>
      </w:r>
      <w:r>
        <w:rPr>
          <w:rFonts w:ascii="宋体" w:hAnsi="宋体" w:eastAsia="宋体" w:cs="宋体"/>
          <w:spacing w:val="39"/>
          <w:sz w:val="24"/>
          <w:szCs w:val="24"/>
        </w:rPr>
        <w:t xml:space="preserve">   </w:t>
      </w:r>
      <w:r>
        <w:rPr>
          <w:rFonts w:ascii="宋体" w:hAnsi="宋体" w:eastAsia="宋体" w:cs="宋体"/>
          <w:spacing w:val="-15"/>
          <w:sz w:val="24"/>
          <w:szCs w:val="24"/>
        </w:rPr>
        <w:t>（</w:t>
      </w:r>
      <w:r>
        <w:rPr>
          <w:rFonts w:ascii="宋体" w:hAnsi="宋体" w:eastAsia="宋体" w:cs="宋体"/>
          <w:sz w:val="24"/>
          <w:szCs w:val="24"/>
        </w:rPr>
        <w:t>投标人）</w:t>
      </w:r>
    </w:p>
    <w:p w14:paraId="329D0978">
      <w:pPr>
        <w:spacing w:before="181" w:line="360" w:lineRule="auto"/>
        <w:rPr>
          <w:rFonts w:ascii="宋体" w:hAnsi="宋体" w:eastAsia="宋体" w:cs="宋体"/>
          <w:sz w:val="24"/>
          <w:szCs w:val="24"/>
        </w:rPr>
      </w:pPr>
      <w:r>
        <w:rPr>
          <w:rFonts w:hint="eastAsia" w:ascii="宋体" w:hAnsi="宋体" w:cs="宋体"/>
          <w:spacing w:val="-1"/>
          <w:sz w:val="24"/>
          <w:szCs w:val="24"/>
          <w:lang w:val="en-US" w:eastAsia="zh-CN"/>
        </w:rPr>
        <w:t>合同</w:t>
      </w:r>
      <w:r>
        <w:rPr>
          <w:rFonts w:ascii="宋体" w:hAnsi="宋体" w:eastAsia="宋体" w:cs="宋体"/>
          <w:spacing w:val="-1"/>
          <w:sz w:val="24"/>
          <w:szCs w:val="24"/>
        </w:rPr>
        <w:t>签订地点：</w:t>
      </w:r>
    </w:p>
    <w:p w14:paraId="0BC71AFC">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根据《中华人民共和国民法典》、</w:t>
      </w:r>
      <w:r>
        <w:rPr>
          <w:rFonts w:hint="eastAsia" w:ascii="宋体" w:hAnsi="宋体" w:cs="宋体"/>
          <w:color w:val="000000"/>
          <w:szCs w:val="21"/>
          <w:lang w:eastAsia="zh-CN"/>
        </w:rPr>
        <w:t>河南省周口监狱通信网络平台</w:t>
      </w:r>
      <w:r>
        <w:rPr>
          <w:rFonts w:hint="eastAsia" w:ascii="宋体" w:hAnsi="宋体" w:cs="宋体"/>
          <w:color w:val="000000"/>
          <w:szCs w:val="21"/>
        </w:rPr>
        <w:t>服务项目招标文件、中标单位投标文件、中标通知书的要求，经甲、乙双方协商，本着平等自愿、诚实信用的原则，签订本合同并遵守以下条款：</w:t>
      </w:r>
    </w:p>
    <w:p w14:paraId="7D68DA96">
      <w:pPr>
        <w:autoSpaceDE w:val="0"/>
        <w:autoSpaceDN w:val="0"/>
        <w:snapToGrid w:val="0"/>
        <w:spacing w:line="440" w:lineRule="exact"/>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一、购买服务的名称、数量、单价、金额、提供的服务时间</w:t>
      </w:r>
      <w:r>
        <w:rPr>
          <w:rFonts w:hint="eastAsia" w:ascii="宋体" w:hAnsi="宋体" w:cs="宋体"/>
          <w:color w:val="000000"/>
          <w:szCs w:val="21"/>
          <w:lang w:val="en-US" w:eastAsia="zh-CN"/>
        </w:rPr>
        <w:t>等详</w:t>
      </w:r>
      <w:r>
        <w:rPr>
          <w:rFonts w:hint="eastAsia" w:ascii="宋体" w:hAnsi="宋体" w:cs="宋体"/>
          <w:color w:val="000000"/>
          <w:szCs w:val="21"/>
          <w:lang w:eastAsia="zh-CN"/>
        </w:rPr>
        <w:t>见附件。</w:t>
      </w:r>
    </w:p>
    <w:p w14:paraId="5FBA018A">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二、完成该服务乙方需免费提供的设备名称、数量、质量要求、到货时间</w:t>
      </w:r>
      <w:r>
        <w:rPr>
          <w:rFonts w:hint="eastAsia" w:ascii="宋体" w:hAnsi="宋体" w:cs="宋体"/>
          <w:color w:val="000000"/>
          <w:szCs w:val="21"/>
          <w:lang w:eastAsia="zh-CN"/>
        </w:rPr>
        <w:t>、</w:t>
      </w:r>
      <w:r>
        <w:rPr>
          <w:rFonts w:hint="eastAsia" w:ascii="宋体" w:hAnsi="宋体" w:cs="宋体"/>
          <w:color w:val="000000"/>
          <w:szCs w:val="21"/>
        </w:rPr>
        <w:t>验收标准、及验收方式</w:t>
      </w:r>
      <w:r>
        <w:rPr>
          <w:rFonts w:hint="eastAsia" w:ascii="宋体" w:hAnsi="宋体" w:cs="宋体"/>
          <w:color w:val="000000"/>
          <w:szCs w:val="21"/>
          <w:lang w:eastAsia="zh-CN"/>
        </w:rPr>
        <w:t>、</w:t>
      </w:r>
      <w:r>
        <w:rPr>
          <w:rFonts w:hint="eastAsia" w:ascii="宋体" w:hAnsi="宋体" w:cs="宋体"/>
          <w:color w:val="000000"/>
          <w:szCs w:val="21"/>
        </w:rPr>
        <w:t>服务期满产品归属等详见附件。</w:t>
      </w:r>
    </w:p>
    <w:p w14:paraId="2C326605">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三、提供服务期限：本合同从</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日开始运行，试用期</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个月，试用期免费，试用期满后按月计费。计费服务期限为：</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日至</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日止（不含服务试用时间）。</w:t>
      </w:r>
    </w:p>
    <w:p w14:paraId="7D4B3052">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四、验收标准：满足招标文件规定的所有功能及服务要求。</w:t>
      </w:r>
    </w:p>
    <w:p w14:paraId="1ACC2154">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五、验收方式、质量保证期及售后服务要求</w:t>
      </w:r>
    </w:p>
    <w:p w14:paraId="7D8E2C46">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1、甲乙双方以所要求的服务是否达到甲方招标需求，乙方所投产品的数量、技术参数、配置为标准进行验收，验收合格后由甲方签署验收证明文件。</w:t>
      </w:r>
    </w:p>
    <w:p w14:paraId="6254E6E7">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2、乙方为完成该服务免费提供设备的质量保证期和免费维修期以乙方在投标文件中的承诺为准。服务期限内（</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u w:val="single"/>
        </w:rPr>
        <w:t xml:space="preserve"> </w:t>
      </w:r>
      <w:r>
        <w:rPr>
          <w:rFonts w:hint="eastAsia" w:ascii="宋体" w:hAnsi="宋体" w:cs="宋体"/>
          <w:color w:val="000000"/>
          <w:szCs w:val="21"/>
        </w:rPr>
        <w:t>年），乙方对所供货物及其配件包修、包换、包退，以及碎屏、进水免费维修。</w:t>
      </w:r>
    </w:p>
    <w:p w14:paraId="528A3D37">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3、质量保证期内，乙方为完成该服务免费提供设备的整机或零部件非人为因素不能使用而更换</w:t>
      </w:r>
      <w:r>
        <w:rPr>
          <w:rFonts w:hint="eastAsia" w:ascii="宋体" w:hAnsi="宋体" w:cs="宋体"/>
          <w:color w:val="000000"/>
          <w:szCs w:val="21"/>
          <w:lang w:val="en-US" w:eastAsia="zh-CN"/>
        </w:rPr>
        <w:t>的</w:t>
      </w:r>
      <w:r>
        <w:rPr>
          <w:rFonts w:hint="eastAsia" w:ascii="宋体" w:hAnsi="宋体" w:cs="宋体"/>
          <w:color w:val="000000"/>
          <w:szCs w:val="21"/>
        </w:rPr>
        <w:t>部分</w:t>
      </w:r>
      <w:r>
        <w:rPr>
          <w:rFonts w:hint="eastAsia" w:ascii="宋体" w:hAnsi="宋体" w:cs="宋体"/>
          <w:color w:val="000000"/>
          <w:szCs w:val="21"/>
          <w:lang w:eastAsia="zh-CN"/>
        </w:rPr>
        <w:t>，</w:t>
      </w:r>
      <w:r>
        <w:rPr>
          <w:rFonts w:hint="eastAsia" w:ascii="宋体" w:hAnsi="宋体" w:cs="宋体"/>
          <w:color w:val="000000"/>
          <w:szCs w:val="21"/>
        </w:rPr>
        <w:t>质量保证期和免费维修期相应延长。</w:t>
      </w:r>
    </w:p>
    <w:p w14:paraId="411ECCE1">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4、乙方负责向甲方提供现场操作及维修保养方面的培训。</w:t>
      </w:r>
    </w:p>
    <w:p w14:paraId="320149D0">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5、在服务期限内，甲方因工作原因需乙方提供的其他服务要求，双方协商解决。</w:t>
      </w:r>
    </w:p>
    <w:p w14:paraId="75D9A7BA">
      <w:pPr>
        <w:autoSpaceDE w:val="0"/>
        <w:autoSpaceDN w:val="0"/>
        <w:snapToGrid w:val="0"/>
        <w:spacing w:line="440" w:lineRule="exact"/>
        <w:ind w:firstLine="420" w:firstLineChars="200"/>
        <w:rPr>
          <w:rFonts w:hint="default" w:ascii="宋体" w:hAnsi="宋体" w:cs="宋体"/>
          <w:color w:val="000000"/>
          <w:szCs w:val="21"/>
          <w:lang w:val="en-US" w:eastAsia="zh-CN"/>
        </w:rPr>
      </w:pPr>
      <w:r>
        <w:rPr>
          <w:rFonts w:hint="eastAsia" w:ascii="宋体" w:hAnsi="宋体" w:cs="宋体"/>
          <w:color w:val="000000"/>
          <w:szCs w:val="21"/>
        </w:rPr>
        <w:t xml:space="preserve">六、付款方式：调试、试用期 </w:t>
      </w:r>
      <w:r>
        <w:rPr>
          <w:rFonts w:hint="eastAsia" w:ascii="宋体" w:hAnsi="宋体" w:cs="宋体"/>
          <w:color w:val="000000"/>
          <w:szCs w:val="21"/>
          <w:lang w:val="en-US" w:eastAsia="zh-CN"/>
        </w:rPr>
        <w:t>1</w:t>
      </w:r>
      <w:r>
        <w:rPr>
          <w:rFonts w:hint="eastAsia" w:ascii="宋体" w:hAnsi="宋体" w:cs="宋体"/>
          <w:color w:val="000000"/>
          <w:szCs w:val="21"/>
        </w:rPr>
        <w:t xml:space="preserve"> 个月，试用期内免费。试用期满后按月计费，每月支付一次，共支付36次。</w:t>
      </w:r>
      <w:r>
        <w:rPr>
          <w:rFonts w:hint="eastAsia" w:ascii="宋体" w:hAnsi="宋体" w:cs="宋体"/>
          <w:color w:val="000000"/>
          <w:szCs w:val="21"/>
          <w:lang w:val="en-US" w:eastAsia="zh-CN"/>
        </w:rPr>
        <w:t>支付金额：</w:t>
      </w:r>
      <w:r>
        <w:rPr>
          <w:rFonts w:hint="eastAsia" w:ascii="宋体" w:hAnsi="宋体" w:cs="宋体"/>
          <w:color w:val="000000"/>
          <w:szCs w:val="21"/>
          <w:lang w:val="zh-CN"/>
        </w:rPr>
        <w:t>第</w:t>
      </w:r>
      <w:r>
        <w:rPr>
          <w:rFonts w:hint="eastAsia" w:ascii="宋体" w:hAnsi="宋体" w:cs="宋体"/>
          <w:color w:val="000000"/>
          <w:szCs w:val="21"/>
          <w:lang w:val="en-US" w:eastAsia="zh-CN"/>
        </w:rPr>
        <w:t>1个月至第35个月，</w:t>
      </w:r>
      <w:r>
        <w:rPr>
          <w:rFonts w:hint="eastAsia" w:ascii="宋体" w:hAnsi="宋体" w:cs="宋体"/>
          <w:color w:val="000000"/>
          <w:szCs w:val="21"/>
          <w:lang w:val="zh-CN"/>
        </w:rPr>
        <w:t>每月支付金额：</w:t>
      </w:r>
      <w:r>
        <w:rPr>
          <w:rFonts w:hint="eastAsia" w:ascii="宋体" w:hAnsi="宋体" w:cs="宋体"/>
          <w:color w:val="000000"/>
          <w:szCs w:val="21"/>
          <w:lang w:val="en-US" w:eastAsia="zh-CN"/>
        </w:rPr>
        <w:t xml:space="preserve"> 元，第36个月支付金额：    元。甲方将支付金额打入乙方如下银行账户。</w:t>
      </w:r>
    </w:p>
    <w:p w14:paraId="55727E1B">
      <w:pPr>
        <w:autoSpaceDE w:val="0"/>
        <w:autoSpaceDN w:val="0"/>
        <w:snapToGrid w:val="0"/>
        <w:spacing w:line="440" w:lineRule="exact"/>
        <w:ind w:firstLine="420" w:firstLineChars="200"/>
        <w:rPr>
          <w:rFonts w:hint="eastAsia" w:ascii="宋体" w:hAnsi="宋体" w:cs="宋体"/>
          <w:color w:val="000000"/>
          <w:szCs w:val="21"/>
          <w:lang w:val="zh-CN"/>
        </w:rPr>
      </w:pPr>
      <w:r>
        <w:rPr>
          <w:rFonts w:hint="eastAsia" w:ascii="宋体" w:hAnsi="宋体" w:cs="宋体"/>
          <w:color w:val="000000"/>
          <w:szCs w:val="21"/>
          <w:lang w:val="zh-CN"/>
        </w:rPr>
        <w:t>开户名称：</w:t>
      </w:r>
    </w:p>
    <w:p w14:paraId="5D2D2F48">
      <w:pPr>
        <w:autoSpaceDE w:val="0"/>
        <w:autoSpaceDN w:val="0"/>
        <w:snapToGrid w:val="0"/>
        <w:spacing w:line="440" w:lineRule="exact"/>
        <w:ind w:firstLine="420" w:firstLineChars="200"/>
        <w:rPr>
          <w:rFonts w:hint="eastAsia" w:ascii="宋体" w:hAnsi="宋体" w:cs="宋体"/>
          <w:color w:val="000000"/>
          <w:szCs w:val="21"/>
          <w:lang w:val="zh-CN"/>
        </w:rPr>
      </w:pPr>
      <w:r>
        <w:rPr>
          <w:rFonts w:hint="eastAsia" w:ascii="宋体" w:hAnsi="宋体" w:cs="宋体"/>
          <w:color w:val="000000"/>
          <w:szCs w:val="21"/>
          <w:lang w:val="zh-CN"/>
        </w:rPr>
        <w:t xml:space="preserve">开 户 行： </w:t>
      </w:r>
    </w:p>
    <w:p w14:paraId="5E7CB8DE">
      <w:pPr>
        <w:autoSpaceDE w:val="0"/>
        <w:autoSpaceDN w:val="0"/>
        <w:snapToGrid w:val="0"/>
        <w:spacing w:line="440" w:lineRule="exact"/>
        <w:ind w:firstLine="420" w:firstLineChars="200"/>
        <w:rPr>
          <w:rFonts w:hint="eastAsia" w:ascii="宋体" w:hAnsi="宋体" w:cs="宋体"/>
          <w:color w:val="000000"/>
          <w:szCs w:val="21"/>
          <w:lang w:val="en-US" w:eastAsia="zh-CN"/>
        </w:rPr>
      </w:pPr>
      <w:r>
        <w:rPr>
          <w:rFonts w:hint="eastAsia" w:ascii="宋体" w:hAnsi="宋体" w:cs="宋体"/>
          <w:color w:val="000000"/>
          <w:szCs w:val="21"/>
          <w:lang w:val="zh-CN"/>
        </w:rPr>
        <w:t xml:space="preserve">帐    号： </w:t>
      </w:r>
    </w:p>
    <w:p w14:paraId="357F5D10">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七、违约责任</w:t>
      </w:r>
    </w:p>
    <w:p w14:paraId="412412E0">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1、乙方承诺的服务及为完成该服务免费提供的设施设备达不到验收标准的，甲方有权拒收，且乙方须向甲方支付本合同总价款20%的违约金。</w:t>
      </w:r>
    </w:p>
    <w:p w14:paraId="159A81EE">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2、乙方未能按本合同规定的服务及交货时间交付的，从逾期之日起每日按本合同总价款2‰的数额向甲方支付违约金；逾期十天以上的，甲方有权终止合同，由此造成的甲方经济损失由乙方承担。</w:t>
      </w:r>
    </w:p>
    <w:p w14:paraId="3C90CF4F">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3、乙方不能按照采购需求或服务承诺响应甲方服务要求的，</w:t>
      </w:r>
      <w:r>
        <w:rPr>
          <w:rFonts w:hint="eastAsia" w:ascii="宋体" w:hAnsi="宋体" w:cs="宋体"/>
          <w:color w:val="000000"/>
          <w:szCs w:val="21"/>
          <w:lang w:val="en-US" w:eastAsia="zh-CN"/>
        </w:rPr>
        <w:t>每出现一次，</w:t>
      </w:r>
      <w:r>
        <w:rPr>
          <w:rFonts w:hint="eastAsia" w:ascii="宋体" w:hAnsi="宋体" w:cs="宋体"/>
          <w:color w:val="000000"/>
          <w:szCs w:val="21"/>
        </w:rPr>
        <w:t>乙方须向甲方支付</w:t>
      </w:r>
      <w:r>
        <w:rPr>
          <w:rFonts w:hint="eastAsia" w:ascii="宋体" w:hAnsi="宋体" w:cs="宋体"/>
          <w:color w:val="000000"/>
          <w:szCs w:val="21"/>
          <w:lang w:val="en-US" w:eastAsia="zh-CN"/>
        </w:rPr>
        <w:t>5000-10000元</w:t>
      </w:r>
      <w:r>
        <w:rPr>
          <w:rFonts w:hint="eastAsia" w:ascii="宋体" w:hAnsi="宋体" w:cs="宋体"/>
          <w:color w:val="000000"/>
          <w:szCs w:val="21"/>
        </w:rPr>
        <w:t>违约金。</w:t>
      </w:r>
    </w:p>
    <w:p w14:paraId="002C2DD2">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4、乙方在服务期限内如有多次违约情况，或经过甲方三次通知整改仍不能满足甲方服务需求的，甲方有权解除合同。</w:t>
      </w:r>
    </w:p>
    <w:p w14:paraId="34B58701">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5、因乙方提供设备或服务原因，造成甲方不能正常使用的，乙方承担所有责任，具体违约情形如下：</w:t>
      </w:r>
    </w:p>
    <w:p w14:paraId="434FFE89">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1）停机影响监狱正常办公的；</w:t>
      </w:r>
    </w:p>
    <w:p w14:paraId="27BF302D">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2）通话质量差，不能正常使用的；</w:t>
      </w:r>
    </w:p>
    <w:p w14:paraId="0718EA13">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3）终端信号差，不能正常使用的；</w:t>
      </w:r>
    </w:p>
    <w:p w14:paraId="394B3209">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4）管控平台功能不全或不能正常使用的；</w:t>
      </w:r>
    </w:p>
    <w:p w14:paraId="7AC1B73B">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5）终端质量差，本机质量问题造成的售后服务超过本批次终端总数1/3数量的；</w:t>
      </w:r>
    </w:p>
    <w:p w14:paraId="341AA033">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6）服务器、交换机、防火墙参数不符合要求，质量差或在使用当中不能正常运行，影响正常工作的；</w:t>
      </w:r>
    </w:p>
    <w:p w14:paraId="05D7EBFE">
      <w:pPr>
        <w:autoSpaceDE w:val="0"/>
        <w:autoSpaceDN w:val="0"/>
        <w:snapToGrid w:val="0"/>
        <w:spacing w:line="440" w:lineRule="exact"/>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7）造成任何信息泄露的；</w:t>
      </w:r>
      <w:r>
        <w:rPr>
          <w:rFonts w:hint="eastAsia" w:ascii="宋体" w:hAnsi="宋体" w:cs="宋体"/>
          <w:color w:val="000000"/>
          <w:szCs w:val="21"/>
          <w:lang w:val="en-US" w:eastAsia="zh-CN"/>
        </w:rPr>
        <w:t>造成失泄密情况的。</w:t>
      </w:r>
    </w:p>
    <w:p w14:paraId="5147DF01">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8）售后服务不及时，不能满足正常售后需求的；</w:t>
      </w:r>
    </w:p>
    <w:p w14:paraId="099DC8C2">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9）其他违约</w:t>
      </w:r>
      <w:r>
        <w:rPr>
          <w:rFonts w:hint="eastAsia" w:ascii="宋体" w:hAnsi="宋体" w:cs="宋体"/>
          <w:color w:val="000000"/>
          <w:szCs w:val="21"/>
          <w:lang w:val="en-US" w:eastAsia="zh-CN"/>
        </w:rPr>
        <w:t>情形</w:t>
      </w:r>
      <w:r>
        <w:rPr>
          <w:rFonts w:hint="eastAsia" w:ascii="宋体" w:hAnsi="宋体" w:cs="宋体"/>
          <w:color w:val="000000"/>
          <w:szCs w:val="21"/>
        </w:rPr>
        <w:t>。</w:t>
      </w:r>
    </w:p>
    <w:p w14:paraId="7CDED48A">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八、提出异议的时间和方法</w:t>
      </w:r>
    </w:p>
    <w:p w14:paraId="263D3F07">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1、甲方在验收中如发现乙方为完成该服务免费提供的设施设备的品牌、型号、规格、质量不符合约定的，应在妥善保管货物的同时，自收到货物起</w:t>
      </w:r>
      <w:r>
        <w:rPr>
          <w:rFonts w:hint="eastAsia" w:ascii="宋体" w:hAnsi="宋体" w:cs="宋体"/>
          <w:color w:val="000000"/>
          <w:szCs w:val="21"/>
          <w:lang w:val="en-US" w:eastAsia="zh-CN"/>
        </w:rPr>
        <w:t>7个工作日</w:t>
      </w:r>
      <w:r>
        <w:rPr>
          <w:rFonts w:hint="eastAsia" w:ascii="宋体" w:hAnsi="宋体" w:cs="宋体"/>
          <w:color w:val="000000"/>
          <w:szCs w:val="21"/>
        </w:rPr>
        <w:t>内向乙方提出书面异议。</w:t>
      </w:r>
    </w:p>
    <w:p w14:paraId="504340D9">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2、甲方因违章操作、保管保养不善等自身因素造成质量问题的，不得提出异议。</w:t>
      </w:r>
    </w:p>
    <w:p w14:paraId="2C2DF20B">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3、乙方在接到甲方书面异议后，应在24小时内作出处理并予以书面说明；否则，即视为乙方默认了甲方提出的异议。</w:t>
      </w:r>
    </w:p>
    <w:p w14:paraId="3A493261">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九、不可抗力</w:t>
      </w:r>
    </w:p>
    <w:p w14:paraId="6986BE9C">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任何一方由于不可抗力原因无法履行合同时，应在不可抗力时间结束后</w:t>
      </w:r>
      <w:r>
        <w:rPr>
          <w:rFonts w:hint="eastAsia" w:ascii="宋体" w:hAnsi="宋体" w:cs="宋体"/>
          <w:color w:val="000000"/>
          <w:szCs w:val="21"/>
          <w:lang w:val="en-US" w:eastAsia="zh-CN"/>
        </w:rPr>
        <w:t>3</w:t>
      </w:r>
      <w:r>
        <w:rPr>
          <w:rFonts w:hint="eastAsia" w:ascii="宋体" w:hAnsi="宋体" w:cs="宋体"/>
          <w:color w:val="000000"/>
          <w:szCs w:val="21"/>
        </w:rPr>
        <w:t>天内向对方通报，以减轻可能给对方造成的损失；在取得有关机构的不可抗力证明或者双方谅解确认后，允许延期履行或修订合同，并视情况免于承担部分或全部的违约责任。</w:t>
      </w:r>
    </w:p>
    <w:p w14:paraId="1F19765C">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十、争议的解决</w:t>
      </w:r>
    </w:p>
    <w:p w14:paraId="5D1C6E81">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1、甲乙双方本着友好合作的态度，对合同履行过程中发生的违约行为进行及时的协商解决，如不能协商解决，向项目所在地人民法院起诉。</w:t>
      </w:r>
    </w:p>
    <w:p w14:paraId="5F7375CC">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2、因为乙方为完成该服务免费提供设备（设施）质量问题发生的争议，统一由当地质量技术监督局鉴定，其鉴定为最终鉴定，符合质量技术标准的，鉴定费用由甲方承担；不符合质量技术标准的，鉴定费由乙方承担。</w:t>
      </w:r>
    </w:p>
    <w:p w14:paraId="64AD8C7E">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十一、其他</w:t>
      </w:r>
    </w:p>
    <w:p w14:paraId="6E5125F7">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1、甲方需要增加移动终端，服务费/台/月不得高于原移动终端服务费/台/月。若增加的移动终端停产需提供同等价位移动终端（合同签订后两年内）。</w:t>
      </w:r>
    </w:p>
    <w:p w14:paraId="3B0195C9">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2、合同所有附件均为合同的有效组成部分，与合同具有同等的法律效力。</w:t>
      </w:r>
    </w:p>
    <w:p w14:paraId="7114637A">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3、本合同经甲乙双方法定代表人或授权代理人签字</w:t>
      </w:r>
      <w:r>
        <w:rPr>
          <w:rFonts w:hint="eastAsia" w:ascii="宋体" w:hAnsi="宋体" w:cs="宋体"/>
          <w:color w:val="000000"/>
          <w:szCs w:val="21"/>
          <w:lang w:eastAsia="zh-CN"/>
        </w:rPr>
        <w:t>、</w:t>
      </w:r>
      <w:r>
        <w:rPr>
          <w:rFonts w:hint="eastAsia" w:ascii="宋体" w:hAnsi="宋体" w:cs="宋体"/>
          <w:color w:val="000000"/>
          <w:szCs w:val="21"/>
        </w:rPr>
        <w:t>盖章后生效。</w:t>
      </w:r>
    </w:p>
    <w:p w14:paraId="24B19744">
      <w:pPr>
        <w:autoSpaceDE w:val="0"/>
        <w:autoSpaceDN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4、本合同一式陆份，甲方三份乙方三份。</w:t>
      </w:r>
    </w:p>
    <w:p w14:paraId="6D5FD55C">
      <w:pPr>
        <w:pStyle w:val="13"/>
        <w:adjustRightInd w:val="0"/>
        <w:snapToGrid w:val="0"/>
        <w:spacing w:line="440" w:lineRule="exact"/>
        <w:ind w:firstLine="420" w:firstLineChars="200"/>
        <w:rPr>
          <w:rFonts w:hint="eastAsia" w:hAnsi="宋体" w:cs="宋体"/>
          <w:color w:val="000000"/>
          <w:sz w:val="21"/>
        </w:rPr>
      </w:pPr>
    </w:p>
    <w:p w14:paraId="30CC2E12">
      <w:pPr>
        <w:pStyle w:val="13"/>
        <w:adjustRightInd w:val="0"/>
        <w:snapToGrid w:val="0"/>
        <w:spacing w:line="440" w:lineRule="exact"/>
        <w:ind w:firstLine="420" w:firstLineChars="200"/>
        <w:rPr>
          <w:rFonts w:hint="eastAsia" w:hAnsi="宋体" w:cs="宋体"/>
          <w:color w:val="000000"/>
          <w:sz w:val="21"/>
        </w:rPr>
      </w:pPr>
    </w:p>
    <w:p w14:paraId="2598F1F7">
      <w:pPr>
        <w:pStyle w:val="13"/>
        <w:adjustRightInd w:val="0"/>
        <w:snapToGrid w:val="0"/>
        <w:spacing w:line="440" w:lineRule="exact"/>
        <w:ind w:firstLine="420" w:firstLineChars="200"/>
        <w:rPr>
          <w:rFonts w:hint="eastAsia" w:hAnsi="宋体" w:cs="宋体"/>
          <w:color w:val="000000"/>
          <w:sz w:val="21"/>
        </w:rPr>
      </w:pPr>
    </w:p>
    <w:p w14:paraId="4B817DF5">
      <w:pPr>
        <w:pStyle w:val="13"/>
        <w:adjustRightInd w:val="0"/>
        <w:snapToGrid w:val="0"/>
        <w:spacing w:line="440" w:lineRule="exact"/>
        <w:ind w:firstLine="420" w:firstLineChars="200"/>
        <w:rPr>
          <w:rFonts w:hint="eastAsia" w:hAnsi="宋体" w:cs="宋体"/>
          <w:color w:val="000000"/>
          <w:sz w:val="21"/>
        </w:rPr>
      </w:pPr>
    </w:p>
    <w:p w14:paraId="4383E72B">
      <w:pPr>
        <w:pStyle w:val="13"/>
        <w:adjustRightInd w:val="0"/>
        <w:snapToGrid w:val="0"/>
        <w:spacing w:line="440" w:lineRule="exact"/>
        <w:rPr>
          <w:rFonts w:hint="eastAsia" w:hAnsi="宋体" w:cs="宋体"/>
          <w:color w:val="000000"/>
          <w:sz w:val="21"/>
        </w:rPr>
      </w:pPr>
      <w:r>
        <w:rPr>
          <w:rFonts w:hint="eastAsia" w:hAnsi="宋体" w:cs="宋体"/>
          <w:color w:val="000000"/>
          <w:sz w:val="21"/>
        </w:rPr>
        <w:t>甲方：（盖章）                                乙方：（盖章）</w:t>
      </w:r>
    </w:p>
    <w:p w14:paraId="7582E8D9">
      <w:pPr>
        <w:pStyle w:val="13"/>
        <w:adjustRightInd w:val="0"/>
        <w:snapToGrid w:val="0"/>
        <w:spacing w:line="440" w:lineRule="exact"/>
        <w:ind w:firstLine="420" w:firstLineChars="200"/>
        <w:rPr>
          <w:rFonts w:hint="eastAsia" w:hAnsi="宋体" w:cs="宋体"/>
          <w:color w:val="000000"/>
          <w:sz w:val="21"/>
        </w:rPr>
      </w:pPr>
    </w:p>
    <w:p w14:paraId="0063AB5B">
      <w:pPr>
        <w:pStyle w:val="13"/>
        <w:adjustRightInd w:val="0"/>
        <w:snapToGrid w:val="0"/>
        <w:spacing w:line="440" w:lineRule="exact"/>
        <w:rPr>
          <w:rFonts w:hint="eastAsia" w:hAnsi="宋体" w:cs="宋体"/>
          <w:color w:val="000000"/>
          <w:sz w:val="21"/>
        </w:rPr>
      </w:pPr>
      <w:r>
        <w:rPr>
          <w:rFonts w:hint="eastAsia" w:hAnsi="宋体" w:cs="宋体"/>
          <w:color w:val="000000"/>
          <w:sz w:val="21"/>
        </w:rPr>
        <w:t>法定代表人或授权代理人（签字）：             法定代表人或授权代理人（签字）：</w:t>
      </w:r>
    </w:p>
    <w:p w14:paraId="43F8CB21">
      <w:pPr>
        <w:pStyle w:val="13"/>
        <w:adjustRightInd w:val="0"/>
        <w:snapToGrid w:val="0"/>
        <w:spacing w:line="440" w:lineRule="exact"/>
        <w:ind w:firstLine="420" w:firstLineChars="200"/>
        <w:rPr>
          <w:rFonts w:hint="eastAsia" w:hAnsi="宋体" w:cs="宋体"/>
          <w:color w:val="000000"/>
          <w:sz w:val="21"/>
        </w:rPr>
      </w:pPr>
    </w:p>
    <w:p w14:paraId="5483DF34">
      <w:pPr>
        <w:pStyle w:val="2"/>
        <w:spacing w:line="440" w:lineRule="exact"/>
        <w:rPr>
          <w:rFonts w:hint="eastAsia" w:ascii="宋体" w:hAnsi="宋体" w:eastAsia="宋体" w:cs="宋体"/>
          <w:snapToGrid w:val="0"/>
          <w:sz w:val="21"/>
          <w:szCs w:val="21"/>
          <w:lang w:val="en-US" w:eastAsia="zh-CN"/>
        </w:rPr>
      </w:pPr>
      <w:r>
        <w:rPr>
          <w:rFonts w:hint="eastAsia" w:ascii="宋体" w:hAnsi="宋体" w:eastAsia="宋体" w:cs="宋体"/>
          <w:color w:val="000000"/>
          <w:sz w:val="21"/>
          <w:szCs w:val="21"/>
        </w:rPr>
        <w:t>签署日期：    年    月   日                  签署日期：   年    月   日</w:t>
      </w:r>
    </w:p>
    <w:p w14:paraId="08A45910">
      <w:pPr>
        <w:rPr>
          <w:rFonts w:hint="eastAsia" w:ascii="宋体" w:hAnsi="宋体"/>
          <w:bCs/>
          <w:snapToGrid w:val="0"/>
          <w:kern w:val="44"/>
          <w:szCs w:val="21"/>
        </w:rPr>
      </w:pPr>
      <w:r>
        <w:rPr>
          <w:rFonts w:hint="eastAsia" w:ascii="宋体" w:hAnsi="宋体"/>
          <w:bCs/>
          <w:snapToGrid w:val="0"/>
          <w:kern w:val="44"/>
          <w:szCs w:val="21"/>
        </w:rPr>
        <w:br w:type="page"/>
      </w:r>
    </w:p>
    <w:p w14:paraId="326924F4">
      <w:pPr>
        <w:rPr>
          <w:rFonts w:hint="eastAsia" w:ascii="宋体" w:hAnsi="宋体"/>
          <w:bCs/>
          <w:snapToGrid w:val="0"/>
          <w:kern w:val="44"/>
          <w:szCs w:val="21"/>
        </w:rPr>
        <w:sectPr>
          <w:pgSz w:w="11906" w:h="16838"/>
          <w:pgMar w:top="1440" w:right="1800" w:bottom="1440" w:left="1800" w:header="851" w:footer="992" w:gutter="0"/>
          <w:cols w:space="425" w:num="1"/>
          <w:docGrid w:type="lines" w:linePitch="312" w:charSpace="0"/>
        </w:sectPr>
      </w:pPr>
    </w:p>
    <w:p w14:paraId="7771525D">
      <w:pPr>
        <w:pStyle w:val="24"/>
        <w:rPr>
          <w:rFonts w:hint="eastAsia"/>
          <w:color w:val="auto"/>
          <w:highlight w:val="none"/>
        </w:rPr>
      </w:pPr>
      <w:bookmarkStart w:id="271" w:name="_Toc383786576"/>
      <w:bookmarkStart w:id="272" w:name="_Toc12911"/>
      <w:bookmarkStart w:id="273" w:name="_Toc7402"/>
      <w:bookmarkStart w:id="274" w:name="_Toc30836"/>
      <w:bookmarkStart w:id="275" w:name="_Toc12271"/>
    </w:p>
    <w:p w14:paraId="5DE5B3AD">
      <w:pPr>
        <w:pStyle w:val="2"/>
        <w:spacing w:line="360" w:lineRule="auto"/>
        <w:jc w:val="center"/>
        <w:rPr>
          <w:rFonts w:hint="eastAsia" w:ascii="宋体" w:hAnsi="宋体" w:cs="宋体"/>
          <w:color w:val="auto"/>
          <w:szCs w:val="44"/>
          <w:highlight w:val="none"/>
        </w:rPr>
      </w:pPr>
      <w:bookmarkStart w:id="276" w:name="_Toc23275"/>
      <w:bookmarkStart w:id="277" w:name="_Toc10388"/>
      <w:bookmarkStart w:id="278" w:name="_Toc5886"/>
      <w:bookmarkStart w:id="279" w:name="_Toc16238"/>
    </w:p>
    <w:p w14:paraId="262FF09A">
      <w:pPr>
        <w:pStyle w:val="2"/>
        <w:spacing w:line="360" w:lineRule="auto"/>
        <w:jc w:val="center"/>
        <w:rPr>
          <w:rFonts w:hint="eastAsia" w:ascii="宋体" w:hAnsi="宋体" w:cs="宋体"/>
          <w:color w:val="auto"/>
          <w:szCs w:val="44"/>
          <w:highlight w:val="none"/>
        </w:rPr>
      </w:pPr>
    </w:p>
    <w:p w14:paraId="587F3E5A">
      <w:pPr>
        <w:pStyle w:val="2"/>
        <w:spacing w:line="360" w:lineRule="auto"/>
        <w:jc w:val="center"/>
        <w:rPr>
          <w:rFonts w:hint="eastAsia" w:ascii="宋体" w:hAnsi="宋体" w:cs="宋体"/>
          <w:color w:val="auto"/>
          <w:szCs w:val="44"/>
          <w:highlight w:val="none"/>
        </w:rPr>
      </w:pPr>
    </w:p>
    <w:p w14:paraId="715DDE98">
      <w:pPr>
        <w:pStyle w:val="2"/>
        <w:spacing w:line="360" w:lineRule="auto"/>
        <w:jc w:val="center"/>
        <w:rPr>
          <w:rFonts w:hint="eastAsia" w:ascii="宋体" w:hAnsi="宋体" w:cs="宋体"/>
          <w:color w:val="auto"/>
          <w:szCs w:val="44"/>
          <w:highlight w:val="none"/>
        </w:rPr>
      </w:pPr>
    </w:p>
    <w:p w14:paraId="461DF7EA">
      <w:pPr>
        <w:pStyle w:val="2"/>
        <w:spacing w:line="360" w:lineRule="auto"/>
        <w:jc w:val="center"/>
        <w:rPr>
          <w:rFonts w:hint="eastAsia" w:ascii="宋体" w:hAnsi="宋体" w:cs="宋体"/>
          <w:color w:val="auto"/>
          <w:szCs w:val="44"/>
          <w:highlight w:val="none"/>
        </w:rPr>
      </w:pPr>
    </w:p>
    <w:p w14:paraId="610F5B55">
      <w:pPr>
        <w:pStyle w:val="2"/>
        <w:spacing w:line="360" w:lineRule="auto"/>
        <w:jc w:val="center"/>
        <w:rPr>
          <w:rFonts w:hint="eastAsia" w:ascii="宋体" w:hAnsi="宋体" w:cs="宋体"/>
          <w:color w:val="auto"/>
          <w:szCs w:val="44"/>
          <w:highlight w:val="none"/>
        </w:rPr>
      </w:pPr>
    </w:p>
    <w:p w14:paraId="6E9FC291">
      <w:pPr>
        <w:pStyle w:val="2"/>
        <w:spacing w:line="360" w:lineRule="auto"/>
        <w:jc w:val="center"/>
        <w:rPr>
          <w:rFonts w:hint="eastAsia" w:ascii="宋体" w:hAnsi="宋体" w:cs="宋体"/>
          <w:color w:val="auto"/>
          <w:szCs w:val="44"/>
          <w:highlight w:val="none"/>
        </w:rPr>
      </w:pPr>
    </w:p>
    <w:p w14:paraId="48AB884D">
      <w:pPr>
        <w:pStyle w:val="2"/>
        <w:spacing w:line="360" w:lineRule="auto"/>
        <w:jc w:val="center"/>
        <w:rPr>
          <w:rFonts w:hint="eastAsia" w:ascii="宋体" w:hAnsi="宋体" w:cs="宋体"/>
          <w:color w:val="auto"/>
          <w:szCs w:val="44"/>
          <w:highlight w:val="none"/>
        </w:rPr>
      </w:pPr>
    </w:p>
    <w:p w14:paraId="715AF742">
      <w:pPr>
        <w:pStyle w:val="2"/>
        <w:spacing w:line="360" w:lineRule="auto"/>
        <w:jc w:val="center"/>
        <w:rPr>
          <w:rFonts w:hint="eastAsia" w:ascii="宋体" w:hAnsi="宋体" w:cs="宋体"/>
          <w:color w:val="auto"/>
          <w:sz w:val="24"/>
          <w:szCs w:val="24"/>
          <w:highlight w:val="none"/>
        </w:rPr>
      </w:pPr>
      <w:bookmarkStart w:id="280" w:name="_Toc14575"/>
      <w:r>
        <w:rPr>
          <w:rFonts w:hint="eastAsia" w:ascii="宋体" w:hAnsi="宋体" w:cs="宋体"/>
          <w:color w:val="auto"/>
          <w:szCs w:val="44"/>
          <w:highlight w:val="none"/>
        </w:rPr>
        <w:t>第六章</w:t>
      </w:r>
      <w:r>
        <w:rPr>
          <w:rFonts w:ascii="宋体" w:hAnsi="宋体" w:cs="宋体"/>
          <w:color w:val="auto"/>
          <w:szCs w:val="44"/>
          <w:highlight w:val="none"/>
        </w:rPr>
        <w:t xml:space="preserve">  </w:t>
      </w:r>
      <w:bookmarkEnd w:id="271"/>
      <w:r>
        <w:rPr>
          <w:rFonts w:hint="eastAsia" w:ascii="宋体" w:hAnsi="宋体" w:cs="宋体"/>
          <w:color w:val="auto"/>
          <w:szCs w:val="44"/>
          <w:highlight w:val="none"/>
        </w:rPr>
        <w:t>采购人需求</w:t>
      </w:r>
      <w:bookmarkEnd w:id="272"/>
      <w:bookmarkEnd w:id="273"/>
      <w:bookmarkEnd w:id="274"/>
      <w:bookmarkEnd w:id="275"/>
      <w:bookmarkEnd w:id="276"/>
      <w:bookmarkEnd w:id="277"/>
      <w:bookmarkEnd w:id="278"/>
      <w:bookmarkEnd w:id="279"/>
      <w:bookmarkEnd w:id="280"/>
    </w:p>
    <w:p w14:paraId="67E22496">
      <w:pPr>
        <w:spacing w:line="360" w:lineRule="auto"/>
        <w:rPr>
          <w:rFonts w:hint="eastAsia" w:ascii="宋体" w:hAnsi="宋体" w:cs="宋体"/>
          <w:color w:val="auto"/>
          <w:sz w:val="24"/>
          <w:szCs w:val="24"/>
          <w:highlight w:val="none"/>
        </w:rPr>
        <w:sectPr>
          <w:headerReference r:id="rId6" w:type="default"/>
          <w:footerReference r:id="rId7" w:type="default"/>
          <w:pgSz w:w="11905" w:h="16838"/>
          <w:pgMar w:top="1134" w:right="1134" w:bottom="1134" w:left="1134" w:header="850" w:footer="992" w:gutter="0"/>
          <w:pgNumType w:fmt="decimal"/>
          <w:cols w:space="0" w:num="1"/>
          <w:docGrid w:type="lines" w:linePitch="317" w:charSpace="0"/>
        </w:sectPr>
      </w:pPr>
    </w:p>
    <w:p w14:paraId="542A3E68">
      <w:pPr>
        <w:autoSpaceDE w:val="0"/>
        <w:autoSpaceDN w:val="0"/>
        <w:adjustRightInd w:val="0"/>
        <w:spacing w:line="360" w:lineRule="auto"/>
        <w:jc w:val="center"/>
        <w:rPr>
          <w:rFonts w:hint="eastAsia" w:ascii="宋体" w:hAnsi="宋体" w:eastAsia="宋体" w:cs="宋体"/>
          <w:sz w:val="28"/>
          <w:szCs w:val="28"/>
          <w:lang w:val="en-US" w:eastAsia="zh-CN"/>
        </w:rPr>
      </w:pPr>
      <w:r>
        <w:rPr>
          <w:rStyle w:val="28"/>
          <w:rFonts w:hint="eastAsia"/>
          <w:b/>
          <w:bCs/>
          <w:sz w:val="28"/>
          <w:szCs w:val="28"/>
          <w:lang w:val="en-US" w:eastAsia="zh-CN"/>
        </w:rPr>
        <w:t>河南</w:t>
      </w:r>
      <w:r>
        <w:rPr>
          <w:rStyle w:val="28"/>
          <w:rFonts w:hint="eastAsia"/>
          <w:b/>
          <w:bCs/>
          <w:sz w:val="28"/>
          <w:szCs w:val="28"/>
          <w:lang w:eastAsia="zh-CN"/>
        </w:rPr>
        <w:t>省周口监狱</w:t>
      </w:r>
      <w:r>
        <w:rPr>
          <w:rStyle w:val="28"/>
          <w:rFonts w:hint="eastAsia"/>
          <w:b/>
          <w:bCs/>
          <w:sz w:val="28"/>
          <w:szCs w:val="28"/>
          <w:lang w:val="en-US" w:eastAsia="zh-CN"/>
        </w:rPr>
        <w:t>通讯网络平台采购需求</w:t>
      </w:r>
    </w:p>
    <w:p w14:paraId="789D45FD">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本项目采购内容为河南省周口监狱</w:t>
      </w:r>
      <w:r>
        <w:rPr>
          <w:rFonts w:hint="eastAsia" w:ascii="宋体" w:hAnsi="宋体" w:eastAsia="宋体" w:cs="宋体"/>
          <w:sz w:val="24"/>
          <w:szCs w:val="24"/>
          <w:lang w:val="zh-CN" w:eastAsia="zh-CN"/>
        </w:rPr>
        <w:t>购置</w:t>
      </w:r>
      <w:r>
        <w:rPr>
          <w:rFonts w:hint="eastAsia" w:ascii="宋体" w:hAnsi="宋体" w:eastAsia="宋体" w:cs="宋体"/>
          <w:sz w:val="24"/>
          <w:szCs w:val="24"/>
          <w:lang w:val="en-US" w:eastAsia="zh-CN"/>
        </w:rPr>
        <w:t>通讯网络</w:t>
      </w:r>
      <w:r>
        <w:rPr>
          <w:rFonts w:hint="eastAsia" w:ascii="宋体" w:hAnsi="宋体" w:eastAsia="宋体" w:cs="宋体"/>
          <w:sz w:val="24"/>
          <w:szCs w:val="24"/>
          <w:lang w:val="zh-CN" w:eastAsia="zh-CN"/>
        </w:rPr>
        <w:t>服务</w:t>
      </w:r>
      <w:r>
        <w:rPr>
          <w:rFonts w:hint="eastAsia" w:ascii="宋体" w:hAnsi="宋体" w:eastAsia="宋体" w:cs="宋体"/>
          <w:sz w:val="24"/>
          <w:szCs w:val="24"/>
          <w:lang w:val="en-US" w:eastAsia="zh-CN"/>
        </w:rPr>
        <w:t>项目：包括所需的750台配套终端及配套服务，期限为3年。拟采购服务总金额概算为585万元。</w:t>
      </w:r>
    </w:p>
    <w:p w14:paraId="11EA45BD">
      <w:pPr>
        <w:pageBreakBefore w:val="0"/>
        <w:widowControl/>
        <w:numPr>
          <w:ilvl w:val="0"/>
          <w:numId w:val="0"/>
        </w:numPr>
        <w:suppressLineNumbers/>
        <w:kinsoku/>
        <w:wordWrap/>
        <w:overflowPunct/>
        <w:topLinePunct w:val="0"/>
        <w:autoSpaceDE/>
        <w:autoSpaceDN/>
        <w:bidi w:val="0"/>
        <w:adjustRightInd/>
        <w:snapToGrid/>
        <w:spacing w:before="157" w:beforeLines="50" w:after="157" w:afterLines="50" w:line="360" w:lineRule="auto"/>
        <w:ind w:left="-562" w:leftChars="0" w:firstLine="562" w:firstLineChars="0"/>
        <w:textAlignment w:val="auto"/>
        <w:rPr>
          <w:rStyle w:val="28"/>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bidi="ar-SA"/>
        </w:rPr>
        <w:t>一、</w:t>
      </w:r>
      <w:r>
        <w:rPr>
          <w:rStyle w:val="28"/>
          <w:rFonts w:hint="eastAsia" w:ascii="宋体" w:hAnsi="宋体" w:eastAsia="宋体" w:cs="宋体"/>
          <w:b/>
          <w:bCs/>
          <w:sz w:val="24"/>
          <w:szCs w:val="24"/>
          <w:lang w:val="en-US" w:eastAsia="zh-CN"/>
        </w:rPr>
        <w:t>终端设备技术要求</w:t>
      </w:r>
    </w:p>
    <w:p w14:paraId="5C18C3A3">
      <w:pPr>
        <w:keepNext w:val="0"/>
        <w:keepLines w:val="0"/>
        <w:pageBreakBefore w:val="0"/>
        <w:widowControl/>
        <w:numPr>
          <w:ilvl w:val="0"/>
          <w:numId w:val="6"/>
        </w:numPr>
        <w:kinsoku/>
        <w:wordWrap/>
        <w:overflowPunct/>
        <w:topLinePunct w:val="0"/>
        <w:autoSpaceDE/>
        <w:autoSpaceDN/>
        <w:bidi w:val="0"/>
        <w:adjustRightInd/>
        <w:snapToGrid/>
        <w:spacing w:line="360" w:lineRule="auto"/>
        <w:ind w:left="-560" w:leftChars="0" w:firstLine="560" w:firstLineChars="0"/>
        <w:textAlignment w:val="auto"/>
        <w:rPr>
          <w:rStyle w:val="28"/>
          <w:rFonts w:hint="eastAsia" w:ascii="宋体" w:hAnsi="宋体" w:eastAsia="宋体" w:cs="宋体"/>
          <w:b/>
          <w:bCs/>
          <w:sz w:val="24"/>
          <w:szCs w:val="24"/>
          <w:lang w:val="en-US" w:eastAsia="zh-CN"/>
        </w:rPr>
      </w:pPr>
      <w:r>
        <w:rPr>
          <w:rStyle w:val="28"/>
          <w:rFonts w:hint="eastAsia" w:ascii="宋体" w:hAnsi="宋体" w:eastAsia="宋体" w:cs="宋体"/>
          <w:b/>
          <w:bCs/>
          <w:sz w:val="24"/>
          <w:szCs w:val="24"/>
          <w:lang w:val="en-US" w:eastAsia="zh-CN"/>
        </w:rPr>
        <w:t>双域安全执法终端设备</w:t>
      </w:r>
    </w:p>
    <w:p w14:paraId="24CD2C3B">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lang w:val="en-US" w:eastAsia="zh-CN"/>
        </w:rPr>
      </w:pPr>
      <w:r>
        <w:rPr>
          <w:rStyle w:val="28"/>
          <w:rFonts w:hint="eastAsia" w:ascii="宋体" w:hAnsi="宋体" w:eastAsia="宋体" w:cs="宋体"/>
          <w:sz w:val="24"/>
          <w:szCs w:val="24"/>
          <w:lang w:val="en-US" w:eastAsia="zh-CN"/>
        </w:rPr>
        <w:t>CPU：制程7nm 工艺，八核。</w:t>
      </w:r>
      <w:r>
        <w:rPr>
          <w:rStyle w:val="28"/>
          <w:rFonts w:hint="eastAsia" w:ascii="宋体" w:hAnsi="宋体" w:eastAsia="宋体" w:cs="宋体"/>
          <w:sz w:val="24"/>
          <w:szCs w:val="24"/>
          <w:lang w:val="en-US" w:eastAsia="zh-CN"/>
        </w:rPr>
        <w:br w:type="textWrapping"/>
      </w:r>
      <w:r>
        <w:rPr>
          <w:rStyle w:val="28"/>
          <w:rFonts w:hint="eastAsia" w:ascii="宋体" w:hAnsi="宋体" w:eastAsia="宋体" w:cs="宋体"/>
          <w:sz w:val="24"/>
          <w:szCs w:val="24"/>
          <w:lang w:val="en-US" w:eastAsia="zh-CN"/>
        </w:rPr>
        <w:t>2.存储：运行内存(RAM)16GB以上；机身存储(ROM)=512GB以上，UFS 4.0。</w:t>
      </w:r>
      <w:r>
        <w:rPr>
          <w:rStyle w:val="28"/>
          <w:rFonts w:hint="eastAsia" w:ascii="宋体" w:hAnsi="宋体" w:eastAsia="宋体" w:cs="宋体"/>
          <w:sz w:val="24"/>
          <w:szCs w:val="24"/>
          <w:lang w:val="en-US" w:eastAsia="zh-CN"/>
        </w:rPr>
        <w:br w:type="textWrapping"/>
      </w:r>
      <w:r>
        <w:rPr>
          <w:rStyle w:val="28"/>
          <w:rFonts w:hint="eastAsia" w:ascii="宋体" w:hAnsi="宋体" w:eastAsia="宋体" w:cs="宋体"/>
          <w:sz w:val="24"/>
          <w:szCs w:val="24"/>
          <w:lang w:val="en-US" w:eastAsia="zh-CN"/>
        </w:rPr>
        <w:t>3.操作系统：HarmonyOS 操作系统</w:t>
      </w:r>
    </w:p>
    <w:p w14:paraId="17F0A79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lang w:val="en-US" w:eastAsia="zh-CN"/>
        </w:rPr>
      </w:pPr>
      <w:r>
        <w:rPr>
          <w:rStyle w:val="28"/>
          <w:rFonts w:hint="eastAsia" w:ascii="宋体" w:hAnsi="宋体" w:eastAsia="宋体" w:cs="宋体"/>
          <w:sz w:val="24"/>
          <w:szCs w:val="24"/>
          <w:lang w:val="en-US" w:eastAsia="zh-CN"/>
        </w:rPr>
        <w:t>4.屏幕：6.75 英寸以上，OLED材质，支持120Hz刷新率。</w:t>
      </w:r>
    </w:p>
    <w:p w14:paraId="13030392">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lang w:val="en-US" w:eastAsia="zh-CN"/>
        </w:rPr>
        <w:t>5.前置摄像头：双摄像头，1300万像素广角摄像头+3D深感摄像头；后置摄像头：四摄像头，5000 万像素超光变摄像头、4000 万像素超广角摄像头、1200 万像素潜望</w:t>
      </w:r>
      <w:r>
        <w:rPr>
          <w:rStyle w:val="28"/>
          <w:rFonts w:hint="eastAsia" w:ascii="宋体" w:hAnsi="宋体" w:eastAsia="宋体" w:cs="宋体"/>
          <w:sz w:val="24"/>
          <w:szCs w:val="24"/>
          <w:highlight w:val="none"/>
          <w:lang w:val="en-US" w:eastAsia="zh-CN"/>
        </w:rPr>
        <w:t>式长焦摄像头、第二代</w:t>
      </w:r>
      <w:r>
        <w:rPr>
          <w:rStyle w:val="28"/>
          <w:rFonts w:hint="default" w:ascii="宋体" w:hAnsi="宋体" w:eastAsia="宋体" w:cs="宋体"/>
          <w:sz w:val="24"/>
          <w:szCs w:val="24"/>
          <w:highlight w:val="none"/>
          <w:lang w:val="en-US" w:eastAsia="zh-CN"/>
        </w:rPr>
        <w:t>超光谱摄像头</w:t>
      </w:r>
      <w:r>
        <w:rPr>
          <w:rStyle w:val="28"/>
          <w:rFonts w:hint="eastAsia" w:ascii="宋体" w:hAnsi="宋体" w:eastAsia="宋体" w:cs="宋体"/>
          <w:sz w:val="24"/>
          <w:szCs w:val="24"/>
          <w:highlight w:val="none"/>
          <w:lang w:val="en-US" w:eastAsia="zh-CN"/>
        </w:rPr>
        <w:t>。</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6.网络制式：全网通，支持联通、移动、电信、广电，5G，双卡双待。</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7.电池：电池容量5750mAh以上，支持有线、无线超级快充，支持无线反向充电。</w:t>
      </w:r>
    </w:p>
    <w:p w14:paraId="66185F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cs="宋体"/>
          <w:sz w:val="24"/>
          <w:szCs w:val="24"/>
          <w:highlight w:val="none"/>
          <w:lang w:val="en-US" w:eastAsia="zh-CN"/>
        </w:rPr>
        <w:t>8.耳机：与终端适配的蓝牙耳机。</w:t>
      </w:r>
      <w:r>
        <w:rPr>
          <w:rStyle w:val="28"/>
          <w:rFonts w:hint="eastAsia" w:ascii="宋体" w:hAnsi="宋体" w:eastAsia="宋体" w:cs="宋体"/>
          <w:sz w:val="24"/>
          <w:szCs w:val="24"/>
          <w:highlight w:val="none"/>
          <w:lang w:val="en-US" w:eastAsia="zh-CN"/>
        </w:rPr>
        <w:br w:type="textWrapping"/>
      </w:r>
      <w:r>
        <w:rPr>
          <w:rStyle w:val="28"/>
          <w:rFonts w:hint="eastAsia" w:ascii="宋体" w:hAnsi="宋体" w:cs="宋体"/>
          <w:sz w:val="24"/>
          <w:szCs w:val="24"/>
          <w:highlight w:val="none"/>
          <w:lang w:val="en-US" w:eastAsia="zh-CN"/>
        </w:rPr>
        <w:t>9</w:t>
      </w:r>
      <w:r>
        <w:rPr>
          <w:rStyle w:val="28"/>
          <w:rFonts w:hint="eastAsia" w:ascii="宋体" w:hAnsi="宋体" w:eastAsia="宋体" w:cs="宋体"/>
          <w:sz w:val="24"/>
          <w:szCs w:val="24"/>
          <w:highlight w:val="none"/>
          <w:lang w:val="en-US" w:eastAsia="zh-CN"/>
        </w:rPr>
        <w:t>.支持 802.11 a/b/g/n/ac/ax/be 协议。</w:t>
      </w:r>
      <w:r>
        <w:rPr>
          <w:rStyle w:val="28"/>
          <w:rFonts w:hint="eastAsia" w:ascii="宋体" w:hAnsi="宋体" w:eastAsia="宋体" w:cs="宋体"/>
          <w:sz w:val="24"/>
          <w:szCs w:val="24"/>
          <w:highlight w:val="none"/>
          <w:lang w:val="en-US" w:eastAsia="zh-CN"/>
        </w:rPr>
        <w:br w:type="textWrapping"/>
      </w:r>
      <w:r>
        <w:rPr>
          <w:rStyle w:val="28"/>
          <w:rFonts w:hint="eastAsia" w:ascii="宋体" w:hAnsi="宋体" w:cs="宋体"/>
          <w:sz w:val="24"/>
          <w:szCs w:val="24"/>
          <w:highlight w:val="none"/>
          <w:lang w:val="en-US" w:eastAsia="zh-CN"/>
        </w:rPr>
        <w:t>10</w:t>
      </w:r>
      <w:r>
        <w:rPr>
          <w:rStyle w:val="28"/>
          <w:rFonts w:hint="eastAsia" w:ascii="宋体" w:hAnsi="宋体" w:eastAsia="宋体" w:cs="宋体"/>
          <w:sz w:val="24"/>
          <w:szCs w:val="24"/>
          <w:highlight w:val="none"/>
          <w:lang w:val="en-US" w:eastAsia="zh-CN"/>
        </w:rPr>
        <w:t>.支持指纹识别、人脸识别、NFC、蓝牙v6.0、定位等功能。</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1</w:t>
      </w:r>
      <w:r>
        <w:rPr>
          <w:rStyle w:val="28"/>
          <w:rFonts w:hint="eastAsia" w:ascii="宋体" w:hAnsi="宋体" w:cs="宋体"/>
          <w:sz w:val="24"/>
          <w:szCs w:val="24"/>
          <w:highlight w:val="none"/>
          <w:lang w:val="en-US" w:eastAsia="zh-CN"/>
        </w:rPr>
        <w:t>1</w:t>
      </w:r>
      <w:r>
        <w:rPr>
          <w:rStyle w:val="28"/>
          <w:rFonts w:hint="eastAsia" w:ascii="宋体" w:hAnsi="宋体" w:eastAsia="宋体" w:cs="宋体"/>
          <w:sz w:val="24"/>
          <w:szCs w:val="24"/>
          <w:highlight w:val="none"/>
          <w:lang w:val="en-US" w:eastAsia="zh-CN"/>
        </w:rPr>
        <w:t>.三防等级：IP68。</w:t>
      </w:r>
    </w:p>
    <w:p w14:paraId="4F6DCF9C">
      <w:pPr>
        <w:keepNext w:val="0"/>
        <w:keepLines w:val="0"/>
        <w:pageBreakBefore w:val="0"/>
        <w:widowControl/>
        <w:numPr>
          <w:ilvl w:val="0"/>
          <w:numId w:val="6"/>
        </w:numPr>
        <w:kinsoku/>
        <w:wordWrap/>
        <w:overflowPunct/>
        <w:topLinePunct w:val="0"/>
        <w:autoSpaceDE/>
        <w:autoSpaceDN/>
        <w:bidi w:val="0"/>
        <w:adjustRightInd/>
        <w:snapToGrid/>
        <w:spacing w:line="360" w:lineRule="auto"/>
        <w:ind w:left="-560" w:leftChars="0" w:firstLine="560" w:firstLineChars="0"/>
        <w:textAlignment w:val="auto"/>
        <w:rPr>
          <w:rStyle w:val="28"/>
          <w:rFonts w:hint="eastAsia" w:ascii="宋体" w:hAnsi="宋体" w:eastAsia="宋体" w:cs="宋体"/>
          <w:b/>
          <w:bCs/>
          <w:sz w:val="24"/>
          <w:szCs w:val="24"/>
          <w:highlight w:val="none"/>
          <w:lang w:val="en-US" w:eastAsia="zh-CN"/>
        </w:rPr>
      </w:pPr>
      <w:r>
        <w:rPr>
          <w:rStyle w:val="28"/>
          <w:rFonts w:hint="eastAsia" w:ascii="宋体" w:hAnsi="宋体" w:eastAsia="宋体" w:cs="宋体"/>
          <w:b/>
          <w:bCs/>
          <w:sz w:val="24"/>
          <w:szCs w:val="24"/>
          <w:highlight w:val="none"/>
          <w:lang w:val="en-US" w:eastAsia="zh-CN"/>
        </w:rPr>
        <w:t>通讯服务</w:t>
      </w:r>
    </w:p>
    <w:p w14:paraId="63A043FA">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1、套餐定制要求：在三个模式下，每月每部终端总流量：300G以上全国流量；每月每部终端语音通话：</w:t>
      </w:r>
      <w:r>
        <w:rPr>
          <w:rStyle w:val="28"/>
          <w:rFonts w:hint="eastAsia" w:ascii="宋体" w:hAnsi="宋体" w:cs="宋体"/>
          <w:sz w:val="24"/>
          <w:szCs w:val="24"/>
          <w:highlight w:val="none"/>
          <w:lang w:val="en-US" w:eastAsia="zh-CN"/>
        </w:rPr>
        <w:t>不低于</w:t>
      </w:r>
      <w:r>
        <w:rPr>
          <w:rStyle w:val="28"/>
          <w:rFonts w:hint="eastAsia" w:ascii="宋体" w:hAnsi="宋体" w:eastAsia="宋体" w:cs="宋体"/>
          <w:sz w:val="24"/>
          <w:szCs w:val="24"/>
          <w:highlight w:val="none"/>
          <w:lang w:val="en-US" w:eastAsia="zh-CN"/>
        </w:rPr>
        <w:t xml:space="preserve">3000分钟全国通话，集团网内通话免费，三个模式下流量和通话分钟数共用。 </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2.因监狱工作的特殊性要求，任何情况下不停机，不限制流量速度（甲方指定需管控设施除外）。</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3.全国范围内（不含港澳台）接听免费。全国范围内（不含港澳台）可正常拨打、对讲，无漫游费等其他一切费用。</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4. 包含其它套餐内的服务内容。</w:t>
      </w:r>
    </w:p>
    <w:p w14:paraId="011A5AE5">
      <w:pPr>
        <w:pageBreakBefore w:val="0"/>
        <w:widowControl/>
        <w:numPr>
          <w:ilvl w:val="0"/>
          <w:numId w:val="0"/>
        </w:numPr>
        <w:suppressLineNumbers/>
        <w:kinsoku/>
        <w:wordWrap/>
        <w:overflowPunct/>
        <w:topLinePunct w:val="0"/>
        <w:autoSpaceDE/>
        <w:autoSpaceDN/>
        <w:bidi w:val="0"/>
        <w:adjustRightInd/>
        <w:snapToGrid/>
        <w:spacing w:before="157" w:beforeLines="50" w:after="157" w:afterLines="50" w:line="360" w:lineRule="auto"/>
        <w:ind w:left="-562" w:leftChars="0" w:firstLine="562" w:firstLineChars="0"/>
        <w:textAlignment w:val="auto"/>
        <w:rPr>
          <w:rStyle w:val="28"/>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bidi="ar-SA"/>
        </w:rPr>
        <w:t>二、</w:t>
      </w:r>
      <w:r>
        <w:rPr>
          <w:rStyle w:val="28"/>
          <w:rFonts w:hint="eastAsia" w:ascii="宋体" w:hAnsi="宋体" w:eastAsia="宋体" w:cs="宋体"/>
          <w:b/>
          <w:bCs/>
          <w:sz w:val="24"/>
          <w:szCs w:val="24"/>
          <w:highlight w:val="none"/>
          <w:lang w:val="en-US" w:eastAsia="zh-CN"/>
        </w:rPr>
        <w:t>终端基本功能要求</w:t>
      </w:r>
    </w:p>
    <w:p w14:paraId="7A448C66">
      <w:pPr>
        <w:numPr>
          <w:ilvl w:val="0"/>
          <w:numId w:val="8"/>
        </w:numPr>
        <w:suppressLineNumbers/>
        <w:spacing w:line="360" w:lineRule="auto"/>
        <w:ind w:left="-562" w:leftChars="0" w:firstLine="562" w:firstLineChars="0"/>
        <w:rPr>
          <w:rStyle w:val="28"/>
          <w:rFonts w:hint="eastAsia" w:ascii="宋体" w:hAnsi="宋体" w:eastAsia="宋体" w:cs="宋体"/>
          <w:b/>
          <w:bCs/>
          <w:sz w:val="24"/>
          <w:szCs w:val="24"/>
          <w:highlight w:val="none"/>
          <w:lang w:eastAsia="zh-CN"/>
        </w:rPr>
      </w:pPr>
      <w:r>
        <w:rPr>
          <w:rStyle w:val="28"/>
          <w:rFonts w:hint="eastAsia" w:ascii="宋体" w:hAnsi="宋体" w:eastAsia="宋体" w:cs="宋体"/>
          <w:b/>
          <w:bCs/>
          <w:sz w:val="24"/>
          <w:szCs w:val="24"/>
          <w:highlight w:val="none"/>
          <w:lang w:val="en-US" w:eastAsia="zh-CN"/>
        </w:rPr>
        <w:t>双域安全执法平台</w:t>
      </w:r>
    </w:p>
    <w:p w14:paraId="5623BC85">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终端具备工作模式、执勤模式、生活模式。工作模式支持通过切换图标自主切换；执勤模式支持通过NFC读卡器、蓝牙信标防漏刷和指挥中心远程切换及人脸识别防漏刷辅助强制切换，不支持手动切换。</w:t>
      </w:r>
    </w:p>
    <w:p w14:paraId="55AC6F5C">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终端执勤模式界面需显示所用人员的照片、姓名及动态时间。</w:t>
      </w:r>
    </w:p>
    <w:p w14:paraId="73E9797F">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工作模式下具备人、车、物及其它审批手续。工作模式下群组功能可与执勤模式互通信息。</w:t>
      </w:r>
    </w:p>
    <w:p w14:paraId="1C803F50">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执勤模式下具备拍照、录视频、通讯录、群组</w:t>
      </w:r>
      <w:r>
        <w:rPr>
          <w:rStyle w:val="28"/>
          <w:rFonts w:hint="eastAsia" w:ascii="宋体" w:hAnsi="宋体" w:cs="宋体"/>
          <w:sz w:val="24"/>
          <w:szCs w:val="24"/>
          <w:highlight w:val="none"/>
          <w:lang w:val="en-US" w:eastAsia="zh-CN"/>
        </w:rPr>
        <w:t>通讯</w:t>
      </w:r>
      <w:r>
        <w:rPr>
          <w:rStyle w:val="28"/>
          <w:rFonts w:hint="eastAsia" w:ascii="宋体" w:hAnsi="宋体" w:eastAsia="宋体" w:cs="宋体"/>
          <w:sz w:val="24"/>
          <w:szCs w:val="24"/>
          <w:highlight w:val="none"/>
          <w:lang w:val="en-US" w:eastAsia="zh-CN"/>
        </w:rPr>
        <w:t>、报警模式；保持蓝牙常开，但不能通过蓝牙传输任何文件；终端端口仅保留充电功能。</w:t>
      </w:r>
    </w:p>
    <w:p w14:paraId="5A40075F">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保障安全域入口的安全性，不可通过锁屏界面或下拉菜单切换模式。</w:t>
      </w:r>
    </w:p>
    <w:p w14:paraId="69213685">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执勤模式/非执勤模式下的通话记录以及通讯录相互隔离，禁止互相访问。</w:t>
      </w:r>
    </w:p>
    <w:p w14:paraId="3CF80211">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执勤模式/非执勤模式下的拍照文件，禁止互相访问，不同模式下的图片、视频等文件隔离。</w:t>
      </w:r>
    </w:p>
    <w:p w14:paraId="52F4720A">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执勤模式下显示的正在运行的应用、在非执勤模式下无法显示：即应用运行在不同模式下彼此隔离，互不可见，各自独立运行互不影响。</w:t>
      </w:r>
    </w:p>
    <w:p w14:paraId="4629E614">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为确保所有进入监狱内的双域安全执法终端均为执勤模式，需在 AB 门人行通道、车行通道入口安装蓝牙信标、人脸识别切换设备，所有进入区域的人员终端获取到蓝牙信息时，自动切换至执勤模式 。狱内蓝牙信标点不少于300个（备用200）。</w:t>
      </w:r>
    </w:p>
    <w:p w14:paraId="545C15D8">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在系统设置或关于本机页面中，应明确显示操作系统、安全平台及关键应用的开发者身份、软件版本号等属性信息。</w:t>
      </w:r>
    </w:p>
    <w:p w14:paraId="7DFA1BBE">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eastAsia="zh-CN"/>
        </w:rPr>
      </w:pPr>
      <w:r>
        <w:rPr>
          <w:rStyle w:val="28"/>
          <w:rFonts w:hint="eastAsia" w:ascii="宋体" w:hAnsi="宋体" w:eastAsia="宋体" w:cs="宋体"/>
          <w:sz w:val="24"/>
          <w:szCs w:val="24"/>
          <w:highlight w:val="none"/>
          <w:lang w:val="en-US" w:eastAsia="zh-CN"/>
        </w:rPr>
        <w:t>应用安装包需要进行混淆防止程序被反编译、反调试。</w:t>
      </w:r>
    </w:p>
    <w:p w14:paraId="30E91077">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eastAsia="zh-CN"/>
        </w:rPr>
      </w:pPr>
      <w:r>
        <w:rPr>
          <w:rStyle w:val="28"/>
          <w:rFonts w:hint="eastAsia" w:ascii="宋体" w:hAnsi="宋体" w:eastAsia="宋体" w:cs="宋体"/>
          <w:sz w:val="24"/>
          <w:szCs w:val="24"/>
          <w:highlight w:val="none"/>
          <w:lang w:val="en-US" w:eastAsia="zh-CN"/>
        </w:rPr>
        <w:t>输入数字字符密码时需要调用安全键盘。</w:t>
      </w:r>
    </w:p>
    <w:p w14:paraId="0DE17CA6">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eastAsia="zh-CN"/>
        </w:rPr>
      </w:pPr>
      <w:r>
        <w:rPr>
          <w:rStyle w:val="28"/>
          <w:rFonts w:hint="eastAsia" w:ascii="宋体" w:hAnsi="宋体" w:eastAsia="宋体" w:cs="宋体"/>
          <w:sz w:val="24"/>
          <w:szCs w:val="24"/>
          <w:highlight w:val="none"/>
          <w:lang w:val="en-US" w:eastAsia="zh-CN"/>
        </w:rPr>
        <w:t>执勤模式下取消系统自带的人机语音对讲功能 (例如 siri 功能)。</w:t>
      </w:r>
    </w:p>
    <w:p w14:paraId="2CAAB748">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eastAsia="zh-CN"/>
        </w:rPr>
      </w:pPr>
      <w:r>
        <w:rPr>
          <w:rStyle w:val="28"/>
          <w:rFonts w:hint="eastAsia" w:ascii="宋体" w:hAnsi="宋体" w:eastAsia="宋体" w:cs="宋体"/>
          <w:sz w:val="24"/>
          <w:szCs w:val="24"/>
          <w:highlight w:val="none"/>
          <w:lang w:val="en-US" w:eastAsia="zh-CN"/>
        </w:rPr>
        <w:t>软件应通过中国信息通信研究院安全能力验证</w:t>
      </w:r>
      <w:r>
        <w:rPr>
          <w:rStyle w:val="28"/>
          <w:rFonts w:hint="eastAsia" w:ascii="宋体" w:hAnsi="宋体" w:cs="宋体"/>
          <w:sz w:val="24"/>
          <w:szCs w:val="24"/>
          <w:highlight w:val="none"/>
          <w:lang w:val="en-US" w:eastAsia="zh-CN"/>
        </w:rPr>
        <w:t>或公安部认证</w:t>
      </w:r>
      <w:r>
        <w:rPr>
          <w:rStyle w:val="28"/>
          <w:rFonts w:hint="eastAsia" w:ascii="宋体" w:hAnsi="宋体" w:eastAsia="宋体" w:cs="宋体"/>
          <w:sz w:val="24"/>
          <w:szCs w:val="24"/>
          <w:highlight w:val="none"/>
          <w:lang w:val="en-US" w:eastAsia="zh-CN"/>
        </w:rPr>
        <w:t>，并出具</w:t>
      </w:r>
      <w:bookmarkStart w:id="457" w:name="_GoBack"/>
      <w:bookmarkEnd w:id="457"/>
      <w:r>
        <w:rPr>
          <w:rStyle w:val="28"/>
          <w:rFonts w:hint="eastAsia" w:ascii="宋体" w:hAnsi="宋体" w:eastAsia="宋体" w:cs="宋体"/>
          <w:sz w:val="24"/>
          <w:szCs w:val="24"/>
          <w:highlight w:val="none"/>
          <w:lang w:val="en-US" w:eastAsia="zh-CN"/>
        </w:rPr>
        <w:t>相关材料。</w:t>
      </w:r>
    </w:p>
    <w:p w14:paraId="50BC9AEF">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eastAsia="zh-CN"/>
        </w:rPr>
      </w:pPr>
      <w:r>
        <w:rPr>
          <w:rStyle w:val="28"/>
          <w:rFonts w:hint="eastAsia" w:ascii="宋体" w:hAnsi="宋体" w:eastAsia="宋体" w:cs="宋体"/>
          <w:sz w:val="24"/>
          <w:szCs w:val="24"/>
          <w:highlight w:val="none"/>
          <w:lang w:val="en-US" w:eastAsia="zh-CN"/>
        </w:rPr>
        <w:t>为保障平台运营数据信息安全，所投平台应符合等保三级测评要求，并提供符合网络安全等级第三级的安全测评报告。</w:t>
      </w:r>
    </w:p>
    <w:p w14:paraId="065E7852">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eastAsia="zh-CN"/>
        </w:rPr>
      </w:pPr>
      <w:r>
        <w:rPr>
          <w:rStyle w:val="28"/>
          <w:rFonts w:hint="eastAsia" w:ascii="宋体" w:hAnsi="宋体" w:eastAsia="宋体" w:cs="宋体"/>
          <w:sz w:val="24"/>
          <w:szCs w:val="24"/>
          <w:highlight w:val="none"/>
          <w:lang w:val="en-US" w:eastAsia="zh-CN"/>
        </w:rPr>
        <w:t>执勤模式下设置IP地址白名单，禁止访问白名单以外的任何IP地址。</w:t>
      </w:r>
    </w:p>
    <w:p w14:paraId="23372A81">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支持设备信息组合筛选，包括设备名称、设备型号、用户名、姓名、部门、平台、系统版本、归属、设备状态、管控状态、合规状态、破解状态、分身账号、最后上线时间、设备模式等，进行设备过滤，便于平台对相关设备进行管理。</w:t>
      </w:r>
    </w:p>
    <w:p w14:paraId="07E1896F">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jc w:val="left"/>
        <w:textAlignment w:val="center"/>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支持系统服务监控，可查看服务运行状态监控和服务详情、查看服务接入服务器详情（CPU和内存）、支持服务日志下载和实时日志查看，并可支持按照时间进行日志查看。</w:t>
      </w:r>
    </w:p>
    <w:p w14:paraId="7DF927F1">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b/>
          <w:bCs/>
          <w:sz w:val="24"/>
          <w:szCs w:val="24"/>
          <w:highlight w:val="none"/>
        </w:rPr>
      </w:pPr>
      <w:r>
        <w:rPr>
          <w:rStyle w:val="28"/>
          <w:rFonts w:hint="eastAsia" w:ascii="宋体" w:hAnsi="宋体" w:eastAsia="宋体" w:cs="宋体"/>
          <w:b/>
          <w:bCs/>
          <w:sz w:val="24"/>
          <w:szCs w:val="24"/>
          <w:highlight w:val="none"/>
        </w:rPr>
        <w:t>2、</w:t>
      </w:r>
      <w:r>
        <w:rPr>
          <w:rStyle w:val="28"/>
          <w:rFonts w:hint="eastAsia" w:ascii="宋体" w:hAnsi="宋体" w:eastAsia="宋体" w:cs="宋体"/>
          <w:b/>
          <w:bCs/>
          <w:sz w:val="24"/>
          <w:szCs w:val="24"/>
          <w:highlight w:val="none"/>
          <w:lang w:val="en-US" w:eastAsia="zh-CN"/>
        </w:rPr>
        <w:t>终端安全管理平台</w:t>
      </w:r>
    </w:p>
    <w:p w14:paraId="2B851A6A">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1、在执勤模式下具有通讯录云下载、云更新的功能，管理员可在平台修改通讯录。</w:t>
      </w:r>
    </w:p>
    <w:p w14:paraId="1F9BC5A1">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2、终端模式管理:查询控制终端在线状态，远程切换其模式（执勤模式和生活模式）。</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3、SIM 卡槽控制:具备远程禁用和非禁用指定终端SIM 卡槽功能，进入执勤模式后，双域安全执法终端仅支持卡槽1工作号码使用，其他卡槽号码强制禁止使用。</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4、文件强制推送功能；分发的文件类型包含但不限于 DOC、OCX、TXT、PDF、PPT、EXCEL 等，用户只可查看，无法修改、共享下发的文件。</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5、具备应用管理功能，实现执勤模式下应用软件管理，包含但不限于批量上传、强制下发、静默安装、白名单、防卸载等功能，应用商店应用可以针对指定用户显示。</w:t>
      </w:r>
    </w:p>
    <w:p w14:paraId="3CC1FE24">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6、具备检索并截图执勤模式下终端长时间开机的画面并上传平台审核，平台可自由设定时长。</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7、具备通话白名单功能，禁止拨打和接听白名单以外的电话</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8、平台具备配置限制策略功能，限制策略包含但不限于：允许/禁用 USB 存储、USB 调试、录音、摄像头、WIFI、移动数据、蓝牙、定位、通话、短信、NFC、系统截屏、热点共享、状态栏下拉等。配置策略具备单个用户、多个用户、用户组等方式进行下发能力。</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9、亲情号码:每个号卡可单独设置 5 个以上的亲情号码(移动、联通、电信、广电的手机号均可，亲情号码由甲方管理（乙方辅助管理）)，与亲情号码可实现双向通信。</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10、多级组织架构管理:支持多层级组织架构管理。</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11、权限配置:可根据不同人员进行权限设置、权限分配。</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12、为保障平台运行稳定可靠、信息数据自主安全可控，所投终端管控平台应提供基于国产服务器、国产数据软件、国产操作系统的兼容性互认证书。</w:t>
      </w:r>
    </w:p>
    <w:p w14:paraId="0247F041">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13、平台具备对接三维地图、显示人员区域定位的功能；具备置顶广播推送信息，和任意终端通话功能。</w:t>
      </w:r>
    </w:p>
    <w:p w14:paraId="50033AAB">
      <w:pPr>
        <w:spacing w:line="360" w:lineRule="auto"/>
        <w:rPr>
          <w:rStyle w:val="28"/>
          <w:rFonts w:hint="eastAsia" w:ascii="宋体" w:hAnsi="宋体" w:eastAsia="宋体" w:cs="宋体"/>
          <w:b/>
          <w:bCs/>
          <w:sz w:val="24"/>
          <w:szCs w:val="24"/>
          <w:highlight w:val="none"/>
        </w:rPr>
      </w:pPr>
      <w:r>
        <w:rPr>
          <w:rStyle w:val="28"/>
          <w:rFonts w:hint="eastAsia" w:ascii="宋体" w:hAnsi="宋体" w:eastAsia="宋体" w:cs="宋体"/>
          <w:b/>
          <w:bCs/>
          <w:sz w:val="24"/>
          <w:szCs w:val="24"/>
          <w:highlight w:val="none"/>
          <w:lang w:val="en-US" w:eastAsia="zh-CN"/>
        </w:rPr>
        <w:t>3</w:t>
      </w:r>
      <w:r>
        <w:rPr>
          <w:rStyle w:val="28"/>
          <w:rFonts w:hint="eastAsia" w:ascii="宋体" w:hAnsi="宋体" w:eastAsia="宋体" w:cs="宋体"/>
          <w:b/>
          <w:bCs/>
          <w:sz w:val="24"/>
          <w:szCs w:val="24"/>
          <w:highlight w:val="none"/>
        </w:rPr>
        <w:t>、</w:t>
      </w:r>
      <w:r>
        <w:rPr>
          <w:rStyle w:val="28"/>
          <w:rFonts w:hint="eastAsia" w:ascii="宋体" w:hAnsi="宋体" w:eastAsia="宋体" w:cs="宋体"/>
          <w:b/>
          <w:bCs/>
          <w:sz w:val="24"/>
          <w:szCs w:val="24"/>
          <w:highlight w:val="none"/>
          <w:lang w:val="en-US" w:eastAsia="zh-CN"/>
        </w:rPr>
        <w:t>流程审批</w:t>
      </w:r>
    </w:p>
    <w:p w14:paraId="41F3B787">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1、流程审批必须使用与互联网隔离的专网，保障数据传输全程保密安全。</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2、流程审批仅在工作模式下可用，同时支持后台配置账号密码，并设置相应身份。</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3、流程审批应具备未处理审批提示，可延伸短信提醒服务。</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4、流程审批需提供人员审批、车辆审批、用车审批、停电审批等多种类型的审批流程单。</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5、审批通过后，在自助终端上打印流程审批单。</w:t>
      </w:r>
      <w:r>
        <w:rPr>
          <w:rStyle w:val="28"/>
          <w:rFonts w:hint="eastAsia" w:ascii="宋体" w:hAnsi="宋体" w:eastAsia="宋体" w:cs="宋体"/>
          <w:sz w:val="24"/>
          <w:szCs w:val="24"/>
          <w:highlight w:val="none"/>
          <w:lang w:val="en-US" w:eastAsia="zh-CN"/>
        </w:rPr>
        <w:br w:type="textWrapping"/>
      </w:r>
      <w:r>
        <w:rPr>
          <w:rStyle w:val="28"/>
          <w:rFonts w:hint="eastAsia" w:ascii="宋体" w:hAnsi="宋体" w:eastAsia="宋体" w:cs="宋体"/>
          <w:sz w:val="24"/>
          <w:szCs w:val="24"/>
          <w:highlight w:val="none"/>
          <w:lang w:val="en-US" w:eastAsia="zh-CN"/>
        </w:rPr>
        <w:t>6、所有审批单，无论同意、拒绝或未完成，都在后台留存可查看。</w:t>
      </w:r>
    </w:p>
    <w:p w14:paraId="107EA901">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7、工作模式下，干警在操作界面根据干警姓名、警号等动态生成界面水印。</w:t>
      </w:r>
    </w:p>
    <w:p w14:paraId="2B578312">
      <w:pPr>
        <w:pStyle w:val="3"/>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textAlignment w:val="auto"/>
        <w:rPr>
          <w:rFonts w:hint="eastAsia" w:ascii="宋体" w:hAnsi="宋体" w:eastAsia="宋体" w:cs="宋体"/>
          <w:sz w:val="24"/>
          <w:szCs w:val="24"/>
          <w:highlight w:val="none"/>
          <w:lang w:val="en-US" w:eastAsia="zh-CN"/>
        </w:rPr>
      </w:pPr>
      <w:bookmarkStart w:id="281" w:name="_Toc2459"/>
      <w:bookmarkStart w:id="282" w:name="_Toc21821"/>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硬件设备及参数</w:t>
      </w:r>
      <w:bookmarkEnd w:id="281"/>
      <w:bookmarkEnd w:id="282"/>
    </w:p>
    <w:p w14:paraId="5EC33F59">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1.服务器：2台，不低于以下要求：CPU 24 核 48 线程，至强系列，内存 64G，硬盘 4*300G SAS 硬盘，其他光驱，滑轨。</w:t>
      </w:r>
    </w:p>
    <w:p w14:paraId="0FBD6425">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2.存储服务：不低于以下要求：CPU 24 核 48 线程，至强系列，内存 64G，1T SSD+8*6T SATA 硬盘；支持RAID 0，1，5，10,50 2G缓存 配置，服务器须接入此阵列。</w:t>
      </w:r>
    </w:p>
    <w:p w14:paraId="4E8D36B4">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3.人脸识别处理服务器（超脑处理）1台。</w:t>
      </w:r>
    </w:p>
    <w:p w14:paraId="7FAF2CCF">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4.智能网络人脸识别摄像头：3台，不低于400万像素。</w:t>
      </w:r>
    </w:p>
    <w:p w14:paraId="6A1FE649">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5.交换机：不低于以下要求：三层千兆交换机；24 口千兆电+2 千兆光纤口。</w:t>
      </w:r>
    </w:p>
    <w:p w14:paraId="67FF450C">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6.防火墙：不低于以下要求：WAN 接入口：千兆网口；WAN 输出口：千兆网口；LAN 口类型：光口，电口，光电复用口；运营商：移动，联 通，电信；支持 IPv4/6；管理方式： WEB 页面，命令 行；支持上网行为管理。</w:t>
      </w:r>
    </w:p>
    <w:p w14:paraId="423AD128">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7.蓝牙信标500个。</w:t>
      </w:r>
    </w:p>
    <w:p w14:paraId="101370B5">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8.NFC卡200张，用于科室变更执勤模式使用，且NFC卡显示科室信息。</w:t>
      </w:r>
    </w:p>
    <w:p w14:paraId="3CA11928">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9.自助操作终端1台：包含自主打印、</w:t>
      </w:r>
      <w:r>
        <w:rPr>
          <w:rStyle w:val="28"/>
          <w:rFonts w:hint="eastAsia" w:ascii="宋体" w:hAnsi="宋体" w:cs="宋体"/>
          <w:sz w:val="24"/>
          <w:szCs w:val="24"/>
          <w:highlight w:val="none"/>
          <w:lang w:val="en-US" w:eastAsia="zh-CN"/>
        </w:rPr>
        <w:t>拍照</w:t>
      </w:r>
      <w:r>
        <w:rPr>
          <w:rStyle w:val="28"/>
          <w:rFonts w:hint="eastAsia" w:ascii="宋体" w:hAnsi="宋体" w:eastAsia="宋体" w:cs="宋体"/>
          <w:sz w:val="24"/>
          <w:szCs w:val="24"/>
          <w:highlight w:val="none"/>
          <w:lang w:val="en-US" w:eastAsia="zh-CN"/>
        </w:rPr>
        <w:t>、上传等功能，满足自主办理流程审批业务的全过程。</w:t>
      </w:r>
    </w:p>
    <w:p w14:paraId="4AB6E857">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10.不间断电源系统一套：包含主机和电池（不低于16块），不低10KVA/9KW。</w:t>
      </w:r>
    </w:p>
    <w:p w14:paraId="19BBD7BD">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11.笔记本电脑一台，用于日常便携操作和维护。</w:t>
      </w:r>
    </w:p>
    <w:p w14:paraId="6EF8BC50">
      <w:pPr>
        <w:keepNext w:val="0"/>
        <w:keepLines w:val="0"/>
        <w:pageBreakBefore w:val="0"/>
        <w:widowControl/>
        <w:kinsoku/>
        <w:wordWrap/>
        <w:overflowPunct/>
        <w:topLinePunct w:val="0"/>
        <w:autoSpaceDE/>
        <w:autoSpaceDN/>
        <w:bidi w:val="0"/>
        <w:adjustRightInd/>
        <w:snapToGrid/>
        <w:spacing w:line="360" w:lineRule="auto"/>
        <w:textAlignment w:val="auto"/>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lang w:val="en-US" w:eastAsia="zh-CN"/>
        </w:rPr>
        <w:t>12.其他硬件：管理员电脑2台等包括但不限于功能实现的所需硬件设备。</w:t>
      </w:r>
    </w:p>
    <w:p w14:paraId="005E1D23">
      <w:pPr>
        <w:pStyle w:val="3"/>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textAlignment w:val="auto"/>
        <w:rPr>
          <w:rFonts w:hint="eastAsia" w:ascii="宋体" w:hAnsi="宋体" w:eastAsia="宋体" w:cs="宋体"/>
          <w:sz w:val="24"/>
          <w:szCs w:val="24"/>
          <w:highlight w:val="none"/>
          <w:lang w:val="en-US" w:eastAsia="zh-CN"/>
        </w:rPr>
      </w:pPr>
      <w:bookmarkStart w:id="283" w:name="_Toc5211"/>
      <w:bookmarkStart w:id="284" w:name="_Toc5911"/>
      <w:r>
        <w:rPr>
          <w:rFonts w:hint="eastAsia" w:ascii="宋体" w:hAnsi="宋体" w:eastAsia="宋体" w:cs="宋体"/>
          <w:sz w:val="24"/>
          <w:szCs w:val="24"/>
          <w:highlight w:val="none"/>
          <w:lang w:val="en-US" w:eastAsia="zh-CN"/>
        </w:rPr>
        <w:t>四、服务要求</w:t>
      </w:r>
      <w:bookmarkEnd w:id="283"/>
      <w:bookmarkEnd w:id="284"/>
    </w:p>
    <w:p w14:paraId="6FE036C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Style w:val="28"/>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color w:val="000000"/>
          <w:sz w:val="24"/>
          <w:szCs w:val="24"/>
          <w:highlight w:val="none"/>
          <w:lang w:val="en-US" w:eastAsia="zh-CN"/>
        </w:rPr>
        <w:t>甲方</w:t>
      </w:r>
      <w:r>
        <w:rPr>
          <w:rFonts w:hint="eastAsia" w:ascii="宋体" w:hAnsi="宋体" w:eastAsia="宋体" w:cs="宋体"/>
          <w:color w:val="000000"/>
          <w:sz w:val="24"/>
          <w:szCs w:val="24"/>
          <w:highlight w:val="none"/>
        </w:rPr>
        <w:t>付款方式：调试、试用期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个月，试用期内免费。试用期满后按月计费，每月支付一次，共支付36次。</w:t>
      </w:r>
    </w:p>
    <w:p w14:paraId="55CD3B4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Style w:val="28"/>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2、</w:t>
      </w:r>
      <w:r>
        <w:rPr>
          <w:rStyle w:val="28"/>
          <w:rFonts w:hint="eastAsia" w:ascii="宋体" w:hAnsi="宋体" w:eastAsia="宋体" w:cs="宋体"/>
          <w:sz w:val="24"/>
          <w:szCs w:val="24"/>
          <w:highlight w:val="none"/>
          <w:lang w:val="en-US" w:eastAsia="zh-CN"/>
        </w:rPr>
        <w:t>交付期限：合同签订后20日内将所有配套终端及配套产品送达至采购人指定地点，合同签订后一个月内完成全部建设内容并确保达到采购人使用要求，并通知甲方组织整体验收。</w:t>
      </w:r>
    </w:p>
    <w:p w14:paraId="794B946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Style w:val="28"/>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3、</w:t>
      </w:r>
      <w:r>
        <w:rPr>
          <w:rStyle w:val="28"/>
          <w:rFonts w:hint="eastAsia" w:ascii="宋体" w:hAnsi="宋体" w:eastAsia="宋体" w:cs="宋体"/>
          <w:sz w:val="24"/>
          <w:szCs w:val="24"/>
          <w:highlight w:val="none"/>
          <w:lang w:val="en-US" w:eastAsia="zh-CN"/>
        </w:rPr>
        <w:t>验收标准：符合中华人民共和国现行技术标准，并按招标文件、中标人投标文件及合同约定事项，由采购人组织验收。</w:t>
      </w:r>
    </w:p>
    <w:p w14:paraId="4CC53FD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Style w:val="28"/>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4、</w:t>
      </w:r>
      <w:r>
        <w:rPr>
          <w:rStyle w:val="28"/>
          <w:rFonts w:hint="eastAsia" w:ascii="宋体" w:hAnsi="宋体" w:eastAsia="宋体" w:cs="宋体"/>
          <w:sz w:val="24"/>
          <w:szCs w:val="24"/>
          <w:highlight w:val="none"/>
          <w:lang w:val="en-US" w:eastAsia="zh-CN"/>
        </w:rPr>
        <w:t>技术培训：交付使用后，中标供应商必须对我单位的操作人员及技术人员进行现场技术培训，技术培训包含但不限于进行详尽的工作原理、操作使用、一般维护、常见故障排除等一系列的专业培训，并提供系统操作、使用操作手册及各类设备说明书。</w:t>
      </w:r>
    </w:p>
    <w:p w14:paraId="629673C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Style w:val="28"/>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5、</w:t>
      </w:r>
      <w:r>
        <w:rPr>
          <w:rStyle w:val="28"/>
          <w:rFonts w:hint="eastAsia" w:ascii="宋体" w:hAnsi="宋体" w:eastAsia="宋体" w:cs="宋体"/>
          <w:sz w:val="24"/>
          <w:szCs w:val="24"/>
          <w:highlight w:val="none"/>
          <w:lang w:val="en-US" w:eastAsia="zh-CN"/>
        </w:rPr>
        <w:t>中标供应商应针对本项目设立专门的运行维护技术服务小组，提供7*24小时的运行维护技术服务；设备发生故障，响应时间为即时响应，1小时内到达现场，12小时内排除故障，12小时如无法排除故障，须提供全新设备进行替换。</w:t>
      </w:r>
    </w:p>
    <w:p w14:paraId="171014E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Style w:val="28"/>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6、</w:t>
      </w:r>
      <w:r>
        <w:rPr>
          <w:rStyle w:val="28"/>
          <w:rFonts w:hint="eastAsia" w:ascii="宋体" w:hAnsi="宋体" w:eastAsia="宋体" w:cs="宋体"/>
          <w:sz w:val="24"/>
          <w:szCs w:val="24"/>
          <w:highlight w:val="none"/>
          <w:lang w:val="en-US" w:eastAsia="zh-CN"/>
        </w:rPr>
        <w:t>重大节假日等期间须提供值守支持和保障服务。</w:t>
      </w:r>
    </w:p>
    <w:p w14:paraId="56B800E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Style w:val="28"/>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7、</w:t>
      </w:r>
      <w:r>
        <w:rPr>
          <w:rStyle w:val="28"/>
          <w:rFonts w:hint="eastAsia" w:ascii="宋体" w:hAnsi="宋体" w:eastAsia="宋体" w:cs="宋体"/>
          <w:sz w:val="24"/>
          <w:szCs w:val="24"/>
          <w:highlight w:val="none"/>
          <w:lang w:val="en-US" w:eastAsia="zh-CN"/>
        </w:rPr>
        <w:t>中标供应商在履约过程中，必须遵守国家有关法律的规定，遵守保密原则，不得私自备份相关数据，保障我单位信息及个人信息安全。</w:t>
      </w:r>
    </w:p>
    <w:p w14:paraId="5FA4DBD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Style w:val="28"/>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8、</w:t>
      </w:r>
      <w:r>
        <w:rPr>
          <w:rStyle w:val="28"/>
          <w:rFonts w:hint="eastAsia" w:ascii="宋体" w:hAnsi="宋体" w:eastAsia="宋体" w:cs="宋体"/>
          <w:sz w:val="24"/>
          <w:szCs w:val="24"/>
          <w:highlight w:val="none"/>
          <w:lang w:val="en-US" w:eastAsia="zh-CN"/>
        </w:rPr>
        <w:t>中标供应商所提供的</w:t>
      </w:r>
      <w:r>
        <w:rPr>
          <w:rStyle w:val="28"/>
          <w:rFonts w:hint="default" w:ascii="宋体" w:hAnsi="宋体" w:eastAsia="宋体" w:cs="宋体"/>
          <w:sz w:val="24"/>
          <w:szCs w:val="24"/>
          <w:highlight w:val="none"/>
          <w:lang w:val="en-US" w:eastAsia="zh-CN"/>
        </w:rPr>
        <w:t>所有硬件设备（包括但不限于双域安全执法终端、服务器、网络设备等） 必须为原厂原装全新产品。</w:t>
      </w:r>
    </w:p>
    <w:p w14:paraId="1804298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Style w:val="28"/>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9、</w:t>
      </w:r>
      <w:r>
        <w:rPr>
          <w:rStyle w:val="28"/>
          <w:rFonts w:hint="eastAsia" w:ascii="宋体" w:hAnsi="宋体" w:eastAsia="宋体" w:cs="宋体"/>
          <w:sz w:val="24"/>
          <w:szCs w:val="24"/>
          <w:highlight w:val="none"/>
          <w:lang w:val="zh-CN"/>
        </w:rPr>
        <w:t>本项目所涉及的</w:t>
      </w:r>
      <w:r>
        <w:rPr>
          <w:rStyle w:val="28"/>
          <w:rFonts w:hint="eastAsia" w:ascii="宋体" w:hAnsi="宋体" w:eastAsia="宋体" w:cs="宋体"/>
          <w:sz w:val="24"/>
          <w:szCs w:val="24"/>
          <w:highlight w:val="none"/>
          <w:lang w:val="en-US" w:eastAsia="zh-CN"/>
        </w:rPr>
        <w:t>所有</w:t>
      </w:r>
      <w:r>
        <w:rPr>
          <w:rStyle w:val="28"/>
          <w:rFonts w:hint="eastAsia" w:ascii="宋体" w:hAnsi="宋体" w:eastAsia="宋体" w:cs="宋体"/>
          <w:sz w:val="24"/>
          <w:szCs w:val="24"/>
          <w:highlight w:val="none"/>
          <w:lang w:val="zh-CN"/>
        </w:rPr>
        <w:t>硬件设备甲方以融资租赁方式获得使用权，设备融资租赁期限为</w:t>
      </w:r>
      <w:r>
        <w:rPr>
          <w:rStyle w:val="28"/>
          <w:rFonts w:hint="eastAsia" w:ascii="宋体" w:hAnsi="宋体" w:eastAsia="宋体" w:cs="宋体"/>
          <w:sz w:val="24"/>
          <w:szCs w:val="24"/>
          <w:highlight w:val="none"/>
          <w:lang w:val="en-US" w:eastAsia="zh-CN"/>
        </w:rPr>
        <w:t>36</w:t>
      </w:r>
      <w:r>
        <w:rPr>
          <w:rStyle w:val="28"/>
          <w:rFonts w:hint="eastAsia" w:ascii="宋体" w:hAnsi="宋体" w:eastAsia="宋体" w:cs="宋体"/>
          <w:sz w:val="24"/>
          <w:szCs w:val="24"/>
          <w:highlight w:val="none"/>
          <w:lang w:val="zh-CN"/>
        </w:rPr>
        <w:t>个月。</w:t>
      </w:r>
      <w:r>
        <w:rPr>
          <w:rStyle w:val="28"/>
          <w:rFonts w:hint="eastAsia" w:ascii="宋体" w:hAnsi="宋体" w:eastAsia="宋体" w:cs="宋体"/>
          <w:sz w:val="24"/>
          <w:szCs w:val="24"/>
          <w:highlight w:val="none"/>
          <w:lang w:val="en-US" w:eastAsia="zh-CN"/>
        </w:rPr>
        <w:t>租赁服务期限内，中标供应商应确保所有配套终端设备的正常使用，并提供全部相关的配套服务，产品维修维护以及更新替换所需的一切费用计入招标报价。</w:t>
      </w:r>
      <w:r>
        <w:rPr>
          <w:rStyle w:val="28"/>
          <w:rFonts w:hint="eastAsia" w:ascii="宋体" w:hAnsi="宋体" w:eastAsia="宋体" w:cs="宋体"/>
          <w:sz w:val="24"/>
          <w:szCs w:val="24"/>
          <w:highlight w:val="none"/>
          <w:lang w:val="zh-CN"/>
        </w:rPr>
        <w:t>租赁期满后，设备所有权归属甲方。</w:t>
      </w:r>
    </w:p>
    <w:p w14:paraId="6D7D1E6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Style w:val="28"/>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10、</w:t>
      </w:r>
      <w:r>
        <w:rPr>
          <w:rFonts w:ascii="Segoe UI" w:hAnsi="Segoe UI" w:eastAsia="Segoe UI" w:cs="Segoe UI"/>
          <w:i w:val="0"/>
          <w:iCs w:val="0"/>
          <w:caps w:val="0"/>
          <w:color w:val="0F1115"/>
          <w:spacing w:val="0"/>
          <w:sz w:val="24"/>
          <w:szCs w:val="24"/>
          <w:highlight w:val="none"/>
          <w:shd w:val="clear" w:fill="FFFFFF"/>
        </w:rPr>
        <w:t>在服务期限内，中标供应商</w:t>
      </w:r>
      <w:r>
        <w:rPr>
          <w:rFonts w:hint="eastAsia" w:ascii="Segoe UI" w:hAnsi="Segoe UI" w:eastAsia="宋体" w:cs="Segoe UI"/>
          <w:i w:val="0"/>
          <w:iCs w:val="0"/>
          <w:caps w:val="0"/>
          <w:color w:val="0F1115"/>
          <w:spacing w:val="0"/>
          <w:sz w:val="24"/>
          <w:szCs w:val="24"/>
          <w:highlight w:val="none"/>
          <w:shd w:val="clear" w:fill="FFFFFF"/>
          <w:lang w:val="en-US" w:eastAsia="zh-CN"/>
        </w:rPr>
        <w:t>应</w:t>
      </w:r>
      <w:r>
        <w:rPr>
          <w:rFonts w:ascii="Segoe UI" w:hAnsi="Segoe UI" w:eastAsia="Segoe UI" w:cs="Segoe UI"/>
          <w:i w:val="0"/>
          <w:iCs w:val="0"/>
          <w:caps w:val="0"/>
          <w:color w:val="0F1115"/>
          <w:spacing w:val="0"/>
          <w:sz w:val="24"/>
          <w:szCs w:val="24"/>
          <w:highlight w:val="none"/>
          <w:shd w:val="clear" w:fill="FFFFFF"/>
        </w:rPr>
        <w:t>确保其提供的产品与服务满足甲方对终端设备的</w:t>
      </w:r>
      <w:r>
        <w:rPr>
          <w:rFonts w:hint="eastAsia" w:ascii="Segoe UI" w:hAnsi="Segoe UI" w:eastAsia="宋体" w:cs="Segoe UI"/>
          <w:i w:val="0"/>
          <w:iCs w:val="0"/>
          <w:caps w:val="0"/>
          <w:color w:val="0F1115"/>
          <w:spacing w:val="0"/>
          <w:sz w:val="24"/>
          <w:szCs w:val="24"/>
          <w:highlight w:val="none"/>
          <w:shd w:val="clear" w:fill="FFFFFF"/>
          <w:lang w:val="en-US" w:eastAsia="zh-CN"/>
        </w:rPr>
        <w:t>各项</w:t>
      </w:r>
      <w:r>
        <w:rPr>
          <w:rFonts w:ascii="Segoe UI" w:hAnsi="Segoe UI" w:eastAsia="Segoe UI" w:cs="Segoe UI"/>
          <w:i w:val="0"/>
          <w:iCs w:val="0"/>
          <w:caps w:val="0"/>
          <w:color w:val="0F1115"/>
          <w:spacing w:val="0"/>
          <w:sz w:val="24"/>
          <w:szCs w:val="24"/>
          <w:highlight w:val="none"/>
          <w:shd w:val="clear" w:fill="FFFFFF"/>
        </w:rPr>
        <w:t>管控</w:t>
      </w:r>
      <w:r>
        <w:rPr>
          <w:rFonts w:hint="eastAsia" w:ascii="Segoe UI" w:hAnsi="Segoe UI" w:eastAsia="宋体" w:cs="Segoe UI"/>
          <w:i w:val="0"/>
          <w:iCs w:val="0"/>
          <w:caps w:val="0"/>
          <w:color w:val="0F1115"/>
          <w:spacing w:val="0"/>
          <w:sz w:val="24"/>
          <w:szCs w:val="24"/>
          <w:highlight w:val="none"/>
          <w:shd w:val="clear" w:fill="FFFFFF"/>
          <w:lang w:val="en-US" w:eastAsia="zh-CN"/>
        </w:rPr>
        <w:t>要求</w:t>
      </w:r>
      <w:r>
        <w:rPr>
          <w:rFonts w:ascii="Segoe UI" w:hAnsi="Segoe UI" w:eastAsia="Segoe UI" w:cs="Segoe UI"/>
          <w:i w:val="0"/>
          <w:iCs w:val="0"/>
          <w:caps w:val="0"/>
          <w:color w:val="0F1115"/>
          <w:spacing w:val="0"/>
          <w:sz w:val="24"/>
          <w:szCs w:val="24"/>
          <w:highlight w:val="none"/>
          <w:shd w:val="clear" w:fill="FFFFFF"/>
        </w:rPr>
        <w:t>。</w:t>
      </w:r>
    </w:p>
    <w:p w14:paraId="30FEF066">
      <w:pPr>
        <w:pStyle w:val="2"/>
        <w:spacing w:line="360" w:lineRule="auto"/>
        <w:jc w:val="center"/>
        <w:rPr>
          <w:rFonts w:hint="eastAsia" w:ascii="宋体" w:hAnsi="宋体" w:cs="宋体"/>
          <w:color w:val="auto"/>
          <w:szCs w:val="44"/>
          <w:highlight w:val="none"/>
        </w:rPr>
      </w:pPr>
      <w:bookmarkStart w:id="285" w:name="_Toc15645"/>
      <w:bookmarkStart w:id="286" w:name="_Toc16802"/>
      <w:bookmarkStart w:id="287" w:name="_Toc30649"/>
      <w:bookmarkStart w:id="288" w:name="_Toc1873"/>
      <w:bookmarkStart w:id="289" w:name="_Toc12149"/>
      <w:bookmarkStart w:id="290" w:name="_Toc12858"/>
      <w:bookmarkStart w:id="291" w:name="_Toc2117"/>
      <w:bookmarkStart w:id="292" w:name="_Toc19944"/>
    </w:p>
    <w:p w14:paraId="56C95221">
      <w:pPr>
        <w:rPr>
          <w:rFonts w:hint="eastAsia" w:ascii="宋体" w:hAnsi="宋体" w:cs="宋体"/>
          <w:color w:val="auto"/>
          <w:szCs w:val="44"/>
          <w:highlight w:val="none"/>
        </w:rPr>
      </w:pPr>
    </w:p>
    <w:p w14:paraId="0AD236B6">
      <w:pPr>
        <w:rPr>
          <w:rFonts w:hint="eastAsia" w:ascii="宋体" w:hAnsi="宋体" w:cs="宋体"/>
          <w:color w:val="auto"/>
          <w:szCs w:val="44"/>
          <w:highlight w:val="none"/>
        </w:rPr>
      </w:pPr>
    </w:p>
    <w:p w14:paraId="385A410A">
      <w:pPr>
        <w:rPr>
          <w:rFonts w:hint="eastAsia" w:ascii="宋体" w:hAnsi="宋体" w:cs="宋体"/>
          <w:color w:val="auto"/>
          <w:szCs w:val="44"/>
          <w:highlight w:val="none"/>
        </w:rPr>
      </w:pPr>
    </w:p>
    <w:p w14:paraId="7290EB09">
      <w:pPr>
        <w:rPr>
          <w:rFonts w:hint="eastAsia" w:ascii="宋体" w:hAnsi="宋体" w:cs="宋体"/>
          <w:color w:val="auto"/>
          <w:szCs w:val="44"/>
          <w:highlight w:val="none"/>
        </w:rPr>
      </w:pPr>
    </w:p>
    <w:p w14:paraId="5B567226">
      <w:pPr>
        <w:rPr>
          <w:rFonts w:hint="eastAsia" w:ascii="宋体" w:hAnsi="宋体" w:cs="宋体"/>
          <w:color w:val="auto"/>
          <w:szCs w:val="44"/>
          <w:highlight w:val="none"/>
        </w:rPr>
      </w:pPr>
    </w:p>
    <w:p w14:paraId="54171AB7">
      <w:pPr>
        <w:pStyle w:val="2"/>
        <w:spacing w:line="360" w:lineRule="auto"/>
        <w:jc w:val="center"/>
        <w:rPr>
          <w:rFonts w:hint="eastAsia" w:ascii="宋体" w:hAnsi="宋体" w:cs="宋体"/>
          <w:color w:val="auto"/>
          <w:szCs w:val="44"/>
          <w:highlight w:val="none"/>
        </w:rPr>
      </w:pPr>
    </w:p>
    <w:p w14:paraId="53654739">
      <w:pPr>
        <w:pStyle w:val="2"/>
        <w:spacing w:line="360" w:lineRule="auto"/>
        <w:jc w:val="center"/>
        <w:rPr>
          <w:rFonts w:hint="eastAsia" w:ascii="宋体" w:hAnsi="宋体" w:cs="宋体"/>
          <w:color w:val="auto"/>
          <w:szCs w:val="44"/>
          <w:highlight w:val="none"/>
        </w:rPr>
      </w:pPr>
    </w:p>
    <w:p w14:paraId="26957505">
      <w:pPr>
        <w:pStyle w:val="2"/>
        <w:spacing w:line="360" w:lineRule="auto"/>
        <w:jc w:val="center"/>
        <w:rPr>
          <w:rFonts w:hint="eastAsia" w:ascii="宋体" w:hAnsi="宋体" w:cs="宋体"/>
          <w:color w:val="auto"/>
          <w:szCs w:val="44"/>
          <w:highlight w:val="none"/>
        </w:rPr>
      </w:pPr>
    </w:p>
    <w:p w14:paraId="7006C72D">
      <w:pPr>
        <w:pStyle w:val="2"/>
        <w:spacing w:line="360" w:lineRule="auto"/>
        <w:jc w:val="center"/>
        <w:rPr>
          <w:rFonts w:hint="eastAsia" w:ascii="宋体" w:hAnsi="宋体" w:cs="宋体"/>
          <w:color w:val="auto"/>
          <w:szCs w:val="44"/>
          <w:highlight w:val="none"/>
        </w:rPr>
      </w:pPr>
      <w:bookmarkStart w:id="293" w:name="_Toc10880"/>
      <w:r>
        <w:rPr>
          <w:rFonts w:hint="eastAsia" w:ascii="宋体" w:hAnsi="宋体" w:cs="宋体"/>
          <w:color w:val="auto"/>
          <w:szCs w:val="44"/>
          <w:highlight w:val="none"/>
        </w:rPr>
        <w:t>第七章</w:t>
      </w:r>
      <w:r>
        <w:rPr>
          <w:rFonts w:ascii="宋体" w:hAnsi="宋体" w:cs="宋体"/>
          <w:color w:val="auto"/>
          <w:szCs w:val="44"/>
          <w:highlight w:val="none"/>
        </w:rPr>
        <w:t xml:space="preserve">  </w:t>
      </w:r>
      <w:r>
        <w:rPr>
          <w:rFonts w:hint="eastAsia" w:ascii="宋体" w:hAnsi="宋体" w:cs="宋体"/>
          <w:color w:val="auto"/>
          <w:szCs w:val="44"/>
          <w:highlight w:val="none"/>
        </w:rPr>
        <w:t>投标文件格式</w:t>
      </w:r>
      <w:bookmarkEnd w:id="285"/>
      <w:bookmarkEnd w:id="286"/>
      <w:bookmarkEnd w:id="287"/>
      <w:bookmarkEnd w:id="288"/>
      <w:bookmarkEnd w:id="289"/>
      <w:bookmarkEnd w:id="290"/>
      <w:bookmarkEnd w:id="291"/>
      <w:bookmarkEnd w:id="292"/>
      <w:bookmarkEnd w:id="293"/>
    </w:p>
    <w:p w14:paraId="0DEE58E3">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4A32C9EF">
      <w:pPr>
        <w:pStyle w:val="9"/>
        <w:wordWrap w:val="0"/>
        <w:ind w:firstLine="482" w:firstLineChars="200"/>
        <w:rPr>
          <w:rFonts w:hint="eastAsia" w:ascii="宋体" w:hAnsi="宋体" w:cs="宋体"/>
          <w:b/>
          <w:color w:val="auto"/>
          <w:sz w:val="24"/>
          <w:szCs w:val="24"/>
          <w:highlight w:val="none"/>
        </w:rPr>
      </w:pPr>
    </w:p>
    <w:p w14:paraId="5D67377D">
      <w:pPr>
        <w:tabs>
          <w:tab w:val="left" w:pos="2999"/>
        </w:tabs>
        <w:wordWrap w:val="0"/>
        <w:spacing w:line="360" w:lineRule="auto"/>
        <w:jc w:val="center"/>
        <w:rPr>
          <w:rFonts w:hint="eastAsia" w:ascii="宋体" w:hAnsi="宋体" w:cs="宋体"/>
          <w:color w:val="auto"/>
          <w:sz w:val="24"/>
          <w:szCs w:val="24"/>
          <w:highlight w:val="none"/>
        </w:rPr>
      </w:pPr>
    </w:p>
    <w:p w14:paraId="6F485FAE">
      <w:pPr>
        <w:pStyle w:val="24"/>
        <w:ind w:firstLine="200"/>
        <w:rPr>
          <w:rFonts w:hint="eastAsia" w:ascii="宋体" w:hAnsi="宋体" w:cs="宋体"/>
          <w:color w:val="auto"/>
          <w:sz w:val="24"/>
          <w:szCs w:val="24"/>
          <w:highlight w:val="none"/>
        </w:rPr>
      </w:pPr>
    </w:p>
    <w:p w14:paraId="18852B60">
      <w:pPr>
        <w:tabs>
          <w:tab w:val="left" w:pos="2999"/>
        </w:tabs>
        <w:wordWrap w:val="0"/>
        <w:spacing w:line="360" w:lineRule="auto"/>
        <w:jc w:val="center"/>
        <w:rPr>
          <w:rFonts w:hint="eastAsia" w:ascii="宋体" w:hAnsi="宋体" w:eastAsia="宋体" w:cs="宋体"/>
          <w:color w:val="auto"/>
          <w:sz w:val="32"/>
          <w:szCs w:val="32"/>
          <w:highlight w:val="none"/>
          <w:lang w:val="en-US" w:eastAsia="zh-CN"/>
        </w:rPr>
      </w:pPr>
      <w:r>
        <w:rPr>
          <w:rFonts w:ascii="宋体" w:hAnsi="宋体" w:cs="宋体"/>
          <w:color w:val="auto"/>
          <w:sz w:val="32"/>
          <w:szCs w:val="32"/>
          <w:highlight w:val="none"/>
          <w:u w:val="single"/>
        </w:rPr>
        <w:t xml:space="preserve">                             </w:t>
      </w:r>
      <w:bookmarkStart w:id="294" w:name="_Toc258_WPSOffice_Level1"/>
      <w:r>
        <w:rPr>
          <w:rFonts w:hint="eastAsia" w:ascii="宋体" w:hAnsi="宋体" w:cs="宋体"/>
          <w:color w:val="auto"/>
          <w:sz w:val="32"/>
          <w:szCs w:val="32"/>
          <w:highlight w:val="none"/>
        </w:rPr>
        <w:t>（项目名称）</w:t>
      </w:r>
      <w:bookmarkEnd w:id="294"/>
    </w:p>
    <w:p w14:paraId="2807540F">
      <w:pPr>
        <w:pStyle w:val="9"/>
        <w:wordWrap w:val="0"/>
        <w:ind w:firstLine="640" w:firstLineChars="200"/>
        <w:jc w:val="center"/>
        <w:rPr>
          <w:rFonts w:hint="eastAsia" w:ascii="宋体" w:hAnsi="宋体" w:cs="宋体"/>
          <w:color w:val="auto"/>
          <w:sz w:val="32"/>
          <w:szCs w:val="32"/>
          <w:highlight w:val="none"/>
        </w:rPr>
      </w:pPr>
    </w:p>
    <w:p w14:paraId="26D8DC24">
      <w:pPr>
        <w:wordWrap w:val="0"/>
        <w:spacing w:line="360" w:lineRule="auto"/>
        <w:jc w:val="center"/>
        <w:rPr>
          <w:rFonts w:ascii="宋体" w:hAnsi="宋体" w:cs="宋体"/>
          <w:b/>
          <w:bCs/>
          <w:color w:val="auto"/>
          <w:sz w:val="32"/>
          <w:szCs w:val="32"/>
          <w:highlight w:val="none"/>
        </w:rPr>
      </w:pPr>
      <w:bookmarkStart w:id="295" w:name="_Toc1325_WPSOffice_Level1"/>
    </w:p>
    <w:p w14:paraId="098E71DC">
      <w:pPr>
        <w:wordWrap w:val="0"/>
        <w:spacing w:line="360" w:lineRule="auto"/>
        <w:jc w:val="center"/>
        <w:rPr>
          <w:rFonts w:ascii="宋体" w:hAnsi="宋体" w:cs="宋体"/>
          <w:b/>
          <w:bCs/>
          <w:color w:val="auto"/>
          <w:sz w:val="32"/>
          <w:szCs w:val="32"/>
          <w:highlight w:val="none"/>
        </w:rPr>
      </w:pPr>
    </w:p>
    <w:p w14:paraId="36E5006D">
      <w:pPr>
        <w:wordWrap w:val="0"/>
        <w:spacing w:line="360" w:lineRule="auto"/>
        <w:jc w:val="center"/>
        <w:rPr>
          <w:rFonts w:hint="eastAsia" w:ascii="宋体" w:hAnsi="宋体" w:cs="宋体"/>
          <w:color w:val="auto"/>
          <w:sz w:val="32"/>
          <w:szCs w:val="32"/>
          <w:highlight w:val="none"/>
        </w:rPr>
      </w:pPr>
      <w:r>
        <w:rPr>
          <w:rFonts w:hint="eastAsia" w:ascii="宋体" w:hAnsi="宋体" w:cs="宋体"/>
          <w:b/>
          <w:bCs/>
          <w:color w:val="auto"/>
          <w:sz w:val="32"/>
          <w:szCs w:val="32"/>
          <w:highlight w:val="none"/>
        </w:rPr>
        <w:t>投标文件</w:t>
      </w:r>
      <w:bookmarkEnd w:id="295"/>
    </w:p>
    <w:p w14:paraId="4C798C4E">
      <w:pPr>
        <w:rPr>
          <w:rFonts w:hint="eastAsia" w:ascii="宋体" w:hAnsi="宋体" w:cs="宋体"/>
          <w:color w:val="auto"/>
          <w:sz w:val="24"/>
          <w:szCs w:val="24"/>
          <w:highlight w:val="none"/>
        </w:rPr>
      </w:pPr>
    </w:p>
    <w:p w14:paraId="1364C537">
      <w:pPr>
        <w:rPr>
          <w:rFonts w:hint="eastAsia" w:ascii="宋体" w:hAnsi="宋体" w:cs="宋体"/>
          <w:color w:val="auto"/>
          <w:sz w:val="24"/>
          <w:szCs w:val="24"/>
          <w:highlight w:val="none"/>
        </w:rPr>
      </w:pPr>
    </w:p>
    <w:p w14:paraId="5F6F1900">
      <w:pPr>
        <w:rPr>
          <w:rFonts w:hint="eastAsia" w:ascii="宋体" w:hAnsi="宋体" w:cs="宋体"/>
          <w:color w:val="auto"/>
          <w:sz w:val="24"/>
          <w:szCs w:val="24"/>
          <w:highlight w:val="none"/>
        </w:rPr>
      </w:pPr>
    </w:p>
    <w:p w14:paraId="333BC4EB">
      <w:pPr>
        <w:rPr>
          <w:rFonts w:hint="eastAsia" w:ascii="宋体" w:hAnsi="宋体" w:cs="宋体"/>
          <w:color w:val="auto"/>
          <w:sz w:val="24"/>
          <w:szCs w:val="24"/>
          <w:highlight w:val="none"/>
        </w:rPr>
      </w:pPr>
    </w:p>
    <w:p w14:paraId="3F860483">
      <w:pPr>
        <w:rPr>
          <w:rFonts w:hint="eastAsia" w:ascii="宋体" w:hAnsi="宋体" w:cs="宋体"/>
          <w:color w:val="auto"/>
          <w:sz w:val="24"/>
          <w:szCs w:val="24"/>
          <w:highlight w:val="none"/>
        </w:rPr>
      </w:pPr>
    </w:p>
    <w:p w14:paraId="74D35CCF">
      <w:pPr>
        <w:rPr>
          <w:rFonts w:hint="eastAsia" w:ascii="宋体" w:hAnsi="宋体" w:cs="宋体"/>
          <w:color w:val="auto"/>
          <w:sz w:val="24"/>
          <w:szCs w:val="24"/>
          <w:highlight w:val="none"/>
        </w:rPr>
      </w:pPr>
    </w:p>
    <w:p w14:paraId="6E49F1FD">
      <w:pPr>
        <w:rPr>
          <w:rFonts w:hint="eastAsia" w:ascii="宋体" w:hAnsi="宋体" w:cs="宋体"/>
          <w:color w:val="auto"/>
          <w:sz w:val="24"/>
          <w:szCs w:val="24"/>
          <w:highlight w:val="none"/>
        </w:rPr>
      </w:pPr>
    </w:p>
    <w:p w14:paraId="5291C104">
      <w:pPr>
        <w:rPr>
          <w:rFonts w:hint="eastAsia" w:ascii="宋体" w:hAnsi="宋体" w:cs="宋体"/>
          <w:color w:val="auto"/>
          <w:sz w:val="24"/>
          <w:szCs w:val="24"/>
          <w:highlight w:val="none"/>
        </w:rPr>
      </w:pPr>
    </w:p>
    <w:p w14:paraId="383F33D8">
      <w:pPr>
        <w:rPr>
          <w:rFonts w:hint="eastAsia" w:ascii="宋体" w:hAnsi="宋体" w:cs="宋体"/>
          <w:color w:val="auto"/>
          <w:sz w:val="24"/>
          <w:szCs w:val="24"/>
          <w:highlight w:val="none"/>
        </w:rPr>
      </w:pPr>
    </w:p>
    <w:p w14:paraId="7AC0BA2A">
      <w:pPr>
        <w:rPr>
          <w:rFonts w:hint="eastAsia" w:ascii="宋体" w:hAnsi="宋体" w:cs="宋体"/>
          <w:color w:val="auto"/>
          <w:sz w:val="24"/>
          <w:szCs w:val="24"/>
          <w:highlight w:val="none"/>
        </w:rPr>
      </w:pPr>
    </w:p>
    <w:p w14:paraId="1A322AC6">
      <w:pPr>
        <w:rPr>
          <w:rFonts w:hint="eastAsia" w:ascii="宋体" w:hAnsi="宋体" w:cs="宋体"/>
          <w:color w:val="auto"/>
          <w:sz w:val="24"/>
          <w:szCs w:val="24"/>
          <w:highlight w:val="none"/>
        </w:rPr>
      </w:pPr>
    </w:p>
    <w:p w14:paraId="0B2723F4">
      <w:pPr>
        <w:rPr>
          <w:rFonts w:hint="eastAsia" w:ascii="宋体" w:hAnsi="宋体" w:cs="宋体"/>
          <w:color w:val="auto"/>
          <w:sz w:val="24"/>
          <w:szCs w:val="24"/>
          <w:highlight w:val="none"/>
        </w:rPr>
      </w:pPr>
    </w:p>
    <w:p w14:paraId="5ACEDC4A">
      <w:pPr>
        <w:rPr>
          <w:rFonts w:hint="eastAsia" w:ascii="宋体" w:hAnsi="宋体" w:cs="宋体"/>
          <w:color w:val="auto"/>
          <w:sz w:val="24"/>
          <w:szCs w:val="24"/>
          <w:highlight w:val="none"/>
        </w:rPr>
      </w:pPr>
    </w:p>
    <w:p w14:paraId="6A963D6B">
      <w:pPr>
        <w:rPr>
          <w:rFonts w:hint="eastAsia" w:ascii="宋体" w:hAnsi="宋体" w:cs="宋体"/>
          <w:color w:val="auto"/>
          <w:sz w:val="24"/>
          <w:szCs w:val="24"/>
          <w:highlight w:val="none"/>
        </w:rPr>
      </w:pPr>
    </w:p>
    <w:p w14:paraId="2F991BBD">
      <w:pPr>
        <w:tabs>
          <w:tab w:val="left" w:pos="6942"/>
          <w:tab w:val="left" w:pos="7535"/>
        </w:tabs>
        <w:wordWrap w:val="0"/>
        <w:spacing w:line="360" w:lineRule="auto"/>
        <w:jc w:val="center"/>
        <w:rPr>
          <w:rFonts w:ascii="宋体" w:hAnsi="宋体" w:cs="宋体"/>
          <w:color w:val="auto"/>
          <w:sz w:val="24"/>
          <w:szCs w:val="24"/>
          <w:highlight w:val="none"/>
        </w:rPr>
      </w:pPr>
      <w:bookmarkStart w:id="296" w:name="_Toc16024_WPSOffice_Level1"/>
    </w:p>
    <w:p w14:paraId="1BC88F6A">
      <w:pPr>
        <w:tabs>
          <w:tab w:val="left" w:pos="6942"/>
          <w:tab w:val="left" w:pos="7535"/>
        </w:tabs>
        <w:wordWrap w:val="0"/>
        <w:spacing w:line="360" w:lineRule="auto"/>
        <w:jc w:val="center"/>
        <w:rPr>
          <w:rFonts w:ascii="宋体" w:hAnsi="宋体" w:cs="宋体"/>
          <w:color w:val="auto"/>
          <w:sz w:val="24"/>
          <w:szCs w:val="24"/>
          <w:highlight w:val="none"/>
        </w:rPr>
      </w:pPr>
    </w:p>
    <w:p w14:paraId="1C55F09C">
      <w:pPr>
        <w:tabs>
          <w:tab w:val="left" w:pos="6942"/>
          <w:tab w:val="left" w:pos="7535"/>
        </w:tabs>
        <w:wordWrap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投标人</w:t>
      </w:r>
      <w:r>
        <w:rPr>
          <w:rFonts w:hint="eastAsia" w:ascii="宋体" w:hAnsi="宋体" w:cs="宋体"/>
          <w:color w:val="auto"/>
          <w:sz w:val="28"/>
          <w:szCs w:val="28"/>
          <w:highlight w:val="none"/>
        </w:rPr>
        <w:t>：</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bookmarkEnd w:id="296"/>
    </w:p>
    <w:p w14:paraId="7F475995">
      <w:pPr>
        <w:tabs>
          <w:tab w:val="left" w:pos="6942"/>
          <w:tab w:val="left" w:pos="7535"/>
        </w:tabs>
        <w:wordWrap w:val="0"/>
        <w:spacing w:line="360" w:lineRule="auto"/>
        <w:jc w:val="center"/>
        <w:rPr>
          <w:rFonts w:hint="eastAsia" w:ascii="宋体" w:hAnsi="宋体" w:cs="宋体"/>
          <w:color w:val="auto"/>
          <w:sz w:val="28"/>
          <w:szCs w:val="28"/>
          <w:highlight w:val="none"/>
        </w:rPr>
      </w:pPr>
      <w:bookmarkStart w:id="297" w:name="_Toc19458_WPSOffice_Level1"/>
      <w:r>
        <w:rPr>
          <w:rFonts w:hint="eastAsia" w:ascii="宋体" w:hAnsi="宋体" w:cs="宋体"/>
          <w:color w:val="auto"/>
          <w:sz w:val="28"/>
          <w:szCs w:val="28"/>
          <w:highlight w:val="none"/>
        </w:rPr>
        <w:t>法定代表人（单位负责人）或其委托代理人：</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bookmarkEnd w:id="297"/>
    </w:p>
    <w:p w14:paraId="7556AD17">
      <w:pPr>
        <w:tabs>
          <w:tab w:val="left" w:pos="3611"/>
          <w:tab w:val="left" w:pos="4626"/>
          <w:tab w:val="left" w:pos="5642"/>
        </w:tabs>
        <w:wordWrap w:val="0"/>
        <w:spacing w:line="360" w:lineRule="auto"/>
        <w:jc w:val="center"/>
        <w:rPr>
          <w:rFonts w:ascii="宋体" w:hAnsi="宋体" w:cs="宋体"/>
          <w:color w:val="auto"/>
          <w:sz w:val="28"/>
          <w:szCs w:val="28"/>
          <w:highlight w:val="none"/>
        </w:rPr>
      </w:pPr>
      <w:r>
        <w:rPr>
          <w:rFonts w:ascii="宋体" w:hAnsi="宋体" w:cs="宋体"/>
          <w:color w:val="auto"/>
          <w:sz w:val="28"/>
          <w:szCs w:val="28"/>
          <w:highlight w:val="none"/>
          <w:u w:val="single"/>
        </w:rPr>
        <w:t xml:space="preserve">        </w:t>
      </w:r>
      <w:bookmarkStart w:id="298" w:name="_Toc5233_WPSOffice_Level1"/>
      <w:r>
        <w:rPr>
          <w:rFonts w:hint="eastAsia" w:ascii="宋体" w:hAnsi="宋体" w:cs="宋体"/>
          <w:color w:val="auto"/>
          <w:sz w:val="28"/>
          <w:szCs w:val="28"/>
          <w:highlight w:val="none"/>
        </w:rPr>
        <w:t>年</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bookmarkEnd w:id="298"/>
    </w:p>
    <w:p w14:paraId="7E8F6705">
      <w:pPr>
        <w:pStyle w:val="43"/>
        <w:rPr>
          <w:rFonts w:ascii="宋体" w:hAnsi="宋体" w:cs="宋体"/>
          <w:color w:val="auto"/>
          <w:sz w:val="24"/>
          <w:szCs w:val="24"/>
          <w:highlight w:val="none"/>
        </w:rPr>
      </w:pPr>
    </w:p>
    <w:p w14:paraId="4C02C61E">
      <w:pPr>
        <w:rPr>
          <w:rFonts w:ascii="宋体" w:hAnsi="宋体" w:cs="宋体"/>
          <w:color w:val="auto"/>
          <w:sz w:val="24"/>
          <w:szCs w:val="24"/>
          <w:highlight w:val="none"/>
        </w:rPr>
      </w:pPr>
      <w:r>
        <w:rPr>
          <w:rFonts w:ascii="宋体" w:hAnsi="宋体" w:cs="宋体"/>
          <w:color w:val="auto"/>
          <w:sz w:val="24"/>
          <w:szCs w:val="24"/>
          <w:highlight w:val="none"/>
        </w:rPr>
        <w:br w:type="page"/>
      </w:r>
    </w:p>
    <w:p w14:paraId="0056F4E9">
      <w:pPr>
        <w:pStyle w:val="43"/>
        <w:rPr>
          <w:rFonts w:ascii="宋体" w:hAnsi="宋体" w:cs="宋体"/>
          <w:color w:val="auto"/>
          <w:sz w:val="24"/>
          <w:szCs w:val="24"/>
          <w:highlight w:val="none"/>
        </w:rPr>
      </w:pPr>
    </w:p>
    <w:p w14:paraId="4D60D6D9">
      <w:pPr>
        <w:pStyle w:val="43"/>
        <w:rPr>
          <w:rFonts w:ascii="宋体" w:hAnsi="宋体" w:cs="宋体"/>
          <w:color w:val="auto"/>
          <w:sz w:val="24"/>
          <w:szCs w:val="24"/>
          <w:highlight w:val="none"/>
        </w:rPr>
      </w:pPr>
    </w:p>
    <w:p w14:paraId="19B23ED1">
      <w:pPr>
        <w:keepNext/>
        <w:keepLines/>
        <w:wordWrap w:val="0"/>
        <w:spacing w:line="360" w:lineRule="auto"/>
        <w:ind w:left="-425"/>
        <w:jc w:val="center"/>
        <w:rPr>
          <w:rFonts w:hint="eastAsia" w:ascii="宋体" w:hAnsi="宋体" w:cs="宋体"/>
          <w:b/>
          <w:bCs/>
          <w:color w:val="auto"/>
          <w:sz w:val="28"/>
          <w:szCs w:val="28"/>
          <w:highlight w:val="none"/>
        </w:rPr>
      </w:pPr>
      <w:bookmarkStart w:id="299" w:name="_bookmark155"/>
      <w:bookmarkEnd w:id="299"/>
      <w:bookmarkStart w:id="300" w:name="_Toc500496034"/>
      <w:bookmarkStart w:id="301" w:name="_Toc20493_WPSOffice_Level2"/>
      <w:bookmarkStart w:id="302" w:name="_Toc12353"/>
      <w:bookmarkStart w:id="303" w:name="_Toc530496952"/>
      <w:bookmarkStart w:id="304" w:name="_Toc26413"/>
      <w:bookmarkStart w:id="305" w:name="_Toc500940594"/>
      <w:bookmarkStart w:id="306" w:name="_Toc29575"/>
      <w:r>
        <w:rPr>
          <w:rFonts w:hint="eastAsia" w:ascii="宋体" w:hAnsi="宋体" w:cs="宋体"/>
          <w:b/>
          <w:bCs/>
          <w:color w:val="auto"/>
          <w:sz w:val="28"/>
          <w:szCs w:val="28"/>
          <w:highlight w:val="none"/>
        </w:rPr>
        <w:t>目</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录</w:t>
      </w:r>
      <w:bookmarkEnd w:id="300"/>
      <w:bookmarkEnd w:id="301"/>
      <w:bookmarkEnd w:id="302"/>
      <w:bookmarkEnd w:id="303"/>
      <w:bookmarkEnd w:id="304"/>
      <w:bookmarkEnd w:id="305"/>
      <w:bookmarkEnd w:id="306"/>
    </w:p>
    <w:p w14:paraId="3CA5B590">
      <w:pPr>
        <w:pStyle w:val="9"/>
        <w:wordWrap w:val="0"/>
        <w:ind w:firstLine="480" w:firstLineChars="200"/>
        <w:outlineLvl w:val="9"/>
        <w:rPr>
          <w:rFonts w:hint="eastAsia" w:ascii="宋体" w:hAnsi="宋体" w:cs="宋体"/>
          <w:color w:val="auto"/>
          <w:sz w:val="24"/>
          <w:szCs w:val="24"/>
          <w:highlight w:val="none"/>
        </w:rPr>
      </w:pPr>
      <w:bookmarkStart w:id="307" w:name="_Toc27055_WPSOffice_Level1"/>
      <w:bookmarkStart w:id="308" w:name="_Toc18747"/>
      <w:r>
        <w:rPr>
          <w:rFonts w:hint="eastAsia" w:ascii="宋体" w:hAnsi="宋体" w:cs="宋体"/>
          <w:color w:val="auto"/>
          <w:sz w:val="24"/>
          <w:szCs w:val="24"/>
          <w:highlight w:val="none"/>
        </w:rPr>
        <w:t>一、投标函及投标函附录</w:t>
      </w:r>
      <w:bookmarkEnd w:id="307"/>
      <w:bookmarkEnd w:id="308"/>
    </w:p>
    <w:p w14:paraId="5EFA7428">
      <w:pPr>
        <w:pStyle w:val="9"/>
        <w:wordWrap w:val="0"/>
        <w:ind w:firstLine="480" w:firstLineChars="200"/>
        <w:outlineLvl w:val="9"/>
        <w:rPr>
          <w:rFonts w:hint="eastAsia" w:ascii="宋体" w:hAnsi="宋体" w:cs="宋体"/>
          <w:color w:val="auto"/>
          <w:sz w:val="24"/>
          <w:szCs w:val="24"/>
          <w:highlight w:val="none"/>
        </w:rPr>
      </w:pPr>
      <w:bookmarkStart w:id="309" w:name="_Toc21977_WPSOffice_Level1"/>
      <w:bookmarkStart w:id="310" w:name="_Toc3253"/>
      <w:r>
        <w:rPr>
          <w:rFonts w:hint="eastAsia" w:ascii="宋体" w:hAnsi="宋体" w:cs="宋体"/>
          <w:color w:val="auto"/>
          <w:sz w:val="24"/>
          <w:szCs w:val="24"/>
          <w:highlight w:val="none"/>
        </w:rPr>
        <w:t>二、法定代表人（单位负责人）身份证明</w:t>
      </w:r>
      <w:bookmarkEnd w:id="309"/>
      <w:bookmarkEnd w:id="310"/>
    </w:p>
    <w:p w14:paraId="08126D9B">
      <w:pPr>
        <w:pStyle w:val="9"/>
        <w:wordWrap w:val="0"/>
        <w:ind w:firstLine="480" w:firstLineChars="200"/>
        <w:outlineLvl w:val="9"/>
        <w:rPr>
          <w:rFonts w:hint="eastAsia" w:ascii="宋体" w:hAnsi="宋体" w:cs="宋体"/>
          <w:color w:val="auto"/>
          <w:sz w:val="24"/>
          <w:szCs w:val="24"/>
          <w:highlight w:val="none"/>
        </w:rPr>
      </w:pPr>
      <w:bookmarkStart w:id="311" w:name="_Toc23715"/>
      <w:bookmarkStart w:id="312" w:name="_Toc19158_WPSOffice_Level1"/>
      <w:r>
        <w:rPr>
          <w:rFonts w:hint="eastAsia" w:ascii="宋体" w:hAnsi="宋体" w:cs="宋体"/>
          <w:color w:val="auto"/>
          <w:sz w:val="24"/>
          <w:szCs w:val="24"/>
          <w:highlight w:val="none"/>
        </w:rPr>
        <w:t>三、授权委托书</w:t>
      </w:r>
      <w:bookmarkEnd w:id="311"/>
      <w:bookmarkEnd w:id="312"/>
    </w:p>
    <w:p w14:paraId="026B58A4">
      <w:pPr>
        <w:pStyle w:val="9"/>
        <w:wordWrap w:val="0"/>
        <w:ind w:firstLine="480" w:firstLineChars="200"/>
        <w:outlineLvl w:val="9"/>
        <w:rPr>
          <w:rFonts w:hint="eastAsia" w:ascii="宋体" w:hAnsi="宋体" w:cs="宋体"/>
          <w:color w:val="auto"/>
          <w:sz w:val="24"/>
          <w:szCs w:val="24"/>
          <w:highlight w:val="none"/>
        </w:rPr>
      </w:pPr>
      <w:bookmarkStart w:id="313" w:name="_Toc21511"/>
      <w:bookmarkStart w:id="314" w:name="_Toc22868_WPSOffice_Level1"/>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w:t>
      </w:r>
      <w:bookmarkEnd w:id="313"/>
      <w:bookmarkEnd w:id="314"/>
      <w:r>
        <w:rPr>
          <w:rFonts w:hint="eastAsia" w:ascii="宋体" w:hAnsi="宋体" w:cs="宋体"/>
          <w:color w:val="auto"/>
          <w:sz w:val="24"/>
          <w:szCs w:val="24"/>
          <w:highlight w:val="none"/>
          <w:lang w:val="en-US" w:eastAsia="zh-CN"/>
        </w:rPr>
        <w:t>商务、技术偏离表</w:t>
      </w:r>
    </w:p>
    <w:p w14:paraId="2B9A6C59">
      <w:pPr>
        <w:pStyle w:val="9"/>
        <w:wordWrap w:val="0"/>
        <w:ind w:firstLine="480" w:firstLineChars="200"/>
        <w:outlineLvl w:val="9"/>
        <w:rPr>
          <w:rFonts w:hint="eastAsia" w:ascii="宋体" w:hAnsi="宋体" w:cs="宋体"/>
          <w:color w:val="auto"/>
          <w:sz w:val="24"/>
          <w:szCs w:val="24"/>
          <w:highlight w:val="none"/>
        </w:rPr>
      </w:pPr>
      <w:bookmarkStart w:id="315" w:name="_Toc12999_WPSOffice_Level1"/>
      <w:bookmarkStart w:id="316" w:name="_Toc2776"/>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、资格审查资料</w:t>
      </w:r>
      <w:bookmarkEnd w:id="315"/>
      <w:bookmarkEnd w:id="316"/>
    </w:p>
    <w:p w14:paraId="70A1271E">
      <w:pPr>
        <w:pStyle w:val="9"/>
        <w:wordWrap w:val="0"/>
        <w:ind w:firstLine="480" w:firstLineChars="200"/>
        <w:outlineLvl w:val="9"/>
        <w:rPr>
          <w:rFonts w:hint="eastAsia" w:ascii="宋体" w:hAnsi="宋体" w:cs="宋体"/>
          <w:color w:val="auto"/>
          <w:sz w:val="24"/>
          <w:szCs w:val="24"/>
          <w:highlight w:val="none"/>
        </w:rPr>
      </w:pPr>
      <w:bookmarkStart w:id="317" w:name="_Toc30379_WPSOffice_Level1"/>
      <w:bookmarkStart w:id="318" w:name="_Toc17892"/>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w:t>
      </w:r>
      <w:bookmarkEnd w:id="317"/>
      <w:r>
        <w:rPr>
          <w:rFonts w:hint="eastAsia" w:ascii="宋体" w:hAnsi="宋体" w:cs="宋体"/>
          <w:color w:val="auto"/>
          <w:sz w:val="24"/>
          <w:szCs w:val="24"/>
          <w:highlight w:val="none"/>
        </w:rPr>
        <w:t>技术方案</w:t>
      </w:r>
      <w:bookmarkEnd w:id="318"/>
    </w:p>
    <w:p w14:paraId="36D628CE">
      <w:pPr>
        <w:pStyle w:val="9"/>
        <w:wordWrap w:val="0"/>
        <w:ind w:firstLine="480" w:firstLineChars="200"/>
        <w:outlineLvl w:val="9"/>
        <w:rPr>
          <w:rFonts w:hint="default" w:ascii="宋体" w:hAnsi="宋体" w:eastAsia="宋体" w:cs="宋体"/>
          <w:color w:val="auto"/>
          <w:sz w:val="24"/>
          <w:szCs w:val="24"/>
          <w:highlight w:val="none"/>
          <w:lang w:val="en-US" w:eastAsia="zh-CN"/>
        </w:rPr>
      </w:pPr>
      <w:bookmarkStart w:id="319" w:name="_Toc29562_WPSOffice_Level1"/>
      <w:bookmarkStart w:id="320" w:name="_Toc12210"/>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w:t>
      </w:r>
      <w:bookmarkEnd w:id="319"/>
      <w:bookmarkEnd w:id="320"/>
      <w:r>
        <w:rPr>
          <w:rFonts w:hint="eastAsia" w:ascii="宋体" w:hAnsi="宋体" w:cs="宋体"/>
          <w:color w:val="auto"/>
          <w:sz w:val="24"/>
          <w:szCs w:val="24"/>
          <w:highlight w:val="none"/>
          <w:lang w:val="en-US" w:eastAsia="zh-CN"/>
        </w:rPr>
        <w:t>商务部分</w:t>
      </w:r>
    </w:p>
    <w:p w14:paraId="409D24C7">
      <w:pPr>
        <w:pStyle w:val="9"/>
        <w:wordWrap w:val="0"/>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声明函</w:t>
      </w:r>
    </w:p>
    <w:p w14:paraId="7CCA089A">
      <w:pPr>
        <w:pStyle w:val="9"/>
        <w:wordWrap w:val="0"/>
        <w:ind w:firstLine="480" w:firstLineChars="200"/>
        <w:outlineLvl w:val="9"/>
        <w:rPr>
          <w:rFonts w:hint="eastAsia" w:ascii="宋体" w:hAnsi="宋体" w:cs="宋体"/>
          <w:color w:val="auto"/>
          <w:sz w:val="24"/>
          <w:szCs w:val="24"/>
          <w:highlight w:val="none"/>
        </w:rPr>
      </w:pPr>
      <w:bookmarkStart w:id="321" w:name="_Toc14349_WPSOffice_Level1"/>
      <w:bookmarkStart w:id="322" w:name="_Toc13605"/>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w:t>
      </w:r>
      <w:bookmarkEnd w:id="321"/>
      <w:bookmarkEnd w:id="322"/>
      <w:r>
        <w:rPr>
          <w:rFonts w:hint="eastAsia" w:ascii="宋体" w:hAnsi="宋体" w:cs="宋体"/>
          <w:color w:val="auto"/>
          <w:sz w:val="24"/>
          <w:szCs w:val="24"/>
          <w:highlight w:val="none"/>
        </w:rPr>
        <w:t>其他资料</w:t>
      </w:r>
    </w:p>
    <w:p w14:paraId="75AF2EBB">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11F50F4C">
      <w:pPr>
        <w:pStyle w:val="9"/>
        <w:wordWrap w:val="0"/>
        <w:ind w:firstLine="480" w:firstLineChars="200"/>
        <w:rPr>
          <w:rFonts w:ascii="宋体" w:hAnsi="宋体" w:cs="宋体"/>
          <w:color w:val="auto"/>
          <w:sz w:val="24"/>
          <w:szCs w:val="24"/>
          <w:highlight w:val="none"/>
        </w:rPr>
      </w:pPr>
    </w:p>
    <w:p w14:paraId="52E2C699">
      <w:pPr>
        <w:pStyle w:val="3"/>
        <w:numPr>
          <w:ilvl w:val="0"/>
          <w:numId w:val="0"/>
        </w:numPr>
        <w:wordWrap w:val="0"/>
        <w:spacing w:line="360" w:lineRule="auto"/>
        <w:ind w:left="-425"/>
        <w:jc w:val="center"/>
        <w:rPr>
          <w:rFonts w:hint="eastAsia" w:ascii="宋体" w:hAnsi="宋体" w:cs="宋体"/>
          <w:color w:val="auto"/>
          <w:sz w:val="24"/>
          <w:szCs w:val="24"/>
          <w:highlight w:val="none"/>
        </w:rPr>
      </w:pPr>
      <w:bookmarkStart w:id="323" w:name="_bookmark156"/>
      <w:bookmarkEnd w:id="323"/>
      <w:bookmarkStart w:id="324" w:name="_Toc500496035"/>
      <w:bookmarkStart w:id="325" w:name="_Toc13268"/>
      <w:bookmarkStart w:id="326" w:name="_Toc20951"/>
      <w:bookmarkStart w:id="327" w:name="_Toc3885"/>
      <w:bookmarkStart w:id="328" w:name="_Toc4545"/>
      <w:bookmarkStart w:id="329" w:name="_Toc9887"/>
      <w:bookmarkStart w:id="330" w:name="_Toc500940595"/>
      <w:bookmarkStart w:id="331" w:name="_Toc22301"/>
      <w:bookmarkStart w:id="332" w:name="_Toc530496953"/>
      <w:bookmarkStart w:id="333" w:name="_Toc27047"/>
      <w:bookmarkStart w:id="334" w:name="_Toc14586"/>
      <w:bookmarkStart w:id="335" w:name="_Toc15102"/>
      <w:bookmarkStart w:id="336" w:name="_Toc24770"/>
      <w:bookmarkStart w:id="337" w:name="_Toc22574"/>
      <w:bookmarkStart w:id="338" w:name="_Toc29457_WPSOffice_Level1"/>
      <w:bookmarkStart w:id="339" w:name="_Toc32466"/>
      <w:r>
        <w:rPr>
          <w:rFonts w:hint="eastAsia" w:ascii="宋体" w:hAnsi="宋体" w:cs="宋体"/>
          <w:color w:val="auto"/>
          <w:sz w:val="24"/>
          <w:szCs w:val="24"/>
          <w:highlight w:val="none"/>
        </w:rPr>
        <w:t>一、投标函</w:t>
      </w:r>
      <w:bookmarkEnd w:id="324"/>
      <w:r>
        <w:rPr>
          <w:rFonts w:hint="eastAsia" w:ascii="宋体" w:hAnsi="宋体" w:cs="宋体"/>
          <w:color w:val="auto"/>
          <w:sz w:val="24"/>
          <w:szCs w:val="24"/>
          <w:highlight w:val="none"/>
        </w:rPr>
        <w:t>及投标函附录</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689FCB53">
      <w:pPr>
        <w:wordWrap w:val="0"/>
        <w:spacing w:line="360" w:lineRule="auto"/>
        <w:jc w:val="center"/>
        <w:rPr>
          <w:rFonts w:hint="eastAsia" w:ascii="宋体" w:hAnsi="宋体" w:cs="宋体"/>
          <w:b/>
          <w:bCs/>
          <w:color w:val="auto"/>
          <w:sz w:val="24"/>
          <w:szCs w:val="24"/>
          <w:highlight w:val="none"/>
        </w:rPr>
      </w:pPr>
      <w:bookmarkStart w:id="340" w:name="_Toc7507_WPSOffice_Level2"/>
      <w:r>
        <w:rPr>
          <w:rFonts w:hint="eastAsia" w:ascii="宋体" w:hAnsi="宋体" w:cs="宋体"/>
          <w:b/>
          <w:bCs/>
          <w:color w:val="auto"/>
          <w:sz w:val="24"/>
          <w:szCs w:val="24"/>
          <w:highlight w:val="none"/>
        </w:rPr>
        <w:t>（一）</w:t>
      </w:r>
      <w:bookmarkEnd w:id="340"/>
      <w:bookmarkStart w:id="341" w:name="_Toc500496036"/>
      <w:bookmarkStart w:id="342" w:name="_Toc18263_WPSOffice_Level1"/>
      <w:bookmarkStart w:id="343" w:name="_Toc5050"/>
      <w:bookmarkStart w:id="344" w:name="_Toc25841"/>
      <w:bookmarkStart w:id="345" w:name="_Toc22365"/>
      <w:bookmarkStart w:id="346" w:name="_Toc257"/>
      <w:bookmarkStart w:id="347" w:name="_Toc30248"/>
      <w:bookmarkStart w:id="348" w:name="_Toc13155"/>
      <w:bookmarkStart w:id="349" w:name="_Toc11410"/>
      <w:bookmarkStart w:id="350" w:name="_Toc500940596"/>
      <w:bookmarkStart w:id="351" w:name="_Toc17818"/>
      <w:bookmarkStart w:id="352" w:name="_Toc9856"/>
      <w:bookmarkStart w:id="353" w:name="_Toc7682"/>
      <w:bookmarkStart w:id="354" w:name="_Toc21656"/>
      <w:bookmarkStart w:id="355" w:name="_Toc530496954"/>
      <w:r>
        <w:rPr>
          <w:rFonts w:hint="eastAsia" w:ascii="宋体" w:hAnsi="宋体" w:cs="宋体"/>
          <w:b/>
          <w:bCs/>
          <w:color w:val="auto"/>
          <w:sz w:val="24"/>
          <w:szCs w:val="24"/>
          <w:highlight w:val="none"/>
        </w:rPr>
        <w:t>投标函</w:t>
      </w:r>
    </w:p>
    <w:p w14:paraId="664B1A9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（采购人名称）</w:t>
      </w:r>
    </w:p>
    <w:p w14:paraId="001A284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项目招标文件的全部内容，愿按照招标文件中规定的条款和要求，完成本项目。投标报价为（大写）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lang w:val="en-US" w:eastAsia="zh-CN"/>
        </w:rPr>
        <w:t>小写</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元），质量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1D01BC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2、我方承诺在投标有效期内不修改、撤销投标文件。 </w:t>
      </w:r>
    </w:p>
    <w:p w14:paraId="3B84CA4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3、如我方中标：</w:t>
      </w:r>
    </w:p>
    <w:p w14:paraId="529A8FB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（1）我方承诺在收到中标通知书后，在中标通知书规定的期限内与你方签订合同。</w:t>
      </w:r>
    </w:p>
    <w:p w14:paraId="54D7F2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（2）随同本投标函递交的投标函附录属于合同文件的组成部分。 </w:t>
      </w:r>
    </w:p>
    <w:p w14:paraId="49D2698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（3）我方承诺按照招标文件规定向你方递交履约担保。 </w:t>
      </w:r>
    </w:p>
    <w:p w14:paraId="76096CF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（4）我方承诺在合同约定的期限内完成本项目。 </w:t>
      </w:r>
    </w:p>
    <w:p w14:paraId="304EBC0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4、我方在此声明，所递交的投标文件及有关资料内容完整、真实和准确。 </w:t>
      </w:r>
    </w:p>
    <w:p w14:paraId="069CDBC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5、（其他补充说明）。 </w:t>
      </w:r>
    </w:p>
    <w:p w14:paraId="5F15390E">
      <w:pPr>
        <w:spacing w:line="360" w:lineRule="auto"/>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盖单位公章</w:t>
      </w:r>
      <w:r>
        <w:rPr>
          <w:rFonts w:hint="eastAsia" w:ascii="宋体" w:hAnsi="宋体" w:cs="宋体"/>
          <w:color w:val="auto"/>
          <w:sz w:val="24"/>
          <w:szCs w:val="24"/>
          <w:highlight w:val="none"/>
        </w:rPr>
        <w:t xml:space="preserve">）：            </w:t>
      </w:r>
    </w:p>
    <w:p w14:paraId="726B007A">
      <w:pPr>
        <w:spacing w:line="360" w:lineRule="auto"/>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法定代表人或委托代理人（签字或盖章）：         </w:t>
      </w:r>
    </w:p>
    <w:p w14:paraId="5E26BDBF">
      <w:pPr>
        <w:wordWrap w:val="0"/>
        <w:spacing w:line="360" w:lineRule="auto"/>
        <w:jc w:val="right"/>
        <w:rPr>
          <w:rFonts w:hint="eastAsia" w:ascii="宋体" w:hAnsi="宋体" w:cs="宋体"/>
          <w:b/>
          <w:bCs/>
          <w:color w:val="auto"/>
          <w:sz w:val="24"/>
          <w:szCs w:val="24"/>
          <w:highlight w:val="none"/>
        </w:rPr>
        <w:sectPr>
          <w:footerReference r:id="rId8" w:type="default"/>
          <w:pgSz w:w="11910" w:h="16840"/>
          <w:pgMar w:top="1500" w:right="1380" w:bottom="1780" w:left="1580" w:header="0" w:footer="1595" w:gutter="0"/>
          <w:pgNumType w:fmt="decimal"/>
          <w:cols w:space="720" w:num="1"/>
        </w:sectPr>
      </w:pPr>
      <w:r>
        <w:rPr>
          <w:rFonts w:hint="eastAsia" w:ascii="宋体" w:hAnsi="宋体" w:cs="宋体"/>
          <w:color w:val="auto"/>
          <w:sz w:val="24"/>
          <w:szCs w:val="24"/>
          <w:highlight w:val="none"/>
        </w:rPr>
        <w:t>日  期：</w:t>
      </w:r>
    </w:p>
    <w:p w14:paraId="343BBA2B">
      <w:pPr>
        <w:wordWrap w:val="0"/>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（二）投标函附录</w:t>
      </w:r>
    </w:p>
    <w:tbl>
      <w:tblPr>
        <w:tblStyle w:val="26"/>
        <w:tblpPr w:leftFromText="181" w:rightFromText="181" w:vertAnchor="text" w:horzAnchor="margin" w:tblpXSpec="center" w:tblpY="232"/>
        <w:tblOverlap w:val="never"/>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6984"/>
      </w:tblGrid>
      <w:tr w14:paraId="7FC1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867" w:type="dxa"/>
            <w:vAlign w:val="center"/>
          </w:tcPr>
          <w:p w14:paraId="319F27DC">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984" w:type="dxa"/>
            <w:vAlign w:val="center"/>
          </w:tcPr>
          <w:p w14:paraId="286790BC">
            <w:pPr>
              <w:wordWrap w:val="0"/>
              <w:spacing w:line="360" w:lineRule="auto"/>
              <w:jc w:val="center"/>
              <w:rPr>
                <w:rFonts w:hint="eastAsia" w:ascii="宋体" w:hAnsi="宋体" w:cs="宋体"/>
                <w:color w:val="auto"/>
                <w:sz w:val="24"/>
                <w:szCs w:val="24"/>
                <w:highlight w:val="none"/>
              </w:rPr>
            </w:pPr>
            <w:r>
              <w:rPr>
                <w:rFonts w:ascii="宋体" w:hAnsi="宋体" w:cs="宋体"/>
                <w:color w:val="auto"/>
                <w:sz w:val="24"/>
                <w:szCs w:val="24"/>
                <w:highlight w:val="none"/>
              </w:rPr>
              <w:t xml:space="preserve"> </w:t>
            </w:r>
          </w:p>
        </w:tc>
      </w:tr>
      <w:tr w14:paraId="02AE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867" w:type="dxa"/>
            <w:vAlign w:val="center"/>
          </w:tcPr>
          <w:p w14:paraId="76BD8115">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w:t>
            </w:r>
          </w:p>
        </w:tc>
        <w:tc>
          <w:tcPr>
            <w:tcW w:w="6984" w:type="dxa"/>
            <w:vAlign w:val="center"/>
          </w:tcPr>
          <w:p w14:paraId="1486F5EC">
            <w:pPr>
              <w:wordWrap w:val="0"/>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tc>
      </w:tr>
      <w:tr w14:paraId="5E88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867" w:type="dxa"/>
            <w:vAlign w:val="center"/>
          </w:tcPr>
          <w:p w14:paraId="3D2781A2">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投标内容</w:t>
            </w:r>
          </w:p>
        </w:tc>
        <w:tc>
          <w:tcPr>
            <w:tcW w:w="6984" w:type="dxa"/>
            <w:vAlign w:val="center"/>
          </w:tcPr>
          <w:p w14:paraId="3C61CA81">
            <w:pPr>
              <w:wordWrap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河南省周口监狱通讯网络平台服务（详见项目需求及技术要求）</w:t>
            </w:r>
          </w:p>
        </w:tc>
      </w:tr>
      <w:tr w14:paraId="70CB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1867" w:type="dxa"/>
            <w:vAlign w:val="center"/>
          </w:tcPr>
          <w:p w14:paraId="62CCDDDF">
            <w:pPr>
              <w:wordWrap w:val="0"/>
              <w:spacing w:line="360" w:lineRule="auto"/>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投标报价</w:t>
            </w:r>
          </w:p>
        </w:tc>
        <w:tc>
          <w:tcPr>
            <w:tcW w:w="6984" w:type="dxa"/>
            <w:vAlign w:val="center"/>
          </w:tcPr>
          <w:p w14:paraId="3DA62D64">
            <w:pPr>
              <w:wordWrap w:val="0"/>
              <w:spacing w:line="360" w:lineRule="auto"/>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5B863DC8">
            <w:pPr>
              <w:wordWrap w:val="0"/>
              <w:spacing w:line="360" w:lineRule="auto"/>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u w:val="none"/>
                <w:lang w:val="en-US" w:eastAsia="zh-CN"/>
              </w:rPr>
              <w:t>小写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tc>
      </w:tr>
      <w:tr w14:paraId="3116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867" w:type="dxa"/>
            <w:vAlign w:val="center"/>
          </w:tcPr>
          <w:p w14:paraId="6856AE63">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服务期限</w:t>
            </w:r>
          </w:p>
        </w:tc>
        <w:tc>
          <w:tcPr>
            <w:tcW w:w="6984" w:type="dxa"/>
            <w:vAlign w:val="center"/>
          </w:tcPr>
          <w:p w14:paraId="5A7A5EBF">
            <w:pPr>
              <w:wordWrap w:val="0"/>
              <w:spacing w:line="360" w:lineRule="auto"/>
              <w:jc w:val="left"/>
              <w:rPr>
                <w:rFonts w:hint="eastAsia" w:ascii="宋体" w:hAnsi="宋体" w:cs="宋体"/>
                <w:color w:val="auto"/>
                <w:sz w:val="24"/>
                <w:szCs w:val="24"/>
                <w:highlight w:val="none"/>
              </w:rPr>
            </w:pPr>
          </w:p>
        </w:tc>
      </w:tr>
      <w:tr w14:paraId="5D47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867" w:type="dxa"/>
            <w:vAlign w:val="center"/>
          </w:tcPr>
          <w:p w14:paraId="5EBD17F5">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交付期限</w:t>
            </w:r>
          </w:p>
        </w:tc>
        <w:tc>
          <w:tcPr>
            <w:tcW w:w="6984" w:type="dxa"/>
            <w:vAlign w:val="center"/>
          </w:tcPr>
          <w:p w14:paraId="58D11252">
            <w:pPr>
              <w:wordWrap w:val="0"/>
              <w:spacing w:line="360" w:lineRule="auto"/>
              <w:jc w:val="center"/>
              <w:rPr>
                <w:rFonts w:hint="eastAsia" w:ascii="宋体" w:hAnsi="宋体" w:cs="宋体"/>
                <w:color w:val="auto"/>
                <w:sz w:val="24"/>
                <w:szCs w:val="24"/>
                <w:highlight w:val="none"/>
              </w:rPr>
            </w:pPr>
          </w:p>
        </w:tc>
      </w:tr>
      <w:tr w14:paraId="0D67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867" w:type="dxa"/>
            <w:vAlign w:val="center"/>
          </w:tcPr>
          <w:p w14:paraId="422DDF97">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终端质保期</w:t>
            </w:r>
          </w:p>
        </w:tc>
        <w:tc>
          <w:tcPr>
            <w:tcW w:w="6984" w:type="dxa"/>
            <w:vAlign w:val="center"/>
          </w:tcPr>
          <w:p w14:paraId="5312CB5F">
            <w:pPr>
              <w:wordWrap w:val="0"/>
              <w:spacing w:line="360" w:lineRule="auto"/>
              <w:ind w:firstLine="480" w:firstLineChars="200"/>
              <w:jc w:val="center"/>
              <w:rPr>
                <w:rFonts w:hint="eastAsia" w:ascii="宋体" w:hAnsi="宋体" w:cs="宋体"/>
                <w:color w:val="auto"/>
                <w:sz w:val="24"/>
                <w:szCs w:val="24"/>
                <w:highlight w:val="none"/>
              </w:rPr>
            </w:pPr>
          </w:p>
        </w:tc>
      </w:tr>
      <w:tr w14:paraId="5ED2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867" w:type="dxa"/>
            <w:vAlign w:val="center"/>
          </w:tcPr>
          <w:p w14:paraId="35A6C557">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质量</w:t>
            </w:r>
          </w:p>
        </w:tc>
        <w:tc>
          <w:tcPr>
            <w:tcW w:w="6984" w:type="dxa"/>
            <w:vAlign w:val="center"/>
          </w:tcPr>
          <w:p w14:paraId="794CB9B6">
            <w:pPr>
              <w:wordWrap w:val="0"/>
              <w:spacing w:line="360" w:lineRule="auto"/>
              <w:ind w:firstLine="480" w:firstLineChars="200"/>
              <w:jc w:val="center"/>
              <w:rPr>
                <w:rFonts w:hint="eastAsia" w:ascii="宋体" w:hAnsi="宋体" w:cs="宋体"/>
                <w:color w:val="auto"/>
                <w:sz w:val="24"/>
                <w:szCs w:val="24"/>
                <w:highlight w:val="none"/>
              </w:rPr>
            </w:pPr>
          </w:p>
        </w:tc>
      </w:tr>
      <w:tr w14:paraId="2DE1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1867" w:type="dxa"/>
            <w:vAlign w:val="center"/>
          </w:tcPr>
          <w:p w14:paraId="397C18C9">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984" w:type="dxa"/>
            <w:vAlign w:val="center"/>
          </w:tcPr>
          <w:p w14:paraId="1505A990">
            <w:pPr>
              <w:wordWrap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90</w:t>
            </w:r>
            <w:r>
              <w:rPr>
                <w:rFonts w:hint="eastAsia" w:ascii="宋体" w:hAnsi="宋体" w:cs="宋体"/>
                <w:color w:val="auto"/>
                <w:sz w:val="24"/>
                <w:szCs w:val="24"/>
                <w:highlight w:val="none"/>
              </w:rPr>
              <w:t>日历天（从</w:t>
            </w:r>
            <w:r>
              <w:rPr>
                <w:rFonts w:hint="eastAsia" w:ascii="宋体" w:hAnsi="宋体" w:cs="宋体"/>
                <w:color w:val="auto"/>
                <w:sz w:val="24"/>
                <w:szCs w:val="24"/>
                <w:highlight w:val="none"/>
                <w:lang w:val="en-US" w:eastAsia="zh-CN"/>
              </w:rPr>
              <w:t>递交</w:t>
            </w:r>
            <w:r>
              <w:rPr>
                <w:rFonts w:hint="eastAsia" w:ascii="宋体" w:hAnsi="宋体" w:cs="宋体"/>
                <w:color w:val="auto"/>
                <w:sz w:val="24"/>
                <w:szCs w:val="24"/>
                <w:highlight w:val="none"/>
              </w:rPr>
              <w:t>投标文件截止日期起计算）</w:t>
            </w:r>
          </w:p>
        </w:tc>
      </w:tr>
      <w:tr w14:paraId="7D04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1867" w:type="dxa"/>
            <w:vAlign w:val="center"/>
          </w:tcPr>
          <w:p w14:paraId="268A33A5">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其他说明</w:t>
            </w:r>
          </w:p>
        </w:tc>
        <w:tc>
          <w:tcPr>
            <w:tcW w:w="6984" w:type="dxa"/>
            <w:vAlign w:val="center"/>
          </w:tcPr>
          <w:p w14:paraId="470059DD">
            <w:pPr>
              <w:wordWrap w:val="0"/>
              <w:spacing w:line="360" w:lineRule="auto"/>
              <w:rPr>
                <w:rFonts w:hint="eastAsia" w:ascii="宋体" w:hAnsi="宋体" w:cs="宋体"/>
                <w:color w:val="auto"/>
                <w:sz w:val="24"/>
                <w:szCs w:val="24"/>
                <w:highlight w:val="none"/>
              </w:rPr>
            </w:pPr>
          </w:p>
        </w:tc>
      </w:tr>
    </w:tbl>
    <w:p w14:paraId="2EE08604">
      <w:pPr>
        <w:pStyle w:val="69"/>
        <w:numPr>
          <w:ilvl w:val="0"/>
          <w:numId w:val="0"/>
        </w:numPr>
        <w:wordWrap w:val="0"/>
        <w:snapToGrid w:val="0"/>
        <w:spacing w:line="288" w:lineRule="auto"/>
        <w:ind w:firstLine="482" w:firstLineChars="200"/>
        <w:jc w:val="left"/>
        <w:rPr>
          <w:rFonts w:hint="eastAsia" w:ascii="宋体" w:hAnsi="宋体" w:cs="宋体"/>
          <w:b/>
          <w:bCs/>
          <w:color w:val="auto"/>
          <w:kern w:val="2"/>
          <w:sz w:val="24"/>
          <w:szCs w:val="24"/>
          <w:highlight w:val="none"/>
          <w:lang w:val="en-US" w:eastAsia="zh-CN" w:bidi="ar-SA"/>
        </w:rPr>
      </w:pPr>
    </w:p>
    <w:p w14:paraId="436E409E">
      <w:pPr>
        <w:pStyle w:val="9"/>
        <w:tabs>
          <w:tab w:val="left" w:pos="7221"/>
        </w:tabs>
        <w:wordWrap w:val="0"/>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（盖单位公章）</w:t>
      </w:r>
    </w:p>
    <w:p w14:paraId="74A500DC">
      <w:pPr>
        <w:pStyle w:val="9"/>
        <w:tabs>
          <w:tab w:val="left" w:pos="7641"/>
        </w:tabs>
        <w:wordWrap w:val="0"/>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53EC1387">
      <w:pPr>
        <w:pStyle w:val="9"/>
        <w:tabs>
          <w:tab w:val="left" w:pos="631"/>
          <w:tab w:val="left" w:pos="1471"/>
          <w:tab w:val="left" w:pos="2311"/>
        </w:tabs>
        <w:wordWrap w:val="0"/>
        <w:ind w:firstLine="480" w:firstLineChars="200"/>
        <w:jc w:val="right"/>
        <w:rPr>
          <w:rFonts w:hint="eastAsia"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22B019C">
      <w:pPr>
        <w:wordWrap w:val="0"/>
        <w:spacing w:line="360" w:lineRule="auto"/>
        <w:jc w:val="center"/>
        <w:outlineLvl w:val="1"/>
        <w:rPr>
          <w:rFonts w:hint="eastAsia" w:ascii="宋体" w:hAnsi="宋体" w:cs="宋体"/>
          <w:color w:val="auto"/>
          <w:sz w:val="24"/>
          <w:szCs w:val="24"/>
          <w:highlight w:val="none"/>
        </w:rPr>
        <w:sectPr>
          <w:pgSz w:w="11910" w:h="16840"/>
          <w:pgMar w:top="1500" w:right="1380" w:bottom="1780" w:left="1580" w:header="0" w:footer="1595" w:gutter="0"/>
          <w:pgNumType w:fmt="decimal"/>
          <w:cols w:space="720" w:num="1"/>
        </w:sectPr>
      </w:pPr>
    </w:p>
    <w:p w14:paraId="1AFEC879">
      <w:pPr>
        <w:wordWrap w:val="0"/>
        <w:spacing w:line="360" w:lineRule="auto"/>
        <w:jc w:val="center"/>
        <w:outlineLvl w:val="1"/>
        <w:rPr>
          <w:rFonts w:hint="eastAsia" w:ascii="宋体" w:hAnsi="宋体" w:cs="宋体"/>
          <w:b/>
          <w:bCs/>
          <w:color w:val="auto"/>
          <w:sz w:val="24"/>
          <w:szCs w:val="24"/>
          <w:highlight w:val="none"/>
        </w:rPr>
      </w:pPr>
      <w:bookmarkStart w:id="356" w:name="_Toc20431"/>
      <w:r>
        <w:rPr>
          <w:rFonts w:hint="eastAsia" w:ascii="宋体" w:hAnsi="宋体" w:cs="宋体"/>
          <w:b/>
          <w:bCs/>
          <w:color w:val="auto"/>
          <w:sz w:val="24"/>
          <w:szCs w:val="24"/>
          <w:highlight w:val="none"/>
        </w:rPr>
        <w:t>二、法定代表人（单位负责人）身份证明</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2BA1645E">
      <w:pPr>
        <w:pStyle w:val="9"/>
        <w:tabs>
          <w:tab w:val="left" w:pos="3928"/>
        </w:tabs>
        <w:wordWrap w:val="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w:t>
      </w:r>
      <w:r>
        <w:rPr>
          <w:rFonts w:ascii="宋体" w:hAnsi="宋体" w:cs="宋体"/>
          <w:color w:val="auto"/>
          <w:sz w:val="24"/>
          <w:szCs w:val="24"/>
          <w:highlight w:val="none"/>
          <w:u w:val="single"/>
        </w:rPr>
        <w:t xml:space="preserve">                                  </w:t>
      </w:r>
    </w:p>
    <w:p w14:paraId="3D51241F">
      <w:pPr>
        <w:pStyle w:val="9"/>
        <w:tabs>
          <w:tab w:val="left" w:pos="2412"/>
          <w:tab w:val="left" w:pos="3883"/>
          <w:tab w:val="left" w:pos="5352"/>
          <w:tab w:val="left" w:pos="6869"/>
        </w:tabs>
        <w:wordWrap w:val="0"/>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性别：</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ascii="宋体" w:hAnsi="宋体" w:cs="宋体"/>
          <w:color w:val="auto"/>
          <w:sz w:val="24"/>
          <w:szCs w:val="24"/>
          <w:highlight w:val="none"/>
          <w:u w:val="single"/>
        </w:rPr>
        <w:t xml:space="preserve">      </w:t>
      </w:r>
    </w:p>
    <w:p w14:paraId="4AA936CC">
      <w:pPr>
        <w:pStyle w:val="9"/>
        <w:tabs>
          <w:tab w:val="left" w:pos="2412"/>
          <w:tab w:val="left" w:pos="3883"/>
          <w:tab w:val="left" w:pos="5352"/>
          <w:tab w:val="left" w:pos="6869"/>
        </w:tabs>
        <w:wordWrap w:val="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系</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名称）的法定代表人（单位负责人）。</w:t>
      </w:r>
    </w:p>
    <w:p w14:paraId="5364426B">
      <w:pPr>
        <w:pStyle w:val="9"/>
        <w:wordWrap w:val="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特此证明。</w:t>
      </w:r>
    </w:p>
    <w:p w14:paraId="2E75D3B2">
      <w:pPr>
        <w:pStyle w:val="9"/>
        <w:wordWrap w:val="0"/>
        <w:ind w:firstLine="480" w:firstLineChars="200"/>
        <w:rPr>
          <w:rFonts w:hint="eastAsia" w:ascii="宋体" w:hAnsi="宋体" w:cs="宋体"/>
          <w:color w:val="auto"/>
          <w:sz w:val="24"/>
          <w:szCs w:val="24"/>
          <w:highlight w:val="none"/>
        </w:rPr>
      </w:pPr>
    </w:p>
    <w:p w14:paraId="7661842A">
      <w:pPr>
        <w:pStyle w:val="9"/>
        <w:wordWrap w:val="0"/>
        <w:ind w:firstLine="480" w:firstLineChars="200"/>
        <w:rPr>
          <w:rFonts w:hint="eastAsia" w:ascii="宋体" w:hAnsi="宋体" w:cs="宋体"/>
          <w:color w:val="auto"/>
          <w:sz w:val="24"/>
          <w:szCs w:val="24"/>
          <w:highlight w:val="none"/>
        </w:rPr>
      </w:pPr>
    </w:p>
    <w:p w14:paraId="1EFB13E6">
      <w:pPr>
        <w:pStyle w:val="9"/>
        <w:wordWrap w:val="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附：法定代表人（单位负责人）身份证复印件。</w:t>
      </w:r>
    </w:p>
    <w:p w14:paraId="08B6CF0F">
      <w:pPr>
        <w:pStyle w:val="9"/>
        <w:wordWrap w:val="0"/>
        <w:ind w:firstLine="480" w:firstLineChars="200"/>
        <w:rPr>
          <w:rFonts w:hint="eastAsia" w:ascii="宋体" w:hAnsi="宋体" w:cs="宋体"/>
          <w:color w:val="auto"/>
          <w:sz w:val="24"/>
          <w:szCs w:val="24"/>
          <w:highlight w:val="none"/>
        </w:rPr>
      </w:pPr>
    </w:p>
    <w:p w14:paraId="7E4B8B7F">
      <w:pPr>
        <w:pStyle w:val="9"/>
        <w:wordWrap w:val="0"/>
        <w:ind w:firstLine="480" w:firstLineChars="200"/>
        <w:rPr>
          <w:rFonts w:hint="eastAsia" w:ascii="宋体" w:hAnsi="宋体" w:cs="宋体"/>
          <w:color w:val="auto"/>
          <w:sz w:val="24"/>
          <w:szCs w:val="24"/>
          <w:highlight w:val="none"/>
        </w:rPr>
      </w:pPr>
    </w:p>
    <w:p w14:paraId="4172E082">
      <w:pPr>
        <w:pStyle w:val="9"/>
        <w:wordWrap w:val="0"/>
        <w:ind w:firstLine="480" w:firstLineChars="200"/>
        <w:rPr>
          <w:rFonts w:hint="eastAsia" w:ascii="宋体" w:hAnsi="宋体" w:cs="宋体"/>
          <w:color w:val="auto"/>
          <w:sz w:val="24"/>
          <w:szCs w:val="24"/>
          <w:highlight w:val="none"/>
        </w:rPr>
      </w:pPr>
    </w:p>
    <w:p w14:paraId="6A034CA4">
      <w:pPr>
        <w:pStyle w:val="9"/>
        <w:wordWrap w:val="0"/>
        <w:ind w:firstLine="480" w:firstLineChars="200"/>
        <w:rPr>
          <w:rFonts w:hint="eastAsia" w:ascii="宋体" w:hAnsi="宋体" w:cs="宋体"/>
          <w:color w:val="auto"/>
          <w:sz w:val="24"/>
          <w:szCs w:val="24"/>
          <w:highlight w:val="none"/>
        </w:rPr>
      </w:pPr>
    </w:p>
    <w:p w14:paraId="7DB4BA99">
      <w:pPr>
        <w:pStyle w:val="9"/>
        <w:tabs>
          <w:tab w:val="left" w:pos="6521"/>
        </w:tabs>
        <w:wordWrap w:val="0"/>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（盖单位公章）</w:t>
      </w:r>
    </w:p>
    <w:p w14:paraId="0A4DBEDF">
      <w:pPr>
        <w:pStyle w:val="9"/>
        <w:tabs>
          <w:tab w:val="left" w:pos="5352"/>
          <w:tab w:val="left" w:pos="6192"/>
          <w:tab w:val="left" w:pos="7032"/>
        </w:tabs>
        <w:wordWrap w:val="0"/>
        <w:ind w:firstLine="480" w:firstLineChars="200"/>
        <w:jc w:val="right"/>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5B838FC">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6FAA97FF">
      <w:pPr>
        <w:pStyle w:val="9"/>
        <w:tabs>
          <w:tab w:val="left" w:pos="5352"/>
          <w:tab w:val="left" w:pos="6192"/>
          <w:tab w:val="left" w:pos="7032"/>
        </w:tabs>
        <w:ind w:firstLine="480" w:firstLineChars="200"/>
        <w:jc w:val="right"/>
        <w:rPr>
          <w:rFonts w:ascii="宋体" w:hAnsi="宋体" w:cs="宋体"/>
          <w:color w:val="auto"/>
          <w:sz w:val="24"/>
          <w:szCs w:val="24"/>
          <w:highlight w:val="none"/>
        </w:rPr>
      </w:pPr>
    </w:p>
    <w:p w14:paraId="2165FAC7">
      <w:pPr>
        <w:pStyle w:val="3"/>
        <w:numPr>
          <w:ilvl w:val="0"/>
          <w:numId w:val="0"/>
        </w:numPr>
        <w:wordWrap w:val="0"/>
        <w:spacing w:line="360" w:lineRule="auto"/>
        <w:ind w:left="-425"/>
        <w:jc w:val="center"/>
        <w:rPr>
          <w:rFonts w:hint="eastAsia" w:ascii="宋体" w:hAnsi="宋体" w:cs="宋体"/>
          <w:color w:val="auto"/>
          <w:sz w:val="24"/>
          <w:szCs w:val="24"/>
          <w:highlight w:val="none"/>
        </w:rPr>
      </w:pPr>
      <w:bookmarkStart w:id="357" w:name="_bookmark158"/>
      <w:bookmarkEnd w:id="357"/>
      <w:bookmarkStart w:id="358" w:name="_Toc13136"/>
      <w:bookmarkStart w:id="359" w:name="_Toc2878"/>
      <w:bookmarkStart w:id="360" w:name="_Toc25959"/>
      <w:bookmarkStart w:id="361" w:name="_Toc500940597"/>
      <w:bookmarkStart w:id="362" w:name="_Toc1308"/>
      <w:bookmarkStart w:id="363" w:name="_Toc24413_WPSOffice_Level1"/>
      <w:bookmarkStart w:id="364" w:name="_Toc22359"/>
      <w:bookmarkStart w:id="365" w:name="_Toc31854"/>
      <w:bookmarkStart w:id="366" w:name="_Toc26070"/>
      <w:bookmarkStart w:id="367" w:name="_Toc18600"/>
      <w:bookmarkStart w:id="368" w:name="_Toc13394"/>
      <w:bookmarkStart w:id="369" w:name="_Toc518"/>
      <w:bookmarkStart w:id="370" w:name="_Toc530496955"/>
      <w:bookmarkStart w:id="371" w:name="_Toc10970"/>
      <w:bookmarkStart w:id="372" w:name="_Toc500496037"/>
      <w:bookmarkStart w:id="373" w:name="_Toc15227"/>
      <w:r>
        <w:rPr>
          <w:rFonts w:hint="eastAsia" w:ascii="宋体" w:hAnsi="宋体" w:cs="宋体"/>
          <w:color w:val="auto"/>
          <w:sz w:val="24"/>
          <w:szCs w:val="24"/>
          <w:highlight w:val="none"/>
        </w:rPr>
        <w:t>三、授权委托书</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39A73D0A">
      <w:pPr>
        <w:pStyle w:val="9"/>
        <w:tabs>
          <w:tab w:val="left" w:pos="2421"/>
          <w:tab w:val="left" w:pos="5585"/>
        </w:tabs>
        <w:wordWrap w:val="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名称）的法定代表人（单位负责人），现委托</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（姓名）为我方代理人。代理人根据授权，以我方名义签署、澄清确认、递交、撤回、修改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（项目）投标文件、签订合同和处理有关事宜，其法律后果由我方承担。</w:t>
      </w:r>
    </w:p>
    <w:p w14:paraId="5A080A01">
      <w:pPr>
        <w:pStyle w:val="9"/>
        <w:tabs>
          <w:tab w:val="left" w:pos="2421"/>
          <w:tab w:val="left" w:pos="5585"/>
        </w:tabs>
        <w:wordWrap w:val="0"/>
        <w:ind w:firstLine="480" w:firstLineChars="200"/>
        <w:rPr>
          <w:rFonts w:hint="eastAsia" w:ascii="宋体" w:hAnsi="宋体" w:cs="宋体"/>
          <w:color w:val="auto"/>
          <w:sz w:val="24"/>
          <w:szCs w:val="24"/>
          <w:highlight w:val="none"/>
        </w:rPr>
      </w:pPr>
    </w:p>
    <w:p w14:paraId="6007A258">
      <w:pPr>
        <w:pStyle w:val="9"/>
        <w:tabs>
          <w:tab w:val="left" w:pos="2421"/>
          <w:tab w:val="left" w:pos="5585"/>
        </w:tabs>
        <w:wordWrap w:val="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single"/>
        </w:rPr>
        <w:t>自</w:t>
      </w:r>
      <w:r>
        <w:rPr>
          <w:rFonts w:hint="eastAsia" w:ascii="宋体" w:hAnsi="宋体" w:cs="宋体"/>
          <w:color w:val="auto"/>
          <w:sz w:val="24"/>
          <w:szCs w:val="24"/>
          <w:highlight w:val="none"/>
          <w:u w:val="single"/>
          <w:lang w:val="en-US" w:eastAsia="zh-CN"/>
        </w:rPr>
        <w:t>投标文件签署</w:t>
      </w:r>
      <w:r>
        <w:rPr>
          <w:rFonts w:hint="eastAsia" w:ascii="宋体" w:hAnsi="宋体" w:cs="宋体"/>
          <w:color w:val="auto"/>
          <w:sz w:val="24"/>
          <w:szCs w:val="24"/>
          <w:highlight w:val="none"/>
          <w:u w:val="single"/>
        </w:rPr>
        <w:t>之日起至投标有效期止</w:t>
      </w:r>
      <w:r>
        <w:rPr>
          <w:rFonts w:hint="eastAsia" w:ascii="宋体" w:hAnsi="宋体" w:cs="宋体"/>
          <w:color w:val="auto"/>
          <w:sz w:val="24"/>
          <w:szCs w:val="24"/>
          <w:highlight w:val="none"/>
        </w:rPr>
        <w:t>。</w:t>
      </w:r>
    </w:p>
    <w:p w14:paraId="7962308B">
      <w:pPr>
        <w:pStyle w:val="9"/>
        <w:wordWrap w:val="0"/>
        <w:ind w:firstLine="480" w:firstLineChars="200"/>
        <w:rPr>
          <w:rFonts w:hint="eastAsia" w:ascii="宋体" w:hAnsi="宋体" w:cs="宋体"/>
          <w:color w:val="auto"/>
          <w:sz w:val="24"/>
          <w:szCs w:val="24"/>
          <w:highlight w:val="none"/>
        </w:rPr>
      </w:pPr>
    </w:p>
    <w:p w14:paraId="66011615">
      <w:pPr>
        <w:pStyle w:val="9"/>
        <w:wordWrap w:val="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代理人无转委托权。</w:t>
      </w:r>
    </w:p>
    <w:p w14:paraId="22D45BF6">
      <w:pPr>
        <w:pStyle w:val="9"/>
        <w:wordWrap w:val="0"/>
        <w:ind w:firstLine="480" w:firstLineChars="200"/>
        <w:rPr>
          <w:rFonts w:hint="eastAsia" w:ascii="宋体" w:hAnsi="宋体" w:cs="宋体"/>
          <w:color w:val="auto"/>
          <w:sz w:val="24"/>
          <w:szCs w:val="24"/>
          <w:highlight w:val="none"/>
        </w:rPr>
      </w:pPr>
    </w:p>
    <w:p w14:paraId="6B8B7154">
      <w:pPr>
        <w:pStyle w:val="9"/>
        <w:wordWrap w:val="0"/>
        <w:ind w:firstLine="480" w:firstLineChars="200"/>
        <w:rPr>
          <w:rFonts w:hint="eastAsia" w:ascii="宋体" w:hAnsi="宋体" w:cs="宋体"/>
          <w:color w:val="auto"/>
          <w:sz w:val="24"/>
          <w:szCs w:val="24"/>
          <w:highlight w:val="none"/>
        </w:rPr>
      </w:pPr>
    </w:p>
    <w:p w14:paraId="5B451989">
      <w:pPr>
        <w:pStyle w:val="9"/>
        <w:wordWrap w:val="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附：法定代表人（单位负责人）身份证复印件及委托代理人身份证复印件</w:t>
      </w:r>
    </w:p>
    <w:p w14:paraId="02211262">
      <w:pPr>
        <w:pStyle w:val="9"/>
        <w:wordWrap w:val="0"/>
        <w:ind w:firstLine="480" w:firstLineChars="200"/>
        <w:rPr>
          <w:rFonts w:hint="eastAsia" w:ascii="宋体" w:hAnsi="宋体" w:cs="宋体"/>
          <w:color w:val="auto"/>
          <w:sz w:val="24"/>
          <w:szCs w:val="24"/>
          <w:highlight w:val="none"/>
        </w:rPr>
      </w:pPr>
    </w:p>
    <w:p w14:paraId="2293FD95">
      <w:pPr>
        <w:pStyle w:val="9"/>
        <w:wordWrap w:val="0"/>
        <w:ind w:firstLine="480" w:firstLineChars="200"/>
        <w:rPr>
          <w:rFonts w:hint="eastAsia" w:ascii="宋体" w:hAnsi="宋体" w:cs="宋体"/>
          <w:color w:val="auto"/>
          <w:sz w:val="24"/>
          <w:szCs w:val="24"/>
          <w:highlight w:val="none"/>
        </w:rPr>
      </w:pPr>
    </w:p>
    <w:p w14:paraId="2437036D">
      <w:pPr>
        <w:pStyle w:val="9"/>
        <w:wordWrap w:val="0"/>
        <w:ind w:firstLine="480" w:firstLineChars="200"/>
        <w:rPr>
          <w:rFonts w:hint="eastAsia" w:ascii="宋体" w:hAnsi="宋体" w:cs="宋体"/>
          <w:color w:val="auto"/>
          <w:sz w:val="24"/>
          <w:szCs w:val="24"/>
          <w:highlight w:val="none"/>
        </w:rPr>
      </w:pPr>
    </w:p>
    <w:p w14:paraId="06EC8192">
      <w:pPr>
        <w:pStyle w:val="9"/>
        <w:wordWrap w:val="0"/>
        <w:ind w:firstLine="480" w:firstLineChars="200"/>
        <w:rPr>
          <w:rFonts w:hint="eastAsia" w:ascii="宋体" w:hAnsi="宋体" w:cs="宋体"/>
          <w:color w:val="auto"/>
          <w:sz w:val="24"/>
          <w:szCs w:val="24"/>
          <w:highlight w:val="none"/>
        </w:rPr>
      </w:pPr>
    </w:p>
    <w:p w14:paraId="00C687BB">
      <w:pPr>
        <w:pStyle w:val="9"/>
        <w:wordWrap w:val="0"/>
        <w:ind w:firstLine="480" w:firstLineChars="200"/>
        <w:rPr>
          <w:rFonts w:hint="eastAsia" w:ascii="宋体" w:hAnsi="宋体" w:cs="宋体"/>
          <w:color w:val="auto"/>
          <w:sz w:val="24"/>
          <w:szCs w:val="24"/>
          <w:highlight w:val="none"/>
        </w:rPr>
      </w:pPr>
    </w:p>
    <w:p w14:paraId="60B10D51">
      <w:pPr>
        <w:pStyle w:val="9"/>
        <w:wordWrap w:val="0"/>
        <w:ind w:firstLine="480" w:firstLineChars="200"/>
        <w:rPr>
          <w:rFonts w:hint="eastAsia" w:ascii="宋体" w:hAnsi="宋体" w:cs="宋体"/>
          <w:color w:val="auto"/>
          <w:sz w:val="24"/>
          <w:szCs w:val="24"/>
          <w:highlight w:val="none"/>
        </w:rPr>
      </w:pPr>
    </w:p>
    <w:p w14:paraId="0F5B94C1">
      <w:pPr>
        <w:pStyle w:val="9"/>
        <w:tabs>
          <w:tab w:val="left" w:pos="3216"/>
          <w:tab w:val="left" w:pos="3636"/>
          <w:tab w:val="left" w:pos="7241"/>
        </w:tabs>
        <w:wordWrap w:val="0"/>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（盖单位公章）</w:t>
      </w:r>
    </w:p>
    <w:p w14:paraId="011B9F40">
      <w:pPr>
        <w:pStyle w:val="9"/>
        <w:tabs>
          <w:tab w:val="left" w:pos="7661"/>
        </w:tabs>
        <w:wordWrap w:val="0"/>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64CBD29A">
      <w:pPr>
        <w:pStyle w:val="9"/>
        <w:tabs>
          <w:tab w:val="left" w:pos="8549"/>
        </w:tabs>
        <w:wordWrap w:val="0"/>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ascii="宋体" w:hAnsi="宋体" w:cs="宋体"/>
          <w:color w:val="auto"/>
          <w:sz w:val="24"/>
          <w:szCs w:val="24"/>
          <w:highlight w:val="none"/>
          <w:u w:val="single"/>
        </w:rPr>
        <w:t xml:space="preserve">                                  </w:t>
      </w:r>
    </w:p>
    <w:p w14:paraId="1154BD1F">
      <w:pPr>
        <w:pStyle w:val="9"/>
        <w:tabs>
          <w:tab w:val="left" w:pos="7661"/>
        </w:tabs>
        <w:wordWrap w:val="0"/>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14:paraId="56D7ABBE">
      <w:pPr>
        <w:pStyle w:val="9"/>
        <w:tabs>
          <w:tab w:val="left" w:pos="8549"/>
        </w:tabs>
        <w:wordWrap w:val="0"/>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ascii="宋体" w:hAnsi="宋体" w:cs="宋体"/>
          <w:color w:val="auto"/>
          <w:sz w:val="24"/>
          <w:szCs w:val="24"/>
          <w:highlight w:val="none"/>
          <w:u w:val="single"/>
        </w:rPr>
        <w:t xml:space="preserve">                                  </w:t>
      </w:r>
    </w:p>
    <w:p w14:paraId="2DFDF746">
      <w:pPr>
        <w:pStyle w:val="9"/>
        <w:tabs>
          <w:tab w:val="left" w:pos="6643"/>
          <w:tab w:val="left" w:pos="7589"/>
          <w:tab w:val="left" w:pos="8533"/>
        </w:tabs>
        <w:wordWrap w:val="0"/>
        <w:ind w:firstLine="480" w:firstLineChars="200"/>
        <w:jc w:val="right"/>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C50BA75">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76E7109F">
      <w:pPr>
        <w:numPr>
          <w:ilvl w:val="0"/>
          <w:numId w:val="0"/>
        </w:numPr>
        <w:wordWrap w:val="0"/>
        <w:spacing w:line="360" w:lineRule="auto"/>
        <w:ind w:left="-425"/>
        <w:jc w:val="center"/>
        <w:rPr>
          <w:rFonts w:hint="eastAsia" w:ascii="宋体" w:hAnsi="宋体" w:cs="宋体"/>
          <w:color w:val="auto"/>
          <w:sz w:val="24"/>
          <w:szCs w:val="24"/>
          <w:highlight w:val="none"/>
        </w:rPr>
      </w:pPr>
      <w:bookmarkStart w:id="374" w:name="_Toc23185"/>
      <w:bookmarkStart w:id="375" w:name="_Toc7494"/>
      <w:bookmarkStart w:id="376" w:name="_Toc20059"/>
      <w:bookmarkStart w:id="377" w:name="_Toc6539"/>
      <w:bookmarkStart w:id="378" w:name="_Toc530496958"/>
      <w:bookmarkStart w:id="379" w:name="_Toc18096"/>
      <w:bookmarkStart w:id="380" w:name="_Toc25759"/>
      <w:bookmarkStart w:id="381" w:name="_Toc29426_WPSOffice_Level1"/>
      <w:bookmarkStart w:id="382" w:name="_Toc1469"/>
    </w:p>
    <w:p w14:paraId="514F41DE">
      <w:pPr>
        <w:wordWrap w:val="0"/>
        <w:snapToGrid w:val="0"/>
        <w:spacing w:line="288" w:lineRule="auto"/>
        <w:ind w:firstLine="480" w:firstLineChars="200"/>
        <w:jc w:val="left"/>
        <w:rPr>
          <w:rFonts w:hint="eastAsia" w:ascii="宋体" w:hAnsi="宋体" w:eastAsia="宋体" w:cs="宋体"/>
          <w:color w:val="auto"/>
          <w:sz w:val="24"/>
          <w:szCs w:val="24"/>
          <w:highlight w:val="none"/>
        </w:rPr>
      </w:pPr>
    </w:p>
    <w:p w14:paraId="0853D511">
      <w:pPr>
        <w:pStyle w:val="9"/>
        <w:tabs>
          <w:tab w:val="left" w:pos="631"/>
          <w:tab w:val="left" w:pos="1471"/>
          <w:tab w:val="left" w:pos="2311"/>
        </w:tabs>
        <w:snapToGrid w:val="0"/>
        <w:spacing w:after="0" w:line="288" w:lineRule="auto"/>
        <w:ind w:firstLine="482" w:firstLineChars="200"/>
        <w:jc w:val="center"/>
        <w:outlineLvl w:val="1"/>
        <w:rPr>
          <w:rFonts w:hint="eastAsia" w:ascii="宋体" w:hAnsi="宋体" w:eastAsia="宋体" w:cs="宋体"/>
          <w:b/>
          <w:bCs/>
          <w:color w:val="auto"/>
          <w:sz w:val="24"/>
          <w:szCs w:val="24"/>
          <w:highlight w:val="none"/>
          <w:lang w:val="en-US" w:eastAsia="zh-CN"/>
        </w:rPr>
      </w:pPr>
      <w:bookmarkStart w:id="383" w:name="_Toc22113"/>
      <w:bookmarkStart w:id="384" w:name="_Toc19324"/>
      <w:bookmarkStart w:id="385" w:name="_Toc15233"/>
      <w:bookmarkStart w:id="386" w:name="_Toc3363"/>
      <w:bookmarkStart w:id="387" w:name="_Toc20077"/>
      <w:bookmarkStart w:id="388" w:name="_Toc2643"/>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bookmarkEnd w:id="383"/>
      <w:bookmarkEnd w:id="384"/>
      <w:r>
        <w:rPr>
          <w:rFonts w:hint="eastAsia" w:ascii="宋体" w:hAnsi="宋体" w:eastAsia="宋体" w:cs="宋体"/>
          <w:b/>
          <w:bCs/>
          <w:color w:val="auto"/>
          <w:sz w:val="24"/>
          <w:szCs w:val="24"/>
          <w:highlight w:val="none"/>
          <w:lang w:val="en-US" w:eastAsia="zh-CN"/>
        </w:rPr>
        <w:t>商务、技术偏离表</w:t>
      </w:r>
      <w:bookmarkEnd w:id="385"/>
    </w:p>
    <w:bookmarkEnd w:id="386"/>
    <w:bookmarkEnd w:id="387"/>
    <w:bookmarkEnd w:id="388"/>
    <w:tbl>
      <w:tblPr>
        <w:tblStyle w:val="26"/>
        <w:tblW w:w="9062" w:type="dxa"/>
        <w:tblInd w:w="-5" w:type="dxa"/>
        <w:tblLayout w:type="fixed"/>
        <w:tblCellMar>
          <w:top w:w="0" w:type="dxa"/>
          <w:left w:w="0" w:type="dxa"/>
          <w:bottom w:w="0" w:type="dxa"/>
          <w:right w:w="0" w:type="dxa"/>
        </w:tblCellMar>
      </w:tblPr>
      <w:tblGrid>
        <w:gridCol w:w="976"/>
        <w:gridCol w:w="2857"/>
        <w:gridCol w:w="3138"/>
        <w:gridCol w:w="2091"/>
      </w:tblGrid>
      <w:tr w14:paraId="1C95F7BB">
        <w:tblPrEx>
          <w:tblCellMar>
            <w:top w:w="0" w:type="dxa"/>
            <w:left w:w="0" w:type="dxa"/>
            <w:bottom w:w="0" w:type="dxa"/>
            <w:right w:w="0" w:type="dxa"/>
          </w:tblCellMar>
        </w:tblPrEx>
        <w:trPr>
          <w:trHeight w:val="904" w:hRule="exac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4FF11555">
            <w:pPr>
              <w:autoSpaceDE w:val="0"/>
              <w:autoSpaceDN w:val="0"/>
              <w:adjustRightInd w:val="0"/>
              <w:spacing w:before="79"/>
              <w:ind w:left="244"/>
              <w:jc w:val="center"/>
              <w:rPr>
                <w:color w:val="auto"/>
                <w:szCs w:val="21"/>
                <w:highlight w:val="none"/>
              </w:rPr>
            </w:pPr>
            <w:r>
              <w:rPr>
                <w:rFonts w:hint="eastAsia"/>
                <w:color w:val="auto"/>
                <w:szCs w:val="21"/>
                <w:highlight w:val="none"/>
              </w:rPr>
              <w:t>序号</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14:paraId="4A16BBD7">
            <w:pPr>
              <w:autoSpaceDE w:val="0"/>
              <w:autoSpaceDN w:val="0"/>
              <w:adjustRightInd w:val="0"/>
              <w:spacing w:before="79"/>
              <w:jc w:val="center"/>
              <w:rPr>
                <w:rFonts w:hint="default"/>
                <w:color w:val="auto"/>
                <w:szCs w:val="21"/>
                <w:highlight w:val="none"/>
                <w:lang w:val="en-US"/>
              </w:rPr>
            </w:pPr>
            <w:r>
              <w:rPr>
                <w:rFonts w:hint="eastAsia"/>
                <w:color w:val="auto"/>
                <w:szCs w:val="21"/>
                <w:highlight w:val="none"/>
                <w:lang w:val="en-US" w:eastAsia="zh-CN"/>
              </w:rPr>
              <w:t>招标文件要求内容</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14:paraId="035B190B">
            <w:pPr>
              <w:autoSpaceDE w:val="0"/>
              <w:autoSpaceDN w:val="0"/>
              <w:adjustRightInd w:val="0"/>
              <w:spacing w:before="79"/>
              <w:jc w:val="center"/>
              <w:rPr>
                <w:rFonts w:hint="default" w:eastAsia="宋体"/>
                <w:color w:val="auto"/>
                <w:szCs w:val="21"/>
                <w:highlight w:val="none"/>
                <w:lang w:val="en-US" w:eastAsia="zh-CN"/>
              </w:rPr>
            </w:pPr>
            <w:r>
              <w:rPr>
                <w:rFonts w:hint="eastAsia"/>
                <w:color w:val="auto"/>
                <w:szCs w:val="21"/>
                <w:highlight w:val="none"/>
                <w:lang w:val="en-US" w:eastAsia="zh-CN"/>
              </w:rPr>
              <w:t>投标文件响应内容</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18233F3E">
            <w:pPr>
              <w:autoSpaceDE w:val="0"/>
              <w:autoSpaceDN w:val="0"/>
              <w:adjustRightInd w:val="0"/>
              <w:spacing w:before="79"/>
              <w:jc w:val="center"/>
              <w:rPr>
                <w:rFonts w:hint="eastAsia"/>
                <w:color w:val="auto"/>
                <w:szCs w:val="21"/>
                <w:highlight w:val="none"/>
              </w:rPr>
            </w:pPr>
            <w:r>
              <w:rPr>
                <w:rFonts w:hint="eastAsia"/>
                <w:color w:val="auto"/>
                <w:szCs w:val="21"/>
                <w:highlight w:val="none"/>
              </w:rPr>
              <w:t>偏差说明</w:t>
            </w:r>
            <w:r>
              <w:rPr>
                <w:rFonts w:hint="eastAsia"/>
                <w:color w:val="auto"/>
                <w:szCs w:val="21"/>
                <w:highlight w:val="none"/>
                <w:lang w:val="en-US" w:eastAsia="zh-CN"/>
              </w:rPr>
              <w:t>（无偏差/正偏差/负偏差）</w:t>
            </w:r>
          </w:p>
          <w:p w14:paraId="6EE29A4E">
            <w:pPr>
              <w:autoSpaceDE w:val="0"/>
              <w:autoSpaceDN w:val="0"/>
              <w:adjustRightInd w:val="0"/>
              <w:spacing w:before="79"/>
              <w:jc w:val="center"/>
              <w:rPr>
                <w:color w:val="auto"/>
                <w:szCs w:val="21"/>
                <w:highlight w:val="none"/>
              </w:rPr>
            </w:pPr>
          </w:p>
        </w:tc>
      </w:tr>
      <w:tr w14:paraId="4B0F1D64">
        <w:tblPrEx>
          <w:tblCellMar>
            <w:top w:w="0" w:type="dxa"/>
            <w:left w:w="0" w:type="dxa"/>
            <w:bottom w:w="0" w:type="dxa"/>
            <w:right w:w="0" w:type="dxa"/>
          </w:tblCellMar>
        </w:tblPrEx>
        <w:trPr>
          <w:trHeight w:val="714" w:hRule="exac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3F78E9A2">
            <w:pPr>
              <w:autoSpaceDE w:val="0"/>
              <w:autoSpaceDN w:val="0"/>
              <w:adjustRightInd w:val="0"/>
              <w:spacing w:line="360" w:lineRule="auto"/>
              <w:jc w:val="center"/>
              <w:rPr>
                <w:color w:val="auto"/>
                <w:szCs w:val="21"/>
                <w:highlight w:val="none"/>
              </w:rPr>
            </w:pPr>
            <w:r>
              <w:rPr>
                <w:rFonts w:hint="eastAsia"/>
                <w:color w:val="auto"/>
                <w:szCs w:val="21"/>
                <w:highlight w:val="none"/>
              </w:rPr>
              <w:t>1</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14:paraId="59204033">
            <w:pPr>
              <w:autoSpaceDE w:val="0"/>
              <w:autoSpaceDN w:val="0"/>
              <w:adjustRightInd w:val="0"/>
              <w:spacing w:line="360" w:lineRule="auto"/>
              <w:jc w:val="center"/>
              <w:rPr>
                <w:color w:val="auto"/>
                <w:szCs w:val="21"/>
                <w:highlight w:val="none"/>
              </w:rPr>
            </w:pPr>
          </w:p>
        </w:tc>
        <w:tc>
          <w:tcPr>
            <w:tcW w:w="3138" w:type="dxa"/>
            <w:tcBorders>
              <w:top w:val="single" w:color="000000" w:sz="4" w:space="0"/>
              <w:left w:val="single" w:color="000000" w:sz="4" w:space="0"/>
              <w:bottom w:val="single" w:color="000000" w:sz="4" w:space="0"/>
              <w:right w:val="single" w:color="000000" w:sz="4" w:space="0"/>
            </w:tcBorders>
            <w:noWrap w:val="0"/>
            <w:vAlign w:val="center"/>
          </w:tcPr>
          <w:p w14:paraId="7AA90231">
            <w:pPr>
              <w:autoSpaceDE w:val="0"/>
              <w:autoSpaceDN w:val="0"/>
              <w:adjustRightInd w:val="0"/>
              <w:spacing w:line="360" w:lineRule="auto"/>
              <w:jc w:val="center"/>
              <w:rPr>
                <w:color w:val="auto"/>
                <w:szCs w:val="21"/>
                <w:highlight w:val="none"/>
              </w:rPr>
            </w:pP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56320F3B">
            <w:pPr>
              <w:autoSpaceDE w:val="0"/>
              <w:autoSpaceDN w:val="0"/>
              <w:adjustRightInd w:val="0"/>
              <w:spacing w:line="360" w:lineRule="auto"/>
              <w:jc w:val="center"/>
              <w:rPr>
                <w:color w:val="auto"/>
                <w:szCs w:val="21"/>
                <w:highlight w:val="none"/>
              </w:rPr>
            </w:pPr>
          </w:p>
        </w:tc>
      </w:tr>
      <w:tr w14:paraId="15E08F7E">
        <w:tblPrEx>
          <w:tblCellMar>
            <w:top w:w="0" w:type="dxa"/>
            <w:left w:w="0" w:type="dxa"/>
            <w:bottom w:w="0" w:type="dxa"/>
            <w:right w:w="0" w:type="dxa"/>
          </w:tblCellMar>
        </w:tblPrEx>
        <w:trPr>
          <w:trHeight w:val="710" w:hRule="exac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6270B4F8">
            <w:pPr>
              <w:autoSpaceDE w:val="0"/>
              <w:autoSpaceDN w:val="0"/>
              <w:adjustRightInd w:val="0"/>
              <w:spacing w:line="360" w:lineRule="auto"/>
              <w:jc w:val="center"/>
              <w:rPr>
                <w:color w:val="auto"/>
                <w:szCs w:val="21"/>
                <w:highlight w:val="none"/>
              </w:rPr>
            </w:pPr>
            <w:r>
              <w:rPr>
                <w:rFonts w:hint="eastAsia"/>
                <w:color w:val="auto"/>
                <w:szCs w:val="21"/>
                <w:highlight w:val="none"/>
              </w:rPr>
              <w:t>2</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14:paraId="25282653">
            <w:pPr>
              <w:autoSpaceDE w:val="0"/>
              <w:autoSpaceDN w:val="0"/>
              <w:adjustRightInd w:val="0"/>
              <w:spacing w:line="360" w:lineRule="auto"/>
              <w:jc w:val="center"/>
              <w:rPr>
                <w:color w:val="auto"/>
                <w:szCs w:val="21"/>
                <w:highlight w:val="none"/>
              </w:rPr>
            </w:pPr>
          </w:p>
        </w:tc>
        <w:tc>
          <w:tcPr>
            <w:tcW w:w="3138" w:type="dxa"/>
            <w:tcBorders>
              <w:top w:val="single" w:color="000000" w:sz="4" w:space="0"/>
              <w:left w:val="single" w:color="000000" w:sz="4" w:space="0"/>
              <w:bottom w:val="single" w:color="000000" w:sz="4" w:space="0"/>
              <w:right w:val="single" w:color="000000" w:sz="4" w:space="0"/>
            </w:tcBorders>
            <w:noWrap w:val="0"/>
            <w:vAlign w:val="center"/>
          </w:tcPr>
          <w:p w14:paraId="312B6ABB">
            <w:pPr>
              <w:autoSpaceDE w:val="0"/>
              <w:autoSpaceDN w:val="0"/>
              <w:adjustRightInd w:val="0"/>
              <w:spacing w:line="360" w:lineRule="auto"/>
              <w:jc w:val="center"/>
              <w:rPr>
                <w:color w:val="auto"/>
                <w:szCs w:val="21"/>
                <w:highlight w:val="none"/>
              </w:rPr>
            </w:pP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5F9746DA">
            <w:pPr>
              <w:autoSpaceDE w:val="0"/>
              <w:autoSpaceDN w:val="0"/>
              <w:adjustRightInd w:val="0"/>
              <w:spacing w:line="360" w:lineRule="auto"/>
              <w:jc w:val="center"/>
              <w:rPr>
                <w:color w:val="auto"/>
                <w:szCs w:val="21"/>
                <w:highlight w:val="none"/>
              </w:rPr>
            </w:pPr>
          </w:p>
        </w:tc>
      </w:tr>
      <w:tr w14:paraId="11CB1168">
        <w:tblPrEx>
          <w:tblCellMar>
            <w:top w:w="0" w:type="dxa"/>
            <w:left w:w="0" w:type="dxa"/>
            <w:bottom w:w="0" w:type="dxa"/>
            <w:right w:w="0" w:type="dxa"/>
          </w:tblCellMar>
        </w:tblPrEx>
        <w:trPr>
          <w:trHeight w:val="710" w:hRule="exac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5E4C3DCE">
            <w:pPr>
              <w:autoSpaceDE w:val="0"/>
              <w:autoSpaceDN w:val="0"/>
              <w:adjustRightInd w:val="0"/>
              <w:spacing w:line="360" w:lineRule="auto"/>
              <w:jc w:val="center"/>
              <w:rPr>
                <w:color w:val="auto"/>
                <w:szCs w:val="21"/>
                <w:highlight w:val="none"/>
              </w:rPr>
            </w:pPr>
            <w:r>
              <w:rPr>
                <w:rFonts w:hint="eastAsia"/>
                <w:color w:val="auto"/>
                <w:szCs w:val="21"/>
                <w:highlight w:val="none"/>
              </w:rPr>
              <w:t>3</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14:paraId="62D7D8BC">
            <w:pPr>
              <w:autoSpaceDE w:val="0"/>
              <w:autoSpaceDN w:val="0"/>
              <w:adjustRightInd w:val="0"/>
              <w:spacing w:line="360" w:lineRule="auto"/>
              <w:jc w:val="center"/>
              <w:rPr>
                <w:color w:val="auto"/>
                <w:szCs w:val="21"/>
                <w:highlight w:val="none"/>
              </w:rPr>
            </w:pPr>
          </w:p>
        </w:tc>
        <w:tc>
          <w:tcPr>
            <w:tcW w:w="3138" w:type="dxa"/>
            <w:tcBorders>
              <w:top w:val="single" w:color="000000" w:sz="4" w:space="0"/>
              <w:left w:val="single" w:color="000000" w:sz="4" w:space="0"/>
              <w:bottom w:val="single" w:color="000000" w:sz="4" w:space="0"/>
              <w:right w:val="single" w:color="000000" w:sz="4" w:space="0"/>
            </w:tcBorders>
            <w:noWrap w:val="0"/>
            <w:vAlign w:val="center"/>
          </w:tcPr>
          <w:p w14:paraId="113D2BDF">
            <w:pPr>
              <w:autoSpaceDE w:val="0"/>
              <w:autoSpaceDN w:val="0"/>
              <w:adjustRightInd w:val="0"/>
              <w:spacing w:line="360" w:lineRule="auto"/>
              <w:jc w:val="center"/>
              <w:rPr>
                <w:color w:val="auto"/>
                <w:szCs w:val="21"/>
                <w:highlight w:val="none"/>
              </w:rPr>
            </w:pP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463EDADD">
            <w:pPr>
              <w:autoSpaceDE w:val="0"/>
              <w:autoSpaceDN w:val="0"/>
              <w:adjustRightInd w:val="0"/>
              <w:spacing w:line="360" w:lineRule="auto"/>
              <w:jc w:val="center"/>
              <w:rPr>
                <w:color w:val="auto"/>
                <w:szCs w:val="21"/>
                <w:highlight w:val="none"/>
              </w:rPr>
            </w:pPr>
          </w:p>
        </w:tc>
      </w:tr>
      <w:tr w14:paraId="2E84B618">
        <w:tblPrEx>
          <w:tblCellMar>
            <w:top w:w="0" w:type="dxa"/>
            <w:left w:w="0" w:type="dxa"/>
            <w:bottom w:w="0" w:type="dxa"/>
            <w:right w:w="0" w:type="dxa"/>
          </w:tblCellMar>
        </w:tblPrEx>
        <w:trPr>
          <w:trHeight w:val="710" w:hRule="exac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4B666FE4">
            <w:pPr>
              <w:autoSpaceDE w:val="0"/>
              <w:autoSpaceDN w:val="0"/>
              <w:adjustRightInd w:val="0"/>
              <w:spacing w:line="360" w:lineRule="auto"/>
              <w:jc w:val="center"/>
              <w:rPr>
                <w:color w:val="auto"/>
                <w:szCs w:val="21"/>
                <w:highlight w:val="none"/>
              </w:rPr>
            </w:pPr>
            <w:r>
              <w:rPr>
                <w:rFonts w:hint="eastAsia"/>
                <w:color w:val="auto"/>
                <w:szCs w:val="21"/>
                <w:highlight w:val="none"/>
              </w:rPr>
              <w:t>4</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14:paraId="29EB27A8">
            <w:pPr>
              <w:autoSpaceDE w:val="0"/>
              <w:autoSpaceDN w:val="0"/>
              <w:adjustRightInd w:val="0"/>
              <w:spacing w:line="360" w:lineRule="auto"/>
              <w:jc w:val="center"/>
              <w:rPr>
                <w:color w:val="auto"/>
                <w:szCs w:val="21"/>
                <w:highlight w:val="none"/>
              </w:rPr>
            </w:pPr>
          </w:p>
        </w:tc>
        <w:tc>
          <w:tcPr>
            <w:tcW w:w="3138" w:type="dxa"/>
            <w:tcBorders>
              <w:top w:val="single" w:color="000000" w:sz="4" w:space="0"/>
              <w:left w:val="single" w:color="000000" w:sz="4" w:space="0"/>
              <w:bottom w:val="single" w:color="000000" w:sz="4" w:space="0"/>
              <w:right w:val="single" w:color="000000" w:sz="4" w:space="0"/>
            </w:tcBorders>
            <w:noWrap w:val="0"/>
            <w:vAlign w:val="center"/>
          </w:tcPr>
          <w:p w14:paraId="334FE9F4">
            <w:pPr>
              <w:autoSpaceDE w:val="0"/>
              <w:autoSpaceDN w:val="0"/>
              <w:adjustRightInd w:val="0"/>
              <w:spacing w:line="360" w:lineRule="auto"/>
              <w:jc w:val="center"/>
              <w:rPr>
                <w:color w:val="auto"/>
                <w:szCs w:val="21"/>
                <w:highlight w:val="none"/>
              </w:rPr>
            </w:pP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7D3D4A07">
            <w:pPr>
              <w:autoSpaceDE w:val="0"/>
              <w:autoSpaceDN w:val="0"/>
              <w:adjustRightInd w:val="0"/>
              <w:spacing w:line="360" w:lineRule="auto"/>
              <w:jc w:val="center"/>
              <w:rPr>
                <w:color w:val="auto"/>
                <w:szCs w:val="21"/>
                <w:highlight w:val="none"/>
              </w:rPr>
            </w:pPr>
          </w:p>
        </w:tc>
      </w:tr>
      <w:tr w14:paraId="25817CC0">
        <w:tblPrEx>
          <w:tblCellMar>
            <w:top w:w="0" w:type="dxa"/>
            <w:left w:w="0" w:type="dxa"/>
            <w:bottom w:w="0" w:type="dxa"/>
            <w:right w:w="0" w:type="dxa"/>
          </w:tblCellMar>
        </w:tblPrEx>
        <w:trPr>
          <w:trHeight w:val="710" w:hRule="exac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76AE362C">
            <w:pPr>
              <w:autoSpaceDE w:val="0"/>
              <w:autoSpaceDN w:val="0"/>
              <w:adjustRightInd w:val="0"/>
              <w:spacing w:line="360" w:lineRule="auto"/>
              <w:jc w:val="center"/>
              <w:rPr>
                <w:color w:val="auto"/>
                <w:szCs w:val="21"/>
                <w:highlight w:val="none"/>
              </w:rPr>
            </w:pPr>
            <w:r>
              <w:rPr>
                <w:rFonts w:hint="eastAsia"/>
                <w:color w:val="auto"/>
                <w:szCs w:val="21"/>
                <w:highlight w:val="none"/>
              </w:rPr>
              <w:t>5</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14:paraId="64C2BA95">
            <w:pPr>
              <w:autoSpaceDE w:val="0"/>
              <w:autoSpaceDN w:val="0"/>
              <w:adjustRightInd w:val="0"/>
              <w:spacing w:line="360" w:lineRule="auto"/>
              <w:jc w:val="center"/>
              <w:rPr>
                <w:color w:val="auto"/>
                <w:szCs w:val="21"/>
                <w:highlight w:val="none"/>
              </w:rPr>
            </w:pPr>
          </w:p>
        </w:tc>
        <w:tc>
          <w:tcPr>
            <w:tcW w:w="3138" w:type="dxa"/>
            <w:tcBorders>
              <w:top w:val="single" w:color="000000" w:sz="4" w:space="0"/>
              <w:left w:val="single" w:color="000000" w:sz="4" w:space="0"/>
              <w:bottom w:val="single" w:color="000000" w:sz="4" w:space="0"/>
              <w:right w:val="single" w:color="000000" w:sz="4" w:space="0"/>
            </w:tcBorders>
            <w:noWrap w:val="0"/>
            <w:vAlign w:val="center"/>
          </w:tcPr>
          <w:p w14:paraId="514D9764">
            <w:pPr>
              <w:autoSpaceDE w:val="0"/>
              <w:autoSpaceDN w:val="0"/>
              <w:adjustRightInd w:val="0"/>
              <w:spacing w:line="360" w:lineRule="auto"/>
              <w:jc w:val="center"/>
              <w:rPr>
                <w:color w:val="auto"/>
                <w:szCs w:val="21"/>
                <w:highlight w:val="none"/>
              </w:rPr>
            </w:pP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43B70913">
            <w:pPr>
              <w:autoSpaceDE w:val="0"/>
              <w:autoSpaceDN w:val="0"/>
              <w:adjustRightInd w:val="0"/>
              <w:spacing w:line="360" w:lineRule="auto"/>
              <w:jc w:val="center"/>
              <w:rPr>
                <w:color w:val="auto"/>
                <w:szCs w:val="21"/>
                <w:highlight w:val="none"/>
              </w:rPr>
            </w:pPr>
          </w:p>
        </w:tc>
      </w:tr>
      <w:tr w14:paraId="7A5B4F82">
        <w:tblPrEx>
          <w:tblCellMar>
            <w:top w:w="0" w:type="dxa"/>
            <w:left w:w="0" w:type="dxa"/>
            <w:bottom w:w="0" w:type="dxa"/>
            <w:right w:w="0" w:type="dxa"/>
          </w:tblCellMar>
        </w:tblPrEx>
        <w:trPr>
          <w:trHeight w:val="714" w:hRule="exac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5003239D">
            <w:pPr>
              <w:autoSpaceDE w:val="0"/>
              <w:autoSpaceDN w:val="0"/>
              <w:adjustRightInd w:val="0"/>
              <w:spacing w:line="360" w:lineRule="auto"/>
              <w:jc w:val="center"/>
              <w:rPr>
                <w:color w:val="auto"/>
                <w:szCs w:val="21"/>
                <w:highlight w:val="none"/>
              </w:rPr>
            </w:pPr>
            <w:r>
              <w:rPr>
                <w:rFonts w:hint="eastAsia"/>
                <w:color w:val="auto"/>
                <w:szCs w:val="21"/>
                <w:highlight w:val="none"/>
              </w:rPr>
              <w:t>……</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14:paraId="29DBCC0C">
            <w:pPr>
              <w:autoSpaceDE w:val="0"/>
              <w:autoSpaceDN w:val="0"/>
              <w:adjustRightInd w:val="0"/>
              <w:spacing w:line="360" w:lineRule="auto"/>
              <w:jc w:val="center"/>
              <w:rPr>
                <w:color w:val="auto"/>
                <w:szCs w:val="21"/>
                <w:highlight w:val="none"/>
              </w:rPr>
            </w:pPr>
          </w:p>
        </w:tc>
        <w:tc>
          <w:tcPr>
            <w:tcW w:w="3138" w:type="dxa"/>
            <w:tcBorders>
              <w:top w:val="single" w:color="000000" w:sz="4" w:space="0"/>
              <w:left w:val="single" w:color="000000" w:sz="4" w:space="0"/>
              <w:bottom w:val="single" w:color="000000" w:sz="4" w:space="0"/>
              <w:right w:val="single" w:color="000000" w:sz="4" w:space="0"/>
            </w:tcBorders>
            <w:noWrap w:val="0"/>
            <w:vAlign w:val="center"/>
          </w:tcPr>
          <w:p w14:paraId="124DE81B">
            <w:pPr>
              <w:autoSpaceDE w:val="0"/>
              <w:autoSpaceDN w:val="0"/>
              <w:adjustRightInd w:val="0"/>
              <w:spacing w:line="360" w:lineRule="auto"/>
              <w:jc w:val="center"/>
              <w:rPr>
                <w:color w:val="auto"/>
                <w:szCs w:val="21"/>
                <w:highlight w:val="none"/>
              </w:rPr>
            </w:pP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707A7529">
            <w:pPr>
              <w:autoSpaceDE w:val="0"/>
              <w:autoSpaceDN w:val="0"/>
              <w:adjustRightInd w:val="0"/>
              <w:spacing w:line="360" w:lineRule="auto"/>
              <w:jc w:val="center"/>
              <w:rPr>
                <w:color w:val="auto"/>
                <w:szCs w:val="21"/>
                <w:highlight w:val="none"/>
              </w:rPr>
            </w:pPr>
          </w:p>
        </w:tc>
      </w:tr>
    </w:tbl>
    <w:p w14:paraId="598CB663">
      <w:pPr>
        <w:spacing w:line="360" w:lineRule="auto"/>
        <w:rPr>
          <w:b/>
          <w:color w:val="auto"/>
          <w:szCs w:val="21"/>
          <w:highlight w:val="none"/>
        </w:rPr>
      </w:pPr>
      <w:r>
        <w:rPr>
          <w:rFonts w:hint="eastAsia"/>
          <w:b/>
          <w:color w:val="auto"/>
          <w:szCs w:val="21"/>
          <w:highlight w:val="none"/>
        </w:rPr>
        <w:t>我方保证：除偏离表列出的偏差外，我方响应</w:t>
      </w:r>
      <w:r>
        <w:rPr>
          <w:rFonts w:hint="eastAsia"/>
          <w:b/>
          <w:color w:val="auto"/>
          <w:szCs w:val="21"/>
          <w:highlight w:val="none"/>
          <w:lang w:val="en-US" w:eastAsia="zh-CN"/>
        </w:rPr>
        <w:t>采购</w:t>
      </w:r>
      <w:r>
        <w:rPr>
          <w:rFonts w:hint="eastAsia"/>
          <w:b/>
          <w:color w:val="auto"/>
          <w:szCs w:val="21"/>
          <w:highlight w:val="none"/>
        </w:rPr>
        <w:t>文件的全部要求。</w:t>
      </w:r>
    </w:p>
    <w:p w14:paraId="0671D5BC">
      <w:pPr>
        <w:spacing w:line="400" w:lineRule="exact"/>
        <w:ind w:firstLine="3675" w:firstLineChars="1750"/>
        <w:jc w:val="right"/>
        <w:rPr>
          <w:color w:val="auto"/>
          <w:szCs w:val="21"/>
          <w:highlight w:val="none"/>
        </w:rPr>
      </w:pPr>
      <w:r>
        <w:rPr>
          <w:rFonts w:hint="eastAsia"/>
          <w:color w:val="auto"/>
          <w:szCs w:val="21"/>
          <w:highlight w:val="none"/>
          <w:lang w:val="en-US" w:eastAsia="zh-CN"/>
        </w:rPr>
        <w:t>投标人</w:t>
      </w:r>
      <w:r>
        <w:rPr>
          <w:color w:val="auto"/>
          <w:szCs w:val="21"/>
          <w:highlight w:val="none"/>
        </w:rPr>
        <w:t>：</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（盖单位公章）</w:t>
      </w:r>
    </w:p>
    <w:p w14:paraId="5A8E1E30">
      <w:pPr>
        <w:spacing w:line="400" w:lineRule="exact"/>
        <w:ind w:firstLine="3675" w:firstLineChars="1750"/>
        <w:jc w:val="righ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（签字</w:t>
      </w:r>
      <w:r>
        <w:rPr>
          <w:rFonts w:hint="eastAsia"/>
          <w:color w:val="auto"/>
          <w:szCs w:val="21"/>
          <w:highlight w:val="none"/>
        </w:rPr>
        <w:t>或盖章</w:t>
      </w:r>
      <w:r>
        <w:rPr>
          <w:color w:val="auto"/>
          <w:szCs w:val="21"/>
          <w:highlight w:val="none"/>
        </w:rPr>
        <w:t>）</w:t>
      </w:r>
    </w:p>
    <w:p w14:paraId="6A89D91F">
      <w:pPr>
        <w:spacing w:line="400" w:lineRule="exact"/>
        <w:jc w:val="right"/>
        <w:rPr>
          <w:color w:val="auto"/>
          <w:szCs w:val="21"/>
          <w:highlight w:val="none"/>
        </w:rPr>
      </w:pP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14:paraId="6D292CBF">
      <w:pPr>
        <w:spacing w:line="400" w:lineRule="exact"/>
        <w:jc w:val="right"/>
        <w:rPr>
          <w:color w:val="auto"/>
          <w:szCs w:val="21"/>
          <w:highlight w:val="none"/>
        </w:rPr>
      </w:pPr>
    </w:p>
    <w:p w14:paraId="1B71BEE0">
      <w:pPr>
        <w:rPr>
          <w:color w:val="auto"/>
          <w:szCs w:val="21"/>
          <w:highlight w:val="none"/>
        </w:rPr>
      </w:pPr>
      <w:r>
        <w:rPr>
          <w:color w:val="auto"/>
          <w:szCs w:val="21"/>
          <w:highlight w:val="none"/>
        </w:rPr>
        <w:br w:type="page"/>
      </w:r>
    </w:p>
    <w:p w14:paraId="5B52C156">
      <w:pPr>
        <w:pStyle w:val="9"/>
        <w:tabs>
          <w:tab w:val="left" w:pos="631"/>
          <w:tab w:val="left" w:pos="1471"/>
          <w:tab w:val="left" w:pos="2311"/>
        </w:tabs>
        <w:snapToGrid w:val="0"/>
        <w:spacing w:after="0" w:line="288" w:lineRule="auto"/>
        <w:ind w:firstLine="482" w:firstLineChars="200"/>
        <w:jc w:val="center"/>
        <w:outlineLvl w:val="1"/>
        <w:rPr>
          <w:rFonts w:hint="eastAsia" w:ascii="宋体" w:hAnsi="宋体" w:eastAsia="宋体" w:cs="宋体"/>
          <w:b/>
          <w:bCs/>
          <w:color w:val="auto"/>
          <w:sz w:val="24"/>
          <w:szCs w:val="24"/>
          <w:highlight w:val="none"/>
        </w:rPr>
      </w:pPr>
      <w:bookmarkStart w:id="389" w:name="_Toc1126"/>
      <w:r>
        <w:rPr>
          <w:rFonts w:hint="eastAsia" w:ascii="宋体" w:hAnsi="宋体" w:eastAsia="宋体" w:cs="宋体"/>
          <w:b/>
          <w:bCs/>
          <w:color w:val="auto"/>
          <w:sz w:val="24"/>
          <w:szCs w:val="24"/>
          <w:highlight w:val="none"/>
        </w:rPr>
        <w:t>投标货物的详细描述</w:t>
      </w:r>
      <w:bookmarkEnd w:id="389"/>
    </w:p>
    <w:p w14:paraId="461230A1">
      <w:pPr>
        <w:pStyle w:val="9"/>
        <w:wordWrap w:val="0"/>
        <w:snapToGrid w:val="0"/>
        <w:spacing w:after="0" w:line="288" w:lineRule="auto"/>
        <w:ind w:firstLine="480" w:firstLineChars="200"/>
        <w:jc w:val="left"/>
        <w:rPr>
          <w:color w:val="auto"/>
          <w:highlight w:val="none"/>
        </w:rPr>
      </w:pPr>
      <w:r>
        <w:rPr>
          <w:rFonts w:hint="eastAsia" w:ascii="宋体" w:hAnsi="宋体" w:eastAsia="宋体" w:cs="宋体"/>
          <w:color w:val="auto"/>
          <w:sz w:val="24"/>
          <w:szCs w:val="24"/>
          <w:highlight w:val="none"/>
        </w:rPr>
        <w:t>投标货物的详细描，包括但不限于货物特征、质量描述及实物图片等证明材料等</w:t>
      </w:r>
    </w:p>
    <w:p w14:paraId="631E97F8">
      <w:pPr>
        <w:spacing w:line="400" w:lineRule="exact"/>
        <w:jc w:val="both"/>
        <w:rPr>
          <w:color w:val="auto"/>
          <w:szCs w:val="21"/>
          <w:highlight w:val="none"/>
        </w:rPr>
      </w:pPr>
    </w:p>
    <w:p w14:paraId="34402B9D">
      <w:pPr>
        <w:pStyle w:val="19"/>
        <w:rPr>
          <w:rFonts w:hint="default"/>
          <w:color w:val="auto"/>
          <w:highlight w:val="none"/>
          <w:lang w:val="en-US" w:eastAsia="zh-CN"/>
        </w:rPr>
      </w:pPr>
    </w:p>
    <w:bookmarkEnd w:id="374"/>
    <w:bookmarkEnd w:id="375"/>
    <w:bookmarkEnd w:id="376"/>
    <w:bookmarkEnd w:id="377"/>
    <w:bookmarkEnd w:id="378"/>
    <w:bookmarkEnd w:id="379"/>
    <w:bookmarkEnd w:id="380"/>
    <w:bookmarkEnd w:id="381"/>
    <w:bookmarkEnd w:id="382"/>
    <w:p w14:paraId="1DC13BA8">
      <w:pPr>
        <w:pStyle w:val="9"/>
        <w:wordWrap w:val="0"/>
        <w:jc w:val="center"/>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390" w:name="_Toc8367"/>
      <w:bookmarkStart w:id="391" w:name="_Toc18016"/>
      <w:bookmarkStart w:id="392" w:name="_Toc530496959"/>
      <w:bookmarkStart w:id="393" w:name="_Toc24403"/>
      <w:bookmarkStart w:id="394" w:name="_Toc22666"/>
      <w:bookmarkStart w:id="395" w:name="_Toc1373"/>
      <w:bookmarkStart w:id="396" w:name="_Toc7278"/>
      <w:bookmarkStart w:id="397" w:name="_Toc11434"/>
      <w:bookmarkStart w:id="398" w:name="_Toc27856"/>
      <w:bookmarkStart w:id="399" w:name="_Toc19544"/>
      <w:bookmarkStart w:id="400" w:name="_Toc10278"/>
      <w:bookmarkStart w:id="401" w:name="_Toc15917"/>
      <w:bookmarkStart w:id="402" w:name="_Toc17276"/>
      <w:bookmarkStart w:id="403" w:name="_Toc9584_WPSOffice_Level1"/>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rPr>
        <w:t>、资格审查资料</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Start w:id="404" w:name="_Toc21205"/>
      <w:bookmarkStart w:id="405" w:name="_Toc3652"/>
      <w:bookmarkStart w:id="406" w:name="_Toc23321_WPSOffice_Level2"/>
      <w:bookmarkStart w:id="407" w:name="_Toc23084"/>
      <w:bookmarkStart w:id="408" w:name="_Toc11236"/>
      <w:bookmarkStart w:id="409" w:name="_Toc19743"/>
      <w:bookmarkStart w:id="410" w:name="_Toc530496960"/>
      <w:bookmarkStart w:id="411" w:name="_Toc15178"/>
    </w:p>
    <w:p w14:paraId="58A193ED">
      <w:pPr>
        <w:pStyle w:val="4"/>
        <w:wordWrap w:val="0"/>
        <w:spacing w:line="360" w:lineRule="auto"/>
        <w:jc w:val="center"/>
        <w:rPr>
          <w:rFonts w:hint="eastAsia" w:ascii="宋体" w:hAnsi="宋体" w:cs="宋体"/>
          <w:bCs w:val="0"/>
          <w:color w:val="auto"/>
          <w:sz w:val="24"/>
          <w:szCs w:val="24"/>
          <w:highlight w:val="none"/>
        </w:rPr>
      </w:pPr>
      <w:r>
        <w:rPr>
          <w:rFonts w:hint="eastAsia" w:ascii="宋体" w:hAnsi="宋体" w:cs="宋体"/>
          <w:color w:val="auto"/>
          <w:sz w:val="24"/>
          <w:szCs w:val="24"/>
          <w:highlight w:val="none"/>
        </w:rPr>
        <w:t>（一）基本情况表</w:t>
      </w:r>
      <w:bookmarkEnd w:id="404"/>
      <w:bookmarkEnd w:id="405"/>
      <w:bookmarkEnd w:id="406"/>
      <w:bookmarkEnd w:id="407"/>
      <w:bookmarkEnd w:id="408"/>
      <w:bookmarkEnd w:id="409"/>
      <w:bookmarkEnd w:id="410"/>
      <w:bookmarkEnd w:id="411"/>
    </w:p>
    <w:tbl>
      <w:tblPr>
        <w:tblStyle w:val="26"/>
        <w:tblW w:w="89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0"/>
        <w:gridCol w:w="944"/>
        <w:gridCol w:w="2410"/>
        <w:gridCol w:w="1135"/>
        <w:gridCol w:w="1779"/>
      </w:tblGrid>
      <w:tr w14:paraId="153FD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011197B9">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w:t>
            </w:r>
          </w:p>
        </w:tc>
        <w:tc>
          <w:tcPr>
            <w:tcW w:w="6268" w:type="dxa"/>
            <w:gridSpan w:val="4"/>
            <w:vAlign w:val="center"/>
          </w:tcPr>
          <w:p w14:paraId="2D2AE790">
            <w:pPr>
              <w:wordWrap w:val="0"/>
              <w:spacing w:line="360" w:lineRule="auto"/>
              <w:jc w:val="center"/>
              <w:rPr>
                <w:rFonts w:hint="eastAsia" w:ascii="宋体" w:hAnsi="宋体" w:cs="宋体"/>
                <w:color w:val="auto"/>
                <w:sz w:val="24"/>
                <w:szCs w:val="24"/>
                <w:highlight w:val="none"/>
              </w:rPr>
            </w:pPr>
          </w:p>
        </w:tc>
      </w:tr>
      <w:tr w14:paraId="417FB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04EF675D">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注册资金</w:t>
            </w:r>
          </w:p>
        </w:tc>
        <w:tc>
          <w:tcPr>
            <w:tcW w:w="3354" w:type="dxa"/>
            <w:gridSpan w:val="2"/>
            <w:vAlign w:val="center"/>
          </w:tcPr>
          <w:p w14:paraId="50800AF8">
            <w:pPr>
              <w:wordWrap w:val="0"/>
              <w:spacing w:line="360" w:lineRule="auto"/>
              <w:jc w:val="center"/>
              <w:rPr>
                <w:rFonts w:hint="eastAsia" w:ascii="宋体" w:hAnsi="宋体" w:cs="宋体"/>
                <w:color w:val="auto"/>
                <w:sz w:val="24"/>
                <w:szCs w:val="24"/>
                <w:highlight w:val="none"/>
              </w:rPr>
            </w:pPr>
          </w:p>
        </w:tc>
        <w:tc>
          <w:tcPr>
            <w:tcW w:w="1135" w:type="dxa"/>
            <w:vAlign w:val="center"/>
          </w:tcPr>
          <w:p w14:paraId="50D58491">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1779" w:type="dxa"/>
            <w:vAlign w:val="center"/>
          </w:tcPr>
          <w:p w14:paraId="258AE984">
            <w:pPr>
              <w:wordWrap w:val="0"/>
              <w:spacing w:line="360" w:lineRule="auto"/>
              <w:jc w:val="center"/>
              <w:rPr>
                <w:rFonts w:hint="eastAsia" w:ascii="宋体" w:hAnsi="宋体" w:cs="宋体"/>
                <w:color w:val="auto"/>
                <w:sz w:val="24"/>
                <w:szCs w:val="24"/>
                <w:highlight w:val="none"/>
              </w:rPr>
            </w:pPr>
          </w:p>
        </w:tc>
      </w:tr>
      <w:tr w14:paraId="1FB0F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1E5DCE83">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6268" w:type="dxa"/>
            <w:gridSpan w:val="4"/>
            <w:vAlign w:val="center"/>
          </w:tcPr>
          <w:p w14:paraId="2694764C">
            <w:pPr>
              <w:wordWrap w:val="0"/>
              <w:spacing w:line="360" w:lineRule="auto"/>
              <w:jc w:val="center"/>
              <w:rPr>
                <w:rFonts w:hint="eastAsia" w:ascii="宋体" w:hAnsi="宋体" w:cs="宋体"/>
                <w:color w:val="auto"/>
                <w:sz w:val="24"/>
                <w:szCs w:val="24"/>
                <w:highlight w:val="none"/>
              </w:rPr>
            </w:pPr>
          </w:p>
        </w:tc>
      </w:tr>
      <w:tr w14:paraId="2D8D1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3C1B906B">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3354" w:type="dxa"/>
            <w:gridSpan w:val="2"/>
            <w:vAlign w:val="center"/>
          </w:tcPr>
          <w:p w14:paraId="0871858F">
            <w:pPr>
              <w:wordWrap w:val="0"/>
              <w:spacing w:line="360" w:lineRule="auto"/>
              <w:jc w:val="center"/>
              <w:rPr>
                <w:rFonts w:hint="eastAsia" w:ascii="宋体" w:hAnsi="宋体" w:cs="宋体"/>
                <w:color w:val="auto"/>
                <w:sz w:val="24"/>
                <w:szCs w:val="24"/>
                <w:highlight w:val="none"/>
              </w:rPr>
            </w:pPr>
          </w:p>
        </w:tc>
        <w:tc>
          <w:tcPr>
            <w:tcW w:w="1135" w:type="dxa"/>
            <w:vAlign w:val="center"/>
          </w:tcPr>
          <w:p w14:paraId="1931552A">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员工总数</w:t>
            </w:r>
          </w:p>
        </w:tc>
        <w:tc>
          <w:tcPr>
            <w:tcW w:w="1779" w:type="dxa"/>
            <w:vAlign w:val="center"/>
          </w:tcPr>
          <w:p w14:paraId="34E0FF53">
            <w:pPr>
              <w:wordWrap w:val="0"/>
              <w:spacing w:line="360" w:lineRule="auto"/>
              <w:jc w:val="center"/>
              <w:rPr>
                <w:rFonts w:hint="eastAsia" w:ascii="宋体" w:hAnsi="宋体" w:cs="宋体"/>
                <w:color w:val="auto"/>
                <w:sz w:val="24"/>
                <w:szCs w:val="24"/>
                <w:highlight w:val="none"/>
              </w:rPr>
            </w:pPr>
          </w:p>
        </w:tc>
      </w:tr>
      <w:tr w14:paraId="0CFAF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Merge w:val="restart"/>
            <w:vAlign w:val="center"/>
          </w:tcPr>
          <w:p w14:paraId="1C359FF2">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944" w:type="dxa"/>
            <w:vAlign w:val="center"/>
          </w:tcPr>
          <w:p w14:paraId="144880C0">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410" w:type="dxa"/>
            <w:vAlign w:val="center"/>
          </w:tcPr>
          <w:p w14:paraId="02394F75">
            <w:pPr>
              <w:wordWrap w:val="0"/>
              <w:spacing w:line="360" w:lineRule="auto"/>
              <w:jc w:val="center"/>
              <w:rPr>
                <w:rFonts w:hint="eastAsia" w:ascii="宋体" w:hAnsi="宋体" w:cs="宋体"/>
                <w:color w:val="auto"/>
                <w:sz w:val="24"/>
                <w:szCs w:val="24"/>
                <w:highlight w:val="none"/>
              </w:rPr>
            </w:pPr>
          </w:p>
        </w:tc>
        <w:tc>
          <w:tcPr>
            <w:tcW w:w="1135" w:type="dxa"/>
            <w:vAlign w:val="center"/>
          </w:tcPr>
          <w:p w14:paraId="6EF45460">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c>
          <w:tcPr>
            <w:tcW w:w="1779" w:type="dxa"/>
            <w:vAlign w:val="center"/>
          </w:tcPr>
          <w:p w14:paraId="71DD08FF">
            <w:pPr>
              <w:wordWrap w:val="0"/>
              <w:spacing w:line="360" w:lineRule="auto"/>
              <w:jc w:val="center"/>
              <w:rPr>
                <w:rFonts w:hint="eastAsia" w:ascii="宋体" w:hAnsi="宋体" w:cs="宋体"/>
                <w:color w:val="auto"/>
                <w:sz w:val="24"/>
                <w:szCs w:val="24"/>
                <w:highlight w:val="none"/>
              </w:rPr>
            </w:pPr>
          </w:p>
        </w:tc>
      </w:tr>
      <w:tr w14:paraId="15212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Merge w:val="continue"/>
            <w:vAlign w:val="center"/>
          </w:tcPr>
          <w:p w14:paraId="47C75657">
            <w:pPr>
              <w:wordWrap w:val="0"/>
              <w:spacing w:line="360" w:lineRule="auto"/>
              <w:jc w:val="center"/>
              <w:rPr>
                <w:rFonts w:hint="eastAsia" w:ascii="宋体" w:hAnsi="宋体" w:cs="宋体"/>
                <w:color w:val="auto"/>
                <w:sz w:val="24"/>
                <w:szCs w:val="24"/>
                <w:highlight w:val="none"/>
              </w:rPr>
            </w:pPr>
          </w:p>
        </w:tc>
        <w:tc>
          <w:tcPr>
            <w:tcW w:w="944" w:type="dxa"/>
            <w:vAlign w:val="center"/>
          </w:tcPr>
          <w:p w14:paraId="750970AD">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网址</w:t>
            </w:r>
          </w:p>
        </w:tc>
        <w:tc>
          <w:tcPr>
            <w:tcW w:w="2410" w:type="dxa"/>
            <w:vAlign w:val="center"/>
          </w:tcPr>
          <w:p w14:paraId="3022072E">
            <w:pPr>
              <w:wordWrap w:val="0"/>
              <w:spacing w:line="360" w:lineRule="auto"/>
              <w:jc w:val="center"/>
              <w:rPr>
                <w:rFonts w:hint="eastAsia" w:ascii="宋体" w:hAnsi="宋体" w:cs="宋体"/>
                <w:color w:val="auto"/>
                <w:sz w:val="24"/>
                <w:szCs w:val="24"/>
                <w:highlight w:val="none"/>
              </w:rPr>
            </w:pPr>
          </w:p>
        </w:tc>
        <w:tc>
          <w:tcPr>
            <w:tcW w:w="1135" w:type="dxa"/>
            <w:vAlign w:val="center"/>
          </w:tcPr>
          <w:p w14:paraId="0141C8CA">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传真</w:t>
            </w:r>
          </w:p>
        </w:tc>
        <w:tc>
          <w:tcPr>
            <w:tcW w:w="1779" w:type="dxa"/>
            <w:vAlign w:val="center"/>
          </w:tcPr>
          <w:p w14:paraId="1975364E">
            <w:pPr>
              <w:wordWrap w:val="0"/>
              <w:spacing w:line="360" w:lineRule="auto"/>
              <w:jc w:val="center"/>
              <w:rPr>
                <w:rFonts w:hint="eastAsia" w:ascii="宋体" w:hAnsi="宋体" w:cs="宋体"/>
                <w:color w:val="auto"/>
                <w:sz w:val="24"/>
                <w:szCs w:val="24"/>
                <w:highlight w:val="none"/>
              </w:rPr>
            </w:pPr>
          </w:p>
        </w:tc>
      </w:tr>
      <w:tr w14:paraId="53199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2DFB5E5E">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p w14:paraId="75C8E333">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（单位负责人）</w:t>
            </w:r>
          </w:p>
        </w:tc>
        <w:tc>
          <w:tcPr>
            <w:tcW w:w="944" w:type="dxa"/>
            <w:vAlign w:val="center"/>
          </w:tcPr>
          <w:p w14:paraId="23195429">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2410" w:type="dxa"/>
            <w:vAlign w:val="center"/>
          </w:tcPr>
          <w:p w14:paraId="42A91642">
            <w:pPr>
              <w:wordWrap w:val="0"/>
              <w:spacing w:line="360" w:lineRule="auto"/>
              <w:jc w:val="center"/>
              <w:rPr>
                <w:rFonts w:hint="eastAsia" w:ascii="宋体" w:hAnsi="宋体" w:cs="宋体"/>
                <w:color w:val="auto"/>
                <w:sz w:val="24"/>
                <w:szCs w:val="24"/>
                <w:highlight w:val="none"/>
              </w:rPr>
            </w:pPr>
          </w:p>
        </w:tc>
        <w:tc>
          <w:tcPr>
            <w:tcW w:w="1135" w:type="dxa"/>
            <w:vAlign w:val="center"/>
          </w:tcPr>
          <w:p w14:paraId="7476D423">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c>
          <w:tcPr>
            <w:tcW w:w="1779" w:type="dxa"/>
            <w:vAlign w:val="center"/>
          </w:tcPr>
          <w:p w14:paraId="111334EE">
            <w:pPr>
              <w:wordWrap w:val="0"/>
              <w:spacing w:line="360" w:lineRule="auto"/>
              <w:jc w:val="center"/>
              <w:rPr>
                <w:rFonts w:hint="eastAsia" w:ascii="宋体" w:hAnsi="宋体" w:cs="宋体"/>
                <w:color w:val="auto"/>
                <w:sz w:val="24"/>
                <w:szCs w:val="24"/>
                <w:highlight w:val="none"/>
              </w:rPr>
            </w:pPr>
          </w:p>
        </w:tc>
      </w:tr>
      <w:tr w14:paraId="385F1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0CD066D9">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须知要求投标</w:t>
            </w:r>
          </w:p>
          <w:p w14:paraId="7EA4EAE3">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人需具有的各类资质证书</w:t>
            </w:r>
          </w:p>
        </w:tc>
        <w:tc>
          <w:tcPr>
            <w:tcW w:w="6268" w:type="dxa"/>
            <w:gridSpan w:val="4"/>
            <w:vAlign w:val="center"/>
          </w:tcPr>
          <w:p w14:paraId="3F3A5C75">
            <w:pPr>
              <w:pStyle w:val="69"/>
              <w:tabs>
                <w:tab w:val="left" w:pos="2309"/>
                <w:tab w:val="left" w:pos="4409"/>
              </w:tabs>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类型：</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等级：</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证书号：</w:t>
            </w:r>
          </w:p>
        </w:tc>
      </w:tr>
      <w:tr w14:paraId="15E34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5AD6DA38">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基本账户开户银行</w:t>
            </w:r>
          </w:p>
        </w:tc>
        <w:tc>
          <w:tcPr>
            <w:tcW w:w="6268" w:type="dxa"/>
            <w:gridSpan w:val="4"/>
            <w:vAlign w:val="center"/>
          </w:tcPr>
          <w:p w14:paraId="3FC3A584">
            <w:pPr>
              <w:wordWrap w:val="0"/>
              <w:spacing w:line="360" w:lineRule="auto"/>
              <w:jc w:val="center"/>
              <w:rPr>
                <w:rFonts w:hint="eastAsia" w:ascii="宋体" w:hAnsi="宋体" w:cs="宋体"/>
                <w:color w:val="auto"/>
                <w:sz w:val="24"/>
                <w:szCs w:val="24"/>
                <w:highlight w:val="none"/>
              </w:rPr>
            </w:pPr>
          </w:p>
        </w:tc>
      </w:tr>
      <w:tr w14:paraId="7D0CC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7E557039">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基本账户银行账号</w:t>
            </w:r>
          </w:p>
        </w:tc>
        <w:tc>
          <w:tcPr>
            <w:tcW w:w="6268" w:type="dxa"/>
            <w:gridSpan w:val="4"/>
            <w:vAlign w:val="center"/>
          </w:tcPr>
          <w:p w14:paraId="1C9A69A2">
            <w:pPr>
              <w:wordWrap w:val="0"/>
              <w:spacing w:line="360" w:lineRule="auto"/>
              <w:jc w:val="center"/>
              <w:rPr>
                <w:rFonts w:hint="eastAsia" w:ascii="宋体" w:hAnsi="宋体" w:cs="宋体"/>
                <w:color w:val="auto"/>
                <w:sz w:val="24"/>
                <w:szCs w:val="24"/>
                <w:highlight w:val="none"/>
              </w:rPr>
            </w:pPr>
          </w:p>
        </w:tc>
      </w:tr>
      <w:tr w14:paraId="71734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278B0D5F">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近三年营业额</w:t>
            </w:r>
          </w:p>
        </w:tc>
        <w:tc>
          <w:tcPr>
            <w:tcW w:w="6268" w:type="dxa"/>
            <w:gridSpan w:val="4"/>
            <w:vAlign w:val="center"/>
          </w:tcPr>
          <w:p w14:paraId="34375004">
            <w:pPr>
              <w:wordWrap w:val="0"/>
              <w:spacing w:line="360" w:lineRule="auto"/>
              <w:jc w:val="center"/>
              <w:rPr>
                <w:rFonts w:hint="eastAsia" w:ascii="宋体" w:hAnsi="宋体" w:cs="宋体"/>
                <w:color w:val="auto"/>
                <w:sz w:val="24"/>
                <w:szCs w:val="24"/>
                <w:highlight w:val="none"/>
              </w:rPr>
            </w:pPr>
          </w:p>
        </w:tc>
      </w:tr>
      <w:tr w14:paraId="2A662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309EF3F7">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关联企业情况（包括但不限于与</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法定代表人（单位负责人）为同一人或者存在控股、管理关系的不同单位）</w:t>
            </w:r>
          </w:p>
        </w:tc>
        <w:tc>
          <w:tcPr>
            <w:tcW w:w="6268" w:type="dxa"/>
            <w:gridSpan w:val="4"/>
            <w:vAlign w:val="center"/>
          </w:tcPr>
          <w:p w14:paraId="0A7725D6">
            <w:pPr>
              <w:wordWrap w:val="0"/>
              <w:spacing w:line="360" w:lineRule="auto"/>
              <w:jc w:val="center"/>
              <w:rPr>
                <w:rFonts w:hint="eastAsia" w:ascii="宋体" w:hAnsi="宋体" w:cs="宋体"/>
                <w:color w:val="auto"/>
                <w:sz w:val="24"/>
                <w:szCs w:val="24"/>
                <w:highlight w:val="none"/>
              </w:rPr>
            </w:pPr>
          </w:p>
        </w:tc>
      </w:tr>
      <w:tr w14:paraId="73632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4E34637C">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投标设备制造商名称</w:t>
            </w:r>
          </w:p>
        </w:tc>
        <w:tc>
          <w:tcPr>
            <w:tcW w:w="6268" w:type="dxa"/>
            <w:gridSpan w:val="4"/>
            <w:vAlign w:val="center"/>
          </w:tcPr>
          <w:p w14:paraId="7FEC35EE">
            <w:pPr>
              <w:wordWrap w:val="0"/>
              <w:spacing w:line="360" w:lineRule="auto"/>
              <w:jc w:val="center"/>
              <w:rPr>
                <w:rFonts w:hint="eastAsia" w:ascii="宋体" w:hAnsi="宋体" w:cs="宋体"/>
                <w:color w:val="auto"/>
                <w:sz w:val="24"/>
                <w:szCs w:val="24"/>
                <w:highlight w:val="none"/>
              </w:rPr>
            </w:pPr>
          </w:p>
        </w:tc>
      </w:tr>
      <w:tr w14:paraId="23A3A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449206C0">
            <w:pPr>
              <w:pStyle w:val="69"/>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c>
          <w:tcPr>
            <w:tcW w:w="6268" w:type="dxa"/>
            <w:gridSpan w:val="4"/>
            <w:vAlign w:val="center"/>
          </w:tcPr>
          <w:p w14:paraId="770B7177">
            <w:pPr>
              <w:wordWrap w:val="0"/>
              <w:spacing w:line="360" w:lineRule="auto"/>
              <w:jc w:val="center"/>
              <w:rPr>
                <w:rFonts w:hint="eastAsia" w:ascii="宋体" w:hAnsi="宋体" w:cs="宋体"/>
                <w:color w:val="auto"/>
                <w:sz w:val="24"/>
                <w:szCs w:val="24"/>
                <w:highlight w:val="none"/>
              </w:rPr>
            </w:pPr>
          </w:p>
        </w:tc>
      </w:tr>
    </w:tbl>
    <w:p w14:paraId="4CFC94D7">
      <w:pPr>
        <w:pStyle w:val="9"/>
        <w:wordWrap w:val="0"/>
        <w:ind w:firstLine="480" w:firstLineChars="200"/>
        <w:rPr>
          <w:rFonts w:hint="eastAsia" w:ascii="宋体" w:hAnsi="宋体" w:cs="宋体"/>
          <w:color w:val="auto"/>
          <w:sz w:val="24"/>
          <w:szCs w:val="24"/>
          <w:highlight w:val="none"/>
        </w:rPr>
      </w:pPr>
    </w:p>
    <w:p w14:paraId="64D61401">
      <w:pPr>
        <w:pStyle w:val="9"/>
        <w:wordWrap w:val="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应根据</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须知前附表第</w:t>
      </w: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条要求在本表后附相关证明材料</w:t>
      </w:r>
      <w:r>
        <w:rPr>
          <w:rFonts w:hint="eastAsia" w:ascii="宋体" w:hAnsi="宋体" w:cs="宋体"/>
          <w:color w:val="auto"/>
          <w:sz w:val="24"/>
          <w:szCs w:val="24"/>
          <w:highlight w:val="none"/>
          <w:lang w:eastAsia="zh-CN"/>
        </w:rPr>
        <w:t>（营业执照</w:t>
      </w:r>
      <w:r>
        <w:rPr>
          <w:rFonts w:hint="eastAsia" w:ascii="宋体" w:hAnsi="宋体" w:cs="宋体"/>
          <w:color w:val="auto"/>
          <w:sz w:val="24"/>
          <w:szCs w:val="24"/>
          <w:highlight w:val="none"/>
          <w:lang w:val="en-US" w:eastAsia="zh-CN"/>
        </w:rPr>
        <w:t>等资料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4D3C9724">
      <w:pPr>
        <w:pStyle w:val="9"/>
        <w:wordWrap w:val="0"/>
        <w:jc w:val="center"/>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412" w:name="_Toc20282"/>
      <w:bookmarkStart w:id="413" w:name="_Toc30533"/>
      <w:bookmarkStart w:id="414" w:name="_Toc11882"/>
      <w:bookmarkStart w:id="415" w:name="_Toc24607_WPSOffice_Level2"/>
      <w:bookmarkStart w:id="416" w:name="_Toc530496961"/>
    </w:p>
    <w:p w14:paraId="3DBF4D0E">
      <w:pPr>
        <w:pStyle w:val="9"/>
        <w:numPr>
          <w:ilvl w:val="0"/>
          <w:numId w:val="0"/>
        </w:numPr>
        <w:wordWrap w:val="0"/>
        <w:ind w:firstLine="482" w:firstLineChars="200"/>
        <w:jc w:val="center"/>
        <w:outlineLvl w:val="2"/>
        <w:rPr>
          <w:rFonts w:hint="eastAsia" w:ascii="宋体" w:hAnsi="宋体" w:eastAsia="宋体" w:cs="宋体"/>
          <w:b/>
          <w:bCs/>
          <w:color w:val="auto"/>
          <w:kern w:val="10"/>
          <w:sz w:val="24"/>
          <w:szCs w:val="24"/>
          <w:highlight w:val="none"/>
          <w:lang w:val="en-US" w:eastAsia="zh-CN"/>
        </w:rPr>
      </w:pPr>
      <w:r>
        <w:rPr>
          <w:rFonts w:hint="eastAsia" w:ascii="宋体" w:hAnsi="宋体" w:eastAsia="宋体" w:cs="宋体"/>
          <w:b/>
          <w:bCs/>
          <w:color w:val="auto"/>
          <w:kern w:val="10"/>
          <w:sz w:val="24"/>
          <w:szCs w:val="24"/>
          <w:highlight w:val="none"/>
          <w:lang w:val="en-US" w:eastAsia="zh-CN"/>
        </w:rPr>
        <w:t>投标人资格证明文件</w:t>
      </w:r>
    </w:p>
    <w:p w14:paraId="6628C662">
      <w:pPr>
        <w:pStyle w:val="9"/>
        <w:numPr>
          <w:ilvl w:val="0"/>
          <w:numId w:val="0"/>
        </w:numPr>
        <w:wordWrap w:val="0"/>
        <w:ind w:firstLine="480" w:firstLineChars="200"/>
        <w:jc w:val="both"/>
        <w:outlineLvl w:val="2"/>
        <w:rPr>
          <w:rFonts w:hint="eastAsia" w:ascii="宋体" w:hAnsi="宋体" w:cs="宋体"/>
          <w:b w:val="0"/>
          <w:bCs w:val="0"/>
          <w:color w:val="auto"/>
          <w:kern w:val="10"/>
          <w:sz w:val="24"/>
          <w:szCs w:val="24"/>
          <w:highlight w:val="none"/>
          <w:lang w:eastAsia="zh-CN"/>
        </w:rPr>
      </w:pPr>
      <w:r>
        <w:rPr>
          <w:rFonts w:hint="eastAsia" w:ascii="宋体" w:hAnsi="宋体" w:cs="宋体"/>
          <w:b w:val="0"/>
          <w:bCs w:val="0"/>
          <w:color w:val="auto"/>
          <w:kern w:val="10"/>
          <w:sz w:val="24"/>
          <w:szCs w:val="24"/>
          <w:highlight w:val="none"/>
          <w:lang w:val="en-US" w:eastAsia="zh-CN"/>
        </w:rPr>
        <w:t>1、</w:t>
      </w:r>
      <w:r>
        <w:rPr>
          <w:rFonts w:hint="eastAsia" w:ascii="宋体" w:hAnsi="宋体" w:cs="宋体"/>
          <w:b w:val="0"/>
          <w:bCs w:val="0"/>
          <w:color w:val="auto"/>
          <w:kern w:val="10"/>
          <w:sz w:val="24"/>
          <w:szCs w:val="24"/>
          <w:highlight w:val="none"/>
        </w:rPr>
        <w:t>满足《中华人民共和国政府采购法》第二十二条规定</w:t>
      </w:r>
      <w:r>
        <w:rPr>
          <w:rFonts w:hint="eastAsia" w:ascii="宋体" w:hAnsi="宋体" w:cs="宋体"/>
          <w:b w:val="0"/>
          <w:bCs w:val="0"/>
          <w:color w:val="auto"/>
          <w:kern w:val="10"/>
          <w:sz w:val="24"/>
          <w:szCs w:val="24"/>
          <w:highlight w:val="none"/>
          <w:lang w:eastAsia="zh-CN"/>
        </w:rPr>
        <w:t>：</w:t>
      </w:r>
    </w:p>
    <w:p w14:paraId="68D38189">
      <w:pPr>
        <w:pStyle w:val="9"/>
        <w:numPr>
          <w:ilvl w:val="0"/>
          <w:numId w:val="0"/>
        </w:numPr>
        <w:wordWrap w:val="0"/>
        <w:ind w:firstLine="480" w:firstLineChars="200"/>
        <w:jc w:val="both"/>
        <w:outlineLvl w:val="2"/>
        <w:rPr>
          <w:rFonts w:hint="eastAsia" w:ascii="宋体" w:hAnsi="宋体" w:cs="宋体"/>
          <w:b w:val="0"/>
          <w:bCs w:val="0"/>
          <w:color w:val="auto"/>
          <w:kern w:val="10"/>
          <w:sz w:val="24"/>
          <w:szCs w:val="24"/>
          <w:highlight w:val="none"/>
          <w:lang w:eastAsia="zh-CN"/>
        </w:rPr>
      </w:pPr>
      <w:r>
        <w:rPr>
          <w:rFonts w:hint="eastAsia" w:ascii="宋体" w:hAnsi="宋体" w:cs="宋体"/>
          <w:b w:val="0"/>
          <w:bCs w:val="0"/>
          <w:color w:val="auto"/>
          <w:kern w:val="10"/>
          <w:sz w:val="24"/>
          <w:szCs w:val="24"/>
          <w:highlight w:val="none"/>
          <w:lang w:val="en-US" w:eastAsia="zh-CN"/>
        </w:rPr>
        <w:t>（一）</w:t>
      </w:r>
      <w:r>
        <w:rPr>
          <w:rFonts w:hint="eastAsia" w:ascii="宋体" w:hAnsi="宋体" w:cs="宋体"/>
          <w:b w:val="0"/>
          <w:bCs w:val="0"/>
          <w:color w:val="auto"/>
          <w:kern w:val="10"/>
          <w:sz w:val="24"/>
          <w:szCs w:val="24"/>
          <w:highlight w:val="none"/>
        </w:rPr>
        <w:t>具有独立承担民事责任的能力；</w:t>
      </w:r>
      <w:r>
        <w:rPr>
          <w:rFonts w:hint="eastAsia" w:ascii="宋体" w:hAnsi="宋体" w:cs="宋体"/>
          <w:b w:val="0"/>
          <w:bCs w:val="0"/>
          <w:color w:val="auto"/>
          <w:kern w:val="10"/>
          <w:sz w:val="24"/>
          <w:szCs w:val="24"/>
          <w:highlight w:val="none"/>
          <w:lang w:eastAsia="zh-CN"/>
        </w:rPr>
        <w:t>（</w:t>
      </w:r>
      <w:r>
        <w:rPr>
          <w:rFonts w:hint="eastAsia" w:ascii="宋体" w:hAnsi="宋体" w:cs="宋体"/>
          <w:b w:val="0"/>
          <w:bCs w:val="0"/>
          <w:color w:val="auto"/>
          <w:sz w:val="24"/>
          <w:szCs w:val="24"/>
          <w:highlight w:val="none"/>
          <w:lang w:val="en-US" w:eastAsia="zh-CN"/>
        </w:rPr>
        <w:t>投标人应具备有效的营业执照正本或副本复印件</w:t>
      </w:r>
      <w:r>
        <w:rPr>
          <w:rFonts w:hint="eastAsia" w:ascii="宋体" w:hAnsi="宋体" w:cs="宋体"/>
          <w:b w:val="0"/>
          <w:bCs w:val="0"/>
          <w:color w:val="auto"/>
          <w:kern w:val="10"/>
          <w:sz w:val="24"/>
          <w:szCs w:val="24"/>
          <w:highlight w:val="none"/>
          <w:lang w:eastAsia="zh-CN"/>
        </w:rPr>
        <w:t>）</w:t>
      </w:r>
    </w:p>
    <w:p w14:paraId="594649A8">
      <w:pPr>
        <w:pStyle w:val="9"/>
        <w:numPr>
          <w:ilvl w:val="0"/>
          <w:numId w:val="0"/>
        </w:numPr>
        <w:wordWrap w:val="0"/>
        <w:ind w:firstLine="480" w:firstLineChars="200"/>
        <w:jc w:val="both"/>
        <w:outlineLvl w:val="2"/>
        <w:rPr>
          <w:rFonts w:hint="eastAsia" w:ascii="宋体" w:hAnsi="宋体" w:eastAsia="宋体" w:cs="宋体"/>
          <w:b w:val="0"/>
          <w:bCs w:val="0"/>
          <w:color w:val="auto"/>
          <w:kern w:val="10"/>
          <w:sz w:val="24"/>
          <w:szCs w:val="24"/>
          <w:highlight w:val="none"/>
          <w:lang w:eastAsia="zh-CN"/>
        </w:rPr>
      </w:pPr>
      <w:r>
        <w:rPr>
          <w:rFonts w:hint="eastAsia" w:ascii="宋体" w:hAnsi="宋体" w:cs="宋体"/>
          <w:b w:val="0"/>
          <w:bCs w:val="0"/>
          <w:color w:val="auto"/>
          <w:kern w:val="10"/>
          <w:sz w:val="24"/>
          <w:szCs w:val="24"/>
          <w:highlight w:val="none"/>
          <w:lang w:val="en-US" w:eastAsia="zh-CN"/>
        </w:rPr>
        <w:t>（二）</w:t>
      </w:r>
      <w:r>
        <w:rPr>
          <w:rFonts w:hint="eastAsia" w:ascii="宋体" w:hAnsi="宋体" w:cs="宋体"/>
          <w:b w:val="0"/>
          <w:bCs w:val="0"/>
          <w:color w:val="auto"/>
          <w:kern w:val="10"/>
          <w:sz w:val="24"/>
          <w:szCs w:val="24"/>
          <w:highlight w:val="none"/>
        </w:rPr>
        <w:t>具有良好的商业信誉和健全的财务会计制度；</w:t>
      </w:r>
      <w:r>
        <w:rPr>
          <w:rFonts w:hint="eastAsia" w:ascii="宋体" w:hAnsi="宋体" w:cs="宋体"/>
          <w:b w:val="0"/>
          <w:bCs w:val="0"/>
          <w:color w:val="auto"/>
          <w:kern w:val="10"/>
          <w:sz w:val="24"/>
          <w:szCs w:val="24"/>
          <w:highlight w:val="none"/>
          <w:lang w:val="en-US" w:eastAsia="zh-CN"/>
        </w:rPr>
        <w:t>（自行承诺，格式自拟）</w:t>
      </w:r>
    </w:p>
    <w:p w14:paraId="72C5494E">
      <w:pPr>
        <w:pStyle w:val="9"/>
        <w:numPr>
          <w:ilvl w:val="0"/>
          <w:numId w:val="0"/>
        </w:numPr>
        <w:wordWrap w:val="0"/>
        <w:ind w:firstLine="480" w:firstLineChars="200"/>
        <w:jc w:val="both"/>
        <w:outlineLvl w:val="2"/>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kern w:val="10"/>
          <w:sz w:val="24"/>
          <w:szCs w:val="24"/>
          <w:highlight w:val="none"/>
          <w:lang w:val="en-US" w:eastAsia="zh-CN"/>
        </w:rPr>
        <w:t>（三）</w:t>
      </w:r>
      <w:r>
        <w:rPr>
          <w:rFonts w:hint="eastAsia" w:ascii="宋体" w:hAnsi="宋体" w:cs="宋体"/>
          <w:b w:val="0"/>
          <w:bCs w:val="0"/>
          <w:color w:val="auto"/>
          <w:kern w:val="10"/>
          <w:sz w:val="24"/>
          <w:szCs w:val="24"/>
          <w:highlight w:val="none"/>
        </w:rPr>
        <w:t>具有履行合同所必需的设备和专业技术能力；</w:t>
      </w:r>
      <w:r>
        <w:rPr>
          <w:rFonts w:hint="eastAsia" w:ascii="宋体" w:hAnsi="宋体" w:cs="宋体"/>
          <w:b w:val="0"/>
          <w:bCs w:val="0"/>
          <w:color w:val="auto"/>
          <w:kern w:val="10"/>
          <w:sz w:val="24"/>
          <w:szCs w:val="24"/>
          <w:highlight w:val="none"/>
          <w:lang w:val="en-US" w:eastAsia="zh-CN"/>
        </w:rPr>
        <w:t>（自行承诺，格式自拟）</w:t>
      </w:r>
    </w:p>
    <w:p w14:paraId="1A5F11E5">
      <w:pPr>
        <w:pStyle w:val="9"/>
        <w:numPr>
          <w:ilvl w:val="0"/>
          <w:numId w:val="0"/>
        </w:numPr>
        <w:wordWrap w:val="0"/>
        <w:ind w:firstLine="480" w:firstLineChars="200"/>
        <w:jc w:val="both"/>
        <w:outlineLvl w:val="2"/>
        <w:rPr>
          <w:rFonts w:hint="eastAsia" w:ascii="宋体" w:hAnsi="宋体" w:eastAsia="宋体" w:cs="宋体"/>
          <w:b w:val="0"/>
          <w:bCs w:val="0"/>
          <w:color w:val="auto"/>
          <w:kern w:val="10"/>
          <w:sz w:val="24"/>
          <w:szCs w:val="24"/>
          <w:highlight w:val="none"/>
          <w:lang w:val="en-US" w:eastAsia="zh-CN"/>
        </w:rPr>
      </w:pPr>
      <w:r>
        <w:rPr>
          <w:rFonts w:hint="eastAsia" w:ascii="宋体" w:hAnsi="宋体" w:cs="宋体"/>
          <w:b w:val="0"/>
          <w:bCs w:val="0"/>
          <w:color w:val="auto"/>
          <w:kern w:val="10"/>
          <w:sz w:val="24"/>
          <w:szCs w:val="24"/>
          <w:highlight w:val="none"/>
          <w:lang w:val="en-US" w:eastAsia="zh-CN"/>
        </w:rPr>
        <w:t>（四）</w:t>
      </w:r>
      <w:r>
        <w:rPr>
          <w:rFonts w:hint="eastAsia" w:ascii="宋体" w:hAnsi="宋体" w:cs="宋体"/>
          <w:b w:val="0"/>
          <w:bCs w:val="0"/>
          <w:color w:val="auto"/>
          <w:kern w:val="10"/>
          <w:sz w:val="24"/>
          <w:szCs w:val="24"/>
          <w:highlight w:val="none"/>
        </w:rPr>
        <w:t>有依法缴纳税收和社会保障资金的良好记录；</w:t>
      </w:r>
      <w:r>
        <w:rPr>
          <w:rFonts w:hint="eastAsia" w:ascii="宋体" w:hAnsi="宋体" w:cs="宋体"/>
          <w:b w:val="0"/>
          <w:bCs w:val="0"/>
          <w:color w:val="auto"/>
          <w:kern w:val="10"/>
          <w:sz w:val="24"/>
          <w:szCs w:val="24"/>
          <w:highlight w:val="none"/>
          <w:lang w:val="en-US" w:eastAsia="zh-CN"/>
        </w:rPr>
        <w:t>（自行承诺，格式自拟）</w:t>
      </w:r>
    </w:p>
    <w:p w14:paraId="6CC265A1">
      <w:pPr>
        <w:pStyle w:val="9"/>
        <w:numPr>
          <w:ilvl w:val="0"/>
          <w:numId w:val="0"/>
        </w:numPr>
        <w:wordWrap w:val="0"/>
        <w:ind w:firstLine="480" w:firstLineChars="200"/>
        <w:jc w:val="both"/>
        <w:outlineLvl w:val="2"/>
        <w:rPr>
          <w:rFonts w:hint="eastAsia" w:ascii="宋体" w:hAnsi="宋体" w:eastAsia="宋体" w:cs="宋体"/>
          <w:b w:val="0"/>
          <w:bCs w:val="0"/>
          <w:color w:val="auto"/>
          <w:kern w:val="10"/>
          <w:sz w:val="24"/>
          <w:szCs w:val="24"/>
          <w:highlight w:val="none"/>
          <w:lang w:eastAsia="zh-CN"/>
        </w:rPr>
      </w:pPr>
      <w:r>
        <w:rPr>
          <w:rFonts w:hint="eastAsia" w:ascii="宋体" w:hAnsi="宋体" w:cs="宋体"/>
          <w:b w:val="0"/>
          <w:bCs w:val="0"/>
          <w:color w:val="auto"/>
          <w:kern w:val="10"/>
          <w:sz w:val="24"/>
          <w:szCs w:val="24"/>
          <w:highlight w:val="none"/>
          <w:lang w:val="en-US" w:eastAsia="zh-CN"/>
        </w:rPr>
        <w:t>（五）</w:t>
      </w:r>
      <w:r>
        <w:rPr>
          <w:rFonts w:hint="eastAsia" w:ascii="宋体" w:hAnsi="宋体" w:cs="宋体"/>
          <w:b w:val="0"/>
          <w:bCs w:val="0"/>
          <w:color w:val="auto"/>
          <w:kern w:val="10"/>
          <w:sz w:val="24"/>
          <w:szCs w:val="24"/>
          <w:highlight w:val="none"/>
        </w:rPr>
        <w:t>参加政府采购活动前三年内，在经营活动中没有重大违法记录；</w:t>
      </w:r>
      <w:r>
        <w:rPr>
          <w:rFonts w:hint="eastAsia" w:ascii="宋体" w:hAnsi="宋体" w:cs="宋体"/>
          <w:b w:val="0"/>
          <w:bCs w:val="0"/>
          <w:color w:val="auto"/>
          <w:kern w:val="10"/>
          <w:sz w:val="24"/>
          <w:szCs w:val="24"/>
          <w:highlight w:val="none"/>
          <w:lang w:val="en-US" w:eastAsia="zh-CN"/>
        </w:rPr>
        <w:t>（自行承诺，格式自拟）</w:t>
      </w:r>
    </w:p>
    <w:p w14:paraId="3B00B331">
      <w:pPr>
        <w:pStyle w:val="9"/>
        <w:numPr>
          <w:ilvl w:val="0"/>
          <w:numId w:val="0"/>
        </w:numPr>
        <w:wordWrap w:val="0"/>
        <w:ind w:firstLine="480" w:firstLineChars="200"/>
        <w:jc w:val="both"/>
        <w:outlineLvl w:val="2"/>
        <w:rPr>
          <w:rFonts w:hint="eastAsia" w:ascii="宋体" w:hAnsi="宋体" w:cs="宋体"/>
          <w:b w:val="0"/>
          <w:bCs w:val="0"/>
          <w:color w:val="auto"/>
          <w:kern w:val="10"/>
          <w:sz w:val="24"/>
          <w:szCs w:val="24"/>
          <w:highlight w:val="none"/>
        </w:rPr>
      </w:pPr>
      <w:r>
        <w:rPr>
          <w:rFonts w:hint="eastAsia" w:ascii="宋体" w:hAnsi="宋体" w:cs="宋体"/>
          <w:b w:val="0"/>
          <w:bCs w:val="0"/>
          <w:color w:val="auto"/>
          <w:kern w:val="10"/>
          <w:sz w:val="24"/>
          <w:szCs w:val="24"/>
          <w:highlight w:val="none"/>
          <w:lang w:val="en-US" w:eastAsia="zh-CN"/>
        </w:rPr>
        <w:t>（六）</w:t>
      </w:r>
      <w:r>
        <w:rPr>
          <w:rFonts w:hint="eastAsia" w:ascii="宋体" w:hAnsi="宋体" w:cs="宋体"/>
          <w:b w:val="0"/>
          <w:bCs w:val="0"/>
          <w:color w:val="auto"/>
          <w:kern w:val="10"/>
          <w:sz w:val="24"/>
          <w:szCs w:val="24"/>
          <w:highlight w:val="none"/>
        </w:rPr>
        <w:t>法律、行政法规规定的其他条件。</w:t>
      </w:r>
    </w:p>
    <w:p w14:paraId="448F1BF7">
      <w:pPr>
        <w:pStyle w:val="9"/>
        <w:numPr>
          <w:ilvl w:val="0"/>
          <w:numId w:val="0"/>
        </w:numPr>
        <w:wordWrap w:val="0"/>
        <w:ind w:firstLine="480" w:firstLineChars="200"/>
        <w:jc w:val="both"/>
        <w:outlineLvl w:val="2"/>
        <w:rPr>
          <w:rFonts w:hint="default"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2、落实政府采购政策满足的资格要求：</w:t>
      </w:r>
      <w:r>
        <w:rPr>
          <w:rFonts w:hint="eastAsia" w:ascii="宋体" w:hAnsi="宋体" w:cs="宋体"/>
          <w:b w:val="0"/>
          <w:bCs w:val="0"/>
          <w:color w:val="auto"/>
          <w:kern w:val="10"/>
          <w:sz w:val="24"/>
          <w:szCs w:val="24"/>
          <w:highlight w:val="none"/>
          <w:lang w:val="en-US" w:eastAsia="zh-CN"/>
        </w:rPr>
        <w:t>/</w:t>
      </w:r>
    </w:p>
    <w:p w14:paraId="108A18B3">
      <w:pPr>
        <w:pStyle w:val="9"/>
        <w:numPr>
          <w:ilvl w:val="0"/>
          <w:numId w:val="0"/>
        </w:numPr>
        <w:wordWrap w:val="0"/>
        <w:ind w:firstLine="480" w:firstLineChars="200"/>
        <w:jc w:val="both"/>
        <w:outlineLvl w:val="2"/>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 xml:space="preserve">3、本项目的特定资格要求 </w:t>
      </w:r>
    </w:p>
    <w:p w14:paraId="605DDD74">
      <w:pPr>
        <w:pStyle w:val="9"/>
        <w:numPr>
          <w:ilvl w:val="0"/>
          <w:numId w:val="0"/>
        </w:numPr>
        <w:wordWrap w:val="0"/>
        <w:ind w:firstLine="480" w:firstLineChars="200"/>
        <w:jc w:val="both"/>
        <w:outlineLvl w:val="2"/>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3.1资质要求：具有中华人民共和国基础电信业务或增值电信业务。（提供经营许可证）</w:t>
      </w:r>
    </w:p>
    <w:p w14:paraId="44487DA9">
      <w:pPr>
        <w:pStyle w:val="9"/>
        <w:numPr>
          <w:ilvl w:val="0"/>
          <w:numId w:val="0"/>
        </w:numPr>
        <w:wordWrap w:val="0"/>
        <w:ind w:firstLine="480" w:firstLineChars="200"/>
        <w:jc w:val="both"/>
        <w:outlineLvl w:val="2"/>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3.2</w:t>
      </w:r>
      <w:r>
        <w:rPr>
          <w:rFonts w:hint="eastAsia" w:ascii="宋体" w:hAnsi="宋体" w:eastAsia="宋体" w:cs="宋体"/>
          <w:color w:val="auto"/>
          <w:kern w:val="0"/>
          <w:sz w:val="24"/>
          <w:szCs w:val="24"/>
          <w:highlight w:val="none"/>
          <w:lang w:val="en-US" w:eastAsia="zh-CN" w:bidi="ar"/>
        </w:rPr>
        <w:t>设备要求：</w:t>
      </w:r>
      <w:r>
        <w:rPr>
          <w:rFonts w:hint="eastAsia" w:ascii="宋体" w:hAnsi="宋体" w:eastAsia="宋体" w:cs="宋体"/>
          <w:b w:val="0"/>
          <w:bCs w:val="0"/>
          <w:color w:val="auto"/>
          <w:kern w:val="10"/>
          <w:sz w:val="24"/>
          <w:szCs w:val="24"/>
          <w:highlight w:val="none"/>
          <w:lang w:val="en-US" w:eastAsia="zh-CN"/>
        </w:rPr>
        <w:t>投标人需承诺其提供的设备是全新的、未使用过的设备且所提供终端经测试未达到采购人提出的功能或性能要求时，免费进行软硬件增加、变更或升级，直至满足要求为止（自行承诺，格式自拟）。</w:t>
      </w:r>
    </w:p>
    <w:p w14:paraId="42197949">
      <w:pPr>
        <w:pStyle w:val="9"/>
        <w:numPr>
          <w:ilvl w:val="0"/>
          <w:numId w:val="0"/>
        </w:numPr>
        <w:wordWrap w:val="0"/>
        <w:ind w:firstLine="480" w:firstLineChars="200"/>
        <w:jc w:val="both"/>
        <w:outlineLvl w:val="2"/>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3.3根据《关于在政府采购活动中查询及使用信用记录有关问题的通知》（财库﹝2016﹞125号）和豫财购﹝2016﹞15号的规定，对列入失信被执行人、重大税收违法失信主体、政府采购严重违法失信行为记录名单的投标人，拒绝参与本项目政府采购活动；（查询渠道：“中国执行信息公开网（zxgk.court.gov.cn）（信用中国网站可跳转）”查询“失信被执行人名单”“信用中国（http://www.creditchina.gov.cn/”网站中查询“重大税收违法失信主体”“中国政府采购网（www.ccgp.gov.cn）”网站中查询“政府采购严重违法失信行为记录名单”。）采购人、采购代理机构通过“信用中国”网站（www.creditchina.gov.cn）、中国政府采购网（www.ccgp.gov.cn）等渠道查询相关主体信用记录,信用信息查询记录及相关证据与其他采购文件一并保存。查询时间：本项目评审结束之前。</w:t>
      </w:r>
    </w:p>
    <w:p w14:paraId="12FD3350">
      <w:pPr>
        <w:pStyle w:val="9"/>
        <w:numPr>
          <w:ilvl w:val="0"/>
          <w:numId w:val="0"/>
        </w:numPr>
        <w:wordWrap w:val="0"/>
        <w:ind w:firstLine="480" w:firstLineChars="200"/>
        <w:jc w:val="both"/>
        <w:outlineLvl w:val="2"/>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3.4单位负责人为同一人或者存在直接控股、管理关系的不同投标人，不得参加同一合同项下的政府采购活动。【提供“ 国家企业信用信息公示系统 ”中查询截图并加盖单位公章（需包含公司基本信息、股东信息及股权变更信息）或附承诺书，格式自拟加盖公章。】</w:t>
      </w:r>
    </w:p>
    <w:p w14:paraId="497E8F08">
      <w:pPr>
        <w:pStyle w:val="9"/>
        <w:numPr>
          <w:ilvl w:val="0"/>
          <w:numId w:val="0"/>
        </w:numPr>
        <w:wordWrap w:val="0"/>
        <w:ind w:firstLine="480" w:firstLineChars="200"/>
        <w:jc w:val="both"/>
        <w:outlineLvl w:val="2"/>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4、其他资料</w:t>
      </w:r>
    </w:p>
    <w:p w14:paraId="13043B8B">
      <w:pPr>
        <w:pStyle w:val="9"/>
        <w:numPr>
          <w:ilvl w:val="0"/>
          <w:numId w:val="0"/>
        </w:numPr>
        <w:wordWrap w:val="0"/>
        <w:ind w:firstLine="482" w:firstLineChars="200"/>
        <w:jc w:val="both"/>
        <w:outlineLvl w:val="2"/>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bCs/>
          <w:color w:val="auto"/>
          <w:kern w:val="10"/>
          <w:sz w:val="24"/>
          <w:szCs w:val="24"/>
          <w:highlight w:val="none"/>
          <w:lang w:val="en-US" w:eastAsia="zh-CN"/>
        </w:rPr>
        <w:t>4.1投标人如为分公司：</w:t>
      </w:r>
      <w:r>
        <w:rPr>
          <w:rFonts w:hint="eastAsia" w:ascii="宋体" w:hAnsi="宋体" w:eastAsia="宋体" w:cs="宋体"/>
          <w:b w:val="0"/>
          <w:bCs w:val="0"/>
          <w:color w:val="auto"/>
          <w:kern w:val="10"/>
          <w:sz w:val="24"/>
          <w:szCs w:val="24"/>
          <w:highlight w:val="none"/>
          <w:lang w:val="en-US" w:eastAsia="zh-CN"/>
        </w:rPr>
        <w:t>依据《中华人民共和国政府采购法实施条例》释义:银行、保险、石油石化、电力、电信等有行业特殊情况的，采购人、采购代理机构可按照其特点在采购文件中作出专门规定。本项目属于“电信”行业，取得营业执照的分支机构应提供总公司授权可以以分公司名义参与投标，招标文件中涉及的“法定代表人”在前述特殊行业中即对应为“分支机构(分公司)负责人”。</w:t>
      </w:r>
    </w:p>
    <w:p w14:paraId="7A4CC2E5">
      <w:pPr>
        <w:pStyle w:val="9"/>
        <w:numPr>
          <w:ilvl w:val="0"/>
          <w:numId w:val="0"/>
        </w:numPr>
        <w:wordWrap w:val="0"/>
        <w:ind w:firstLine="480" w:firstLineChars="200"/>
        <w:jc w:val="both"/>
        <w:outlineLvl w:val="2"/>
        <w:rPr>
          <w:rFonts w:hint="default"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4.2投标人认为的其他证明材料</w:t>
      </w:r>
    </w:p>
    <w:p w14:paraId="3E34D8BA">
      <w:pPr>
        <w:pStyle w:val="9"/>
        <w:numPr>
          <w:ilvl w:val="0"/>
          <w:numId w:val="0"/>
        </w:numPr>
        <w:wordWrap w:val="0"/>
        <w:ind w:leftChars="0"/>
        <w:jc w:val="both"/>
        <w:outlineLvl w:val="2"/>
        <w:rPr>
          <w:rFonts w:hint="eastAsia" w:ascii="宋体" w:hAnsi="宋体" w:cs="宋体"/>
          <w:b/>
          <w:bCs w:val="0"/>
          <w:snapToGrid w:val="0"/>
          <w:color w:val="auto"/>
          <w:sz w:val="24"/>
          <w:szCs w:val="24"/>
          <w:highlight w:val="none"/>
          <w:lang w:eastAsia="zh-CN"/>
        </w:rPr>
      </w:pPr>
    </w:p>
    <w:p w14:paraId="36306703">
      <w:pPr>
        <w:pStyle w:val="9"/>
        <w:wordWrap w:val="0"/>
        <w:snapToGrid w:val="0"/>
        <w:spacing w:after="0" w:line="288" w:lineRule="auto"/>
        <w:jc w:val="both"/>
        <w:outlineLvl w:val="2"/>
        <w:rPr>
          <w:rFonts w:hint="eastAsia" w:ascii="宋体" w:hAnsi="宋体" w:cs="宋体"/>
          <w:b/>
          <w:bCs w:val="0"/>
          <w:snapToGrid w:val="0"/>
          <w:color w:val="auto"/>
          <w:sz w:val="24"/>
          <w:szCs w:val="24"/>
          <w:highlight w:val="none"/>
          <w:lang w:eastAsia="zh-CN"/>
        </w:rPr>
      </w:pPr>
    </w:p>
    <w:p w14:paraId="4ADFE24E">
      <w:pPr>
        <w:pStyle w:val="9"/>
        <w:wordWrap w:val="0"/>
        <w:snapToGrid w:val="0"/>
        <w:spacing w:after="0" w:line="288" w:lineRule="auto"/>
        <w:jc w:val="left"/>
        <w:outlineLvl w:val="9"/>
        <w:rPr>
          <w:rFonts w:hint="eastAsia" w:ascii="宋体" w:hAnsi="宋体" w:cs="宋体"/>
          <w:b/>
          <w:snapToGrid w:val="0"/>
          <w:color w:val="auto"/>
          <w:sz w:val="24"/>
          <w:szCs w:val="24"/>
          <w:highlight w:val="none"/>
        </w:rPr>
      </w:pPr>
    </w:p>
    <w:p w14:paraId="76CA006A">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bookmarkEnd w:id="412"/>
    <w:bookmarkEnd w:id="413"/>
    <w:bookmarkEnd w:id="414"/>
    <w:bookmarkEnd w:id="415"/>
    <w:bookmarkEnd w:id="416"/>
    <w:p w14:paraId="7502E516">
      <w:pPr>
        <w:pStyle w:val="9"/>
        <w:wordWrap w:val="0"/>
        <w:snapToGrid w:val="0"/>
        <w:spacing w:after="0" w:line="288" w:lineRule="auto"/>
        <w:jc w:val="center"/>
        <w:outlineLvl w:val="1"/>
        <w:rPr>
          <w:rFonts w:hint="eastAsia" w:ascii="宋体" w:hAnsi="宋体" w:eastAsia="宋体" w:cs="宋体"/>
          <w:b/>
          <w:bCs/>
          <w:color w:val="auto"/>
          <w:sz w:val="24"/>
          <w:szCs w:val="24"/>
          <w:highlight w:val="none"/>
        </w:rPr>
      </w:pPr>
      <w:bookmarkStart w:id="417" w:name="_Toc10075"/>
      <w:bookmarkStart w:id="418" w:name="_Toc18143"/>
      <w:bookmarkStart w:id="419" w:name="_Toc27674"/>
      <w:bookmarkStart w:id="420" w:name="_Toc25017_WPSOffice_Level1"/>
      <w:bookmarkStart w:id="421" w:name="_Toc12513"/>
      <w:bookmarkStart w:id="422" w:name="_Toc577"/>
      <w:bookmarkStart w:id="423" w:name="_Toc530496965"/>
      <w:bookmarkStart w:id="424" w:name="_Toc28030"/>
      <w:bookmarkStart w:id="425" w:name="_Toc4856"/>
      <w:bookmarkStart w:id="426" w:name="_Toc21311"/>
    </w:p>
    <w:p w14:paraId="45D61358">
      <w:pPr>
        <w:pStyle w:val="9"/>
        <w:wordWrap w:val="0"/>
        <w:snapToGrid w:val="0"/>
        <w:spacing w:after="0" w:line="288" w:lineRule="auto"/>
        <w:jc w:val="center"/>
        <w:outlineLvl w:val="1"/>
        <w:rPr>
          <w:rFonts w:hint="eastAsia" w:ascii="宋体" w:hAnsi="宋体" w:eastAsia="宋体" w:cs="宋体"/>
          <w:b/>
          <w:bCs/>
          <w:color w:val="auto"/>
          <w:sz w:val="24"/>
          <w:szCs w:val="24"/>
          <w:highlight w:val="none"/>
        </w:rPr>
      </w:pPr>
    </w:p>
    <w:p w14:paraId="4E198069">
      <w:pPr>
        <w:pStyle w:val="9"/>
        <w:wordWrap w:val="0"/>
        <w:snapToGrid w:val="0"/>
        <w:spacing w:after="0" w:line="288" w:lineRule="auto"/>
        <w:jc w:val="center"/>
        <w:outlineLvl w:val="1"/>
        <w:rPr>
          <w:rFonts w:hint="default" w:ascii="宋体" w:hAnsi="宋体" w:eastAsia="宋体" w:cs="宋体"/>
          <w:color w:val="auto"/>
          <w:sz w:val="24"/>
          <w:szCs w:val="24"/>
          <w:highlight w:val="none"/>
          <w:lang w:val="en-US" w:eastAsia="zh-CN"/>
        </w:rPr>
      </w:pPr>
      <w:bookmarkStart w:id="427" w:name="_Toc19474"/>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、技术</w:t>
      </w:r>
      <w:bookmarkEnd w:id="417"/>
      <w:bookmarkEnd w:id="418"/>
      <w:bookmarkEnd w:id="419"/>
      <w:r>
        <w:rPr>
          <w:rFonts w:hint="eastAsia" w:ascii="宋体" w:hAnsi="宋体" w:cs="宋体"/>
          <w:b/>
          <w:bCs/>
          <w:color w:val="auto"/>
          <w:sz w:val="24"/>
          <w:szCs w:val="24"/>
          <w:highlight w:val="none"/>
          <w:lang w:val="en-US" w:eastAsia="zh-CN"/>
        </w:rPr>
        <w:t>部分</w:t>
      </w:r>
      <w:bookmarkEnd w:id="427"/>
    </w:p>
    <w:p w14:paraId="5E9D6A75">
      <w:pPr>
        <w:pStyle w:val="19"/>
        <w:jc w:val="center"/>
        <w:rPr>
          <w:rFonts w:hint="eastAsia" w:ascii="宋体" w:hAnsi="宋体" w:eastAsia="宋体" w:cs="宋体"/>
          <w:color w:val="auto"/>
          <w:sz w:val="24"/>
          <w:szCs w:val="24"/>
          <w:highlight w:val="none"/>
        </w:rPr>
      </w:pPr>
      <w:bookmarkStart w:id="428" w:name="_Toc23724"/>
      <w:r>
        <w:rPr>
          <w:rFonts w:hint="eastAsia" w:ascii="宋体" w:hAnsi="宋体" w:eastAsia="宋体" w:cs="宋体"/>
          <w:color w:val="auto"/>
          <w:sz w:val="24"/>
          <w:szCs w:val="24"/>
          <w:highlight w:val="none"/>
          <w:lang w:val="en-US" w:eastAsia="zh-CN"/>
        </w:rPr>
        <w:t>（参照评分办法编制）</w:t>
      </w:r>
    </w:p>
    <w:p w14:paraId="7B4CC796">
      <w:pPr>
        <w:pStyle w:val="19"/>
        <w:rPr>
          <w:rFonts w:hint="eastAsia" w:ascii="宋体" w:hAnsi="宋体" w:eastAsia="宋体" w:cs="宋体"/>
          <w:color w:val="auto"/>
          <w:sz w:val="20"/>
          <w:szCs w:val="24"/>
          <w:highlight w:val="none"/>
        </w:rPr>
      </w:pPr>
    </w:p>
    <w:bookmarkEnd w:id="420"/>
    <w:bookmarkEnd w:id="421"/>
    <w:bookmarkEnd w:id="422"/>
    <w:bookmarkEnd w:id="423"/>
    <w:bookmarkEnd w:id="424"/>
    <w:bookmarkEnd w:id="425"/>
    <w:bookmarkEnd w:id="426"/>
    <w:bookmarkEnd w:id="428"/>
    <w:p w14:paraId="1F69F1A1">
      <w:pPr>
        <w:pStyle w:val="48"/>
        <w:wordWrap w:val="0"/>
        <w:spacing w:line="360" w:lineRule="auto"/>
        <w:jc w:val="center"/>
        <w:outlineLvl w:val="1"/>
        <w:rPr>
          <w:rFonts w:hint="eastAsia" w:ascii="宋体" w:hAnsi="宋体" w:cs="宋体"/>
          <w:b/>
          <w:bCs/>
          <w:color w:val="auto"/>
          <w:kern w:val="0"/>
          <w:sz w:val="24"/>
          <w:szCs w:val="24"/>
          <w:highlight w:val="none"/>
          <w:lang w:val="en-US" w:eastAsia="zh-CN"/>
        </w:rPr>
      </w:pPr>
      <w:bookmarkStart w:id="429" w:name="_Toc8020"/>
      <w:bookmarkStart w:id="430" w:name="_Toc4898"/>
      <w:bookmarkStart w:id="431" w:name="_Toc28181"/>
      <w:bookmarkStart w:id="432" w:name="_Toc13815"/>
      <w:bookmarkStart w:id="433" w:name="_Toc530496968"/>
      <w:bookmarkStart w:id="434" w:name="_Toc25504_WPSOffice_Level1"/>
      <w:bookmarkStart w:id="435" w:name="_Toc11741"/>
      <w:bookmarkStart w:id="436" w:name="_Toc26375"/>
      <w:bookmarkStart w:id="437" w:name="_Toc10921"/>
      <w:bookmarkStart w:id="438" w:name="_Toc26933"/>
      <w:bookmarkStart w:id="439" w:name="_Toc23031"/>
      <w:bookmarkStart w:id="440" w:name="_Toc7375"/>
      <w:bookmarkStart w:id="441" w:name="_Toc12967"/>
    </w:p>
    <w:p w14:paraId="756DB3D2">
      <w:pPr>
        <w:pStyle w:val="48"/>
        <w:wordWrap w:val="0"/>
        <w:spacing w:line="360" w:lineRule="auto"/>
        <w:jc w:val="center"/>
        <w:outlineLvl w:val="1"/>
        <w:rPr>
          <w:rFonts w:hint="eastAsia" w:ascii="宋体" w:hAnsi="宋体" w:cs="宋体"/>
          <w:b/>
          <w:bCs/>
          <w:color w:val="auto"/>
          <w:kern w:val="0"/>
          <w:sz w:val="24"/>
          <w:szCs w:val="24"/>
          <w:highlight w:val="none"/>
          <w:lang w:val="en-US" w:eastAsia="zh-CN"/>
        </w:rPr>
      </w:pPr>
    </w:p>
    <w:p w14:paraId="4B2528BA">
      <w:pPr>
        <w:pStyle w:val="48"/>
        <w:wordWrap w:val="0"/>
        <w:spacing w:line="360" w:lineRule="auto"/>
        <w:jc w:val="center"/>
        <w:outlineLvl w:val="1"/>
        <w:rPr>
          <w:rFonts w:hint="eastAsia" w:ascii="宋体" w:hAnsi="宋体" w:cs="宋体"/>
          <w:b/>
          <w:bCs/>
          <w:color w:val="auto"/>
          <w:kern w:val="0"/>
          <w:sz w:val="24"/>
          <w:szCs w:val="24"/>
          <w:highlight w:val="none"/>
          <w:lang w:val="en-US" w:eastAsia="zh-CN"/>
        </w:rPr>
      </w:pPr>
    </w:p>
    <w:p w14:paraId="65E96EC3">
      <w:pPr>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br w:type="page"/>
      </w:r>
    </w:p>
    <w:p w14:paraId="0F9954E4">
      <w:pPr>
        <w:pStyle w:val="48"/>
        <w:wordWrap w:val="0"/>
        <w:spacing w:line="360" w:lineRule="auto"/>
        <w:jc w:val="center"/>
        <w:outlineLvl w:val="1"/>
        <w:rPr>
          <w:rFonts w:hint="default" w:ascii="宋体" w:hAnsi="宋体" w:eastAsia="宋体" w:cs="宋体"/>
          <w:color w:val="auto"/>
          <w:sz w:val="24"/>
          <w:szCs w:val="24"/>
          <w:highlight w:val="none"/>
          <w:lang w:val="en-US" w:eastAsia="zh-CN"/>
        </w:rPr>
      </w:pPr>
      <w:bookmarkStart w:id="442" w:name="_Toc27729"/>
      <w:r>
        <w:rPr>
          <w:rFonts w:hint="eastAsia" w:ascii="宋体" w:hAnsi="宋体" w:cs="宋体"/>
          <w:b/>
          <w:bCs/>
          <w:color w:val="auto"/>
          <w:kern w:val="0"/>
          <w:sz w:val="24"/>
          <w:szCs w:val="24"/>
          <w:highlight w:val="none"/>
          <w:lang w:val="en-US" w:eastAsia="zh-CN"/>
        </w:rPr>
        <w:t>七</w:t>
      </w:r>
      <w:r>
        <w:rPr>
          <w:rFonts w:hint="eastAsia"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商务部分</w:t>
      </w:r>
      <w:bookmarkEnd w:id="442"/>
    </w:p>
    <w:p w14:paraId="4320D0F2">
      <w:pPr>
        <w:pStyle w:val="5"/>
        <w:keepNext w:val="0"/>
        <w:keepLines w:val="0"/>
        <w:wordWrap w:val="0"/>
        <w:snapToGrid w:val="0"/>
        <w:spacing w:before="0" w:after="0" w:line="288"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近年完成的类似项目情况表</w:t>
      </w:r>
    </w:p>
    <w:tbl>
      <w:tblPr>
        <w:tblStyle w:val="26"/>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2269"/>
        <w:gridCol w:w="6253"/>
      </w:tblGrid>
      <w:tr w14:paraId="3E6ED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7" w:hRule="atLeast"/>
          <w:jc w:val="center"/>
        </w:trPr>
        <w:tc>
          <w:tcPr>
            <w:tcW w:w="2269" w:type="dxa"/>
            <w:noWrap w:val="0"/>
            <w:vAlign w:val="center"/>
          </w:tcPr>
          <w:p w14:paraId="206A4F11">
            <w:pPr>
              <w:pStyle w:val="69"/>
              <w:wordWrap w:val="0"/>
              <w:snapToGrid w:val="0"/>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253" w:type="dxa"/>
            <w:noWrap w:val="0"/>
            <w:vAlign w:val="center"/>
          </w:tcPr>
          <w:p w14:paraId="095C5346">
            <w:pPr>
              <w:wordWrap w:val="0"/>
              <w:snapToGrid w:val="0"/>
              <w:spacing w:line="288" w:lineRule="auto"/>
              <w:ind w:firstLine="480" w:firstLineChars="200"/>
              <w:jc w:val="center"/>
              <w:rPr>
                <w:rFonts w:hint="eastAsia" w:ascii="宋体" w:hAnsi="宋体" w:eastAsia="宋体" w:cs="宋体"/>
                <w:color w:val="auto"/>
                <w:sz w:val="24"/>
                <w:szCs w:val="24"/>
                <w:highlight w:val="none"/>
              </w:rPr>
            </w:pPr>
          </w:p>
        </w:tc>
      </w:tr>
      <w:tr w14:paraId="0134C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41" w:hRule="atLeast"/>
          <w:jc w:val="center"/>
        </w:trPr>
        <w:tc>
          <w:tcPr>
            <w:tcW w:w="2269" w:type="dxa"/>
            <w:noWrap w:val="0"/>
            <w:vAlign w:val="center"/>
          </w:tcPr>
          <w:p w14:paraId="61014A84">
            <w:pPr>
              <w:pStyle w:val="69"/>
              <w:wordWrap w:val="0"/>
              <w:snapToGrid w:val="0"/>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买方名称</w:t>
            </w:r>
          </w:p>
        </w:tc>
        <w:tc>
          <w:tcPr>
            <w:tcW w:w="6253" w:type="dxa"/>
            <w:noWrap w:val="0"/>
            <w:vAlign w:val="center"/>
          </w:tcPr>
          <w:p w14:paraId="0D39728A">
            <w:pPr>
              <w:wordWrap w:val="0"/>
              <w:snapToGrid w:val="0"/>
              <w:spacing w:line="288" w:lineRule="auto"/>
              <w:ind w:firstLine="480" w:firstLineChars="200"/>
              <w:jc w:val="center"/>
              <w:rPr>
                <w:rFonts w:hint="eastAsia" w:ascii="宋体" w:hAnsi="宋体" w:eastAsia="宋体" w:cs="宋体"/>
                <w:color w:val="auto"/>
                <w:sz w:val="24"/>
                <w:szCs w:val="24"/>
                <w:highlight w:val="none"/>
              </w:rPr>
            </w:pPr>
          </w:p>
        </w:tc>
      </w:tr>
      <w:tr w14:paraId="56B0C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07" w:hRule="atLeast"/>
          <w:jc w:val="center"/>
        </w:trPr>
        <w:tc>
          <w:tcPr>
            <w:tcW w:w="2269" w:type="dxa"/>
            <w:noWrap w:val="0"/>
            <w:vAlign w:val="center"/>
          </w:tcPr>
          <w:p w14:paraId="1ED70816">
            <w:pPr>
              <w:pStyle w:val="69"/>
              <w:wordWrap w:val="0"/>
              <w:snapToGrid w:val="0"/>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买方联系人及电话</w:t>
            </w:r>
          </w:p>
        </w:tc>
        <w:tc>
          <w:tcPr>
            <w:tcW w:w="6253" w:type="dxa"/>
            <w:noWrap w:val="0"/>
            <w:vAlign w:val="center"/>
          </w:tcPr>
          <w:p w14:paraId="502A8B33">
            <w:pPr>
              <w:wordWrap w:val="0"/>
              <w:snapToGrid w:val="0"/>
              <w:spacing w:line="288" w:lineRule="auto"/>
              <w:ind w:firstLine="480" w:firstLineChars="200"/>
              <w:jc w:val="center"/>
              <w:rPr>
                <w:rFonts w:hint="eastAsia" w:ascii="宋体" w:hAnsi="宋体" w:eastAsia="宋体" w:cs="宋体"/>
                <w:color w:val="auto"/>
                <w:sz w:val="24"/>
                <w:szCs w:val="24"/>
                <w:highlight w:val="none"/>
              </w:rPr>
            </w:pPr>
          </w:p>
        </w:tc>
      </w:tr>
      <w:tr w14:paraId="166EC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73" w:hRule="atLeast"/>
          <w:jc w:val="center"/>
        </w:trPr>
        <w:tc>
          <w:tcPr>
            <w:tcW w:w="2269" w:type="dxa"/>
            <w:noWrap w:val="0"/>
            <w:vAlign w:val="center"/>
          </w:tcPr>
          <w:p w14:paraId="3029DF34">
            <w:pPr>
              <w:pStyle w:val="69"/>
              <w:wordWrap w:val="0"/>
              <w:snapToGrid w:val="0"/>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253" w:type="dxa"/>
            <w:noWrap w:val="0"/>
            <w:vAlign w:val="center"/>
          </w:tcPr>
          <w:p w14:paraId="7FE24C13">
            <w:pPr>
              <w:wordWrap w:val="0"/>
              <w:snapToGrid w:val="0"/>
              <w:spacing w:line="288" w:lineRule="auto"/>
              <w:ind w:firstLine="480" w:firstLineChars="200"/>
              <w:jc w:val="center"/>
              <w:rPr>
                <w:rFonts w:hint="eastAsia" w:ascii="宋体" w:hAnsi="宋体" w:eastAsia="宋体" w:cs="宋体"/>
                <w:color w:val="auto"/>
                <w:sz w:val="24"/>
                <w:szCs w:val="24"/>
                <w:highlight w:val="none"/>
              </w:rPr>
            </w:pPr>
          </w:p>
        </w:tc>
      </w:tr>
      <w:tr w14:paraId="13A9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023" w:hRule="atLeast"/>
          <w:jc w:val="center"/>
        </w:trPr>
        <w:tc>
          <w:tcPr>
            <w:tcW w:w="2269" w:type="dxa"/>
            <w:noWrap w:val="0"/>
            <w:vAlign w:val="center"/>
          </w:tcPr>
          <w:p w14:paraId="7C3EC056">
            <w:pPr>
              <w:pStyle w:val="69"/>
              <w:wordWrap w:val="0"/>
              <w:snapToGrid w:val="0"/>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项目概况及投标人履约情况</w:t>
            </w:r>
          </w:p>
        </w:tc>
        <w:tc>
          <w:tcPr>
            <w:tcW w:w="6253" w:type="dxa"/>
            <w:noWrap w:val="0"/>
            <w:vAlign w:val="center"/>
          </w:tcPr>
          <w:p w14:paraId="1EBEF247">
            <w:pPr>
              <w:wordWrap w:val="0"/>
              <w:snapToGrid w:val="0"/>
              <w:spacing w:line="288" w:lineRule="auto"/>
              <w:ind w:firstLine="480" w:firstLineChars="200"/>
              <w:jc w:val="center"/>
              <w:rPr>
                <w:rFonts w:hint="eastAsia" w:ascii="宋体" w:hAnsi="宋体" w:eastAsia="宋体" w:cs="宋体"/>
                <w:color w:val="auto"/>
                <w:sz w:val="24"/>
                <w:szCs w:val="24"/>
                <w:highlight w:val="none"/>
              </w:rPr>
            </w:pPr>
          </w:p>
        </w:tc>
      </w:tr>
      <w:tr w14:paraId="2FC21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805" w:hRule="atLeast"/>
          <w:jc w:val="center"/>
        </w:trPr>
        <w:tc>
          <w:tcPr>
            <w:tcW w:w="2269" w:type="dxa"/>
            <w:noWrap w:val="0"/>
            <w:vAlign w:val="center"/>
          </w:tcPr>
          <w:p w14:paraId="3EA07974">
            <w:pPr>
              <w:pStyle w:val="69"/>
              <w:wordWrap w:val="0"/>
              <w:snapToGrid w:val="0"/>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253" w:type="dxa"/>
            <w:noWrap w:val="0"/>
            <w:vAlign w:val="center"/>
          </w:tcPr>
          <w:p w14:paraId="3F625196">
            <w:pPr>
              <w:wordWrap w:val="0"/>
              <w:snapToGrid w:val="0"/>
              <w:spacing w:line="288" w:lineRule="auto"/>
              <w:ind w:firstLine="480" w:firstLineChars="200"/>
              <w:jc w:val="center"/>
              <w:rPr>
                <w:rFonts w:hint="eastAsia" w:ascii="宋体" w:hAnsi="宋体" w:eastAsia="宋体" w:cs="宋体"/>
                <w:color w:val="auto"/>
                <w:sz w:val="24"/>
                <w:szCs w:val="24"/>
                <w:highlight w:val="none"/>
              </w:rPr>
            </w:pPr>
          </w:p>
        </w:tc>
      </w:tr>
    </w:tbl>
    <w:p w14:paraId="36F79505">
      <w:pPr>
        <w:pStyle w:val="48"/>
        <w:numPr>
          <w:ilvl w:val="0"/>
          <w:numId w:val="7"/>
        </w:numPr>
        <w:wordWrap w:val="0"/>
        <w:spacing w:line="360" w:lineRule="auto"/>
        <w:ind w:left="0" w:leftChars="0" w:firstLine="0" w:firstLineChars="0"/>
        <w:jc w:val="both"/>
        <w:outlineLvl w:val="1"/>
        <w:rPr>
          <w:rFonts w:hint="eastAsia" w:ascii="宋体" w:hAnsi="宋体" w:cs="宋体"/>
          <w:b/>
          <w:bCs/>
          <w:color w:val="auto"/>
          <w:kern w:val="0"/>
          <w:sz w:val="24"/>
          <w:szCs w:val="24"/>
          <w:highlight w:val="none"/>
          <w:lang w:val="en-US" w:eastAsia="zh-CN"/>
        </w:rPr>
      </w:pPr>
      <w:bookmarkStart w:id="443" w:name="_Toc31486"/>
      <w:bookmarkStart w:id="444" w:name="_Toc14674"/>
      <w:r>
        <w:rPr>
          <w:rFonts w:hint="eastAsia" w:ascii="宋体" w:hAnsi="宋体" w:cs="宋体"/>
          <w:b/>
          <w:bCs/>
          <w:color w:val="auto"/>
          <w:kern w:val="0"/>
          <w:sz w:val="24"/>
          <w:szCs w:val="24"/>
          <w:highlight w:val="none"/>
          <w:lang w:val="en-US" w:eastAsia="zh-CN"/>
        </w:rPr>
        <w:t>产品先进性</w:t>
      </w:r>
      <w:bookmarkEnd w:id="443"/>
      <w:bookmarkEnd w:id="444"/>
    </w:p>
    <w:p w14:paraId="0DFEA5E0">
      <w:pPr>
        <w:pStyle w:val="48"/>
        <w:numPr>
          <w:ilvl w:val="0"/>
          <w:numId w:val="7"/>
        </w:numPr>
        <w:wordWrap w:val="0"/>
        <w:spacing w:line="360" w:lineRule="auto"/>
        <w:ind w:left="0" w:leftChars="0" w:firstLine="0" w:firstLineChars="0"/>
        <w:jc w:val="both"/>
        <w:outlineLvl w:val="1"/>
        <w:rPr>
          <w:rFonts w:hint="default" w:ascii="宋体" w:hAnsi="宋体" w:cs="宋体"/>
          <w:b/>
          <w:bCs/>
          <w:color w:val="auto"/>
          <w:kern w:val="0"/>
          <w:sz w:val="24"/>
          <w:szCs w:val="24"/>
          <w:highlight w:val="none"/>
          <w:lang w:val="en-US" w:eastAsia="zh-CN"/>
        </w:rPr>
      </w:pPr>
      <w:bookmarkStart w:id="445" w:name="_Toc12111"/>
      <w:bookmarkStart w:id="446" w:name="_Toc8426"/>
      <w:r>
        <w:rPr>
          <w:rFonts w:hint="default" w:ascii="宋体" w:hAnsi="宋体" w:cs="宋体"/>
          <w:b/>
          <w:bCs/>
          <w:color w:val="auto"/>
          <w:kern w:val="0"/>
          <w:sz w:val="24"/>
          <w:szCs w:val="24"/>
          <w:highlight w:val="none"/>
          <w:lang w:val="en-US" w:eastAsia="zh-CN"/>
        </w:rPr>
        <w:t>售后服务计划</w:t>
      </w:r>
      <w:bookmarkEnd w:id="445"/>
      <w:bookmarkEnd w:id="446"/>
    </w:p>
    <w:p w14:paraId="4901EA87">
      <w:pPr>
        <w:pStyle w:val="48"/>
        <w:numPr>
          <w:ilvl w:val="0"/>
          <w:numId w:val="7"/>
        </w:numPr>
        <w:wordWrap w:val="0"/>
        <w:spacing w:line="360" w:lineRule="auto"/>
        <w:ind w:left="0" w:leftChars="0" w:firstLine="0" w:firstLineChars="0"/>
        <w:jc w:val="both"/>
        <w:outlineLvl w:val="1"/>
        <w:rPr>
          <w:rFonts w:hint="default" w:ascii="宋体" w:hAnsi="宋体" w:cs="宋体"/>
          <w:b/>
          <w:bCs/>
          <w:color w:val="auto"/>
          <w:kern w:val="0"/>
          <w:sz w:val="24"/>
          <w:szCs w:val="24"/>
          <w:highlight w:val="none"/>
          <w:lang w:val="en-US" w:eastAsia="zh-CN"/>
        </w:rPr>
      </w:pPr>
      <w:bookmarkStart w:id="447" w:name="_Toc6337"/>
      <w:bookmarkStart w:id="448" w:name="_Toc2521"/>
      <w:r>
        <w:rPr>
          <w:rFonts w:hint="default" w:ascii="宋体" w:hAnsi="宋体" w:cs="宋体"/>
          <w:b/>
          <w:bCs/>
          <w:color w:val="auto"/>
          <w:kern w:val="0"/>
          <w:sz w:val="24"/>
          <w:szCs w:val="24"/>
          <w:highlight w:val="none"/>
          <w:lang w:val="en-US" w:eastAsia="zh-CN"/>
        </w:rPr>
        <w:t>优惠承诺</w:t>
      </w:r>
      <w:bookmarkEnd w:id="447"/>
      <w:bookmarkEnd w:id="448"/>
    </w:p>
    <w:p w14:paraId="205A38D6">
      <w:pPr>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br w:type="page"/>
      </w:r>
    </w:p>
    <w:p w14:paraId="21899B65">
      <w:pPr>
        <w:rPr>
          <w:rFonts w:hint="eastAsia" w:ascii="宋体" w:hAnsi="宋体" w:cs="宋体"/>
          <w:b/>
          <w:bCs/>
          <w:color w:val="auto"/>
          <w:kern w:val="0"/>
          <w:sz w:val="24"/>
          <w:szCs w:val="24"/>
          <w:highlight w:val="none"/>
          <w:lang w:val="en-US" w:eastAsia="zh-CN"/>
        </w:rPr>
      </w:pPr>
    </w:p>
    <w:p w14:paraId="16012347">
      <w:pPr>
        <w:pStyle w:val="48"/>
        <w:wordWrap w:val="0"/>
        <w:spacing w:line="360" w:lineRule="auto"/>
        <w:jc w:val="center"/>
        <w:outlineLvl w:val="1"/>
        <w:rPr>
          <w:rFonts w:hint="eastAsia" w:ascii="宋体" w:hAnsi="宋体" w:eastAsia="宋体" w:cs="宋体"/>
          <w:color w:val="auto"/>
          <w:sz w:val="24"/>
          <w:szCs w:val="24"/>
          <w:highlight w:val="none"/>
          <w:lang w:eastAsia="zh-CN"/>
        </w:rPr>
      </w:pPr>
      <w:bookmarkStart w:id="449" w:name="_Toc5654"/>
      <w:r>
        <w:rPr>
          <w:rFonts w:hint="eastAsia" w:ascii="宋体" w:hAnsi="宋体" w:cs="宋体"/>
          <w:b/>
          <w:bCs/>
          <w:color w:val="auto"/>
          <w:kern w:val="0"/>
          <w:sz w:val="24"/>
          <w:szCs w:val="24"/>
          <w:highlight w:val="none"/>
          <w:lang w:val="en-US" w:eastAsia="zh-CN"/>
        </w:rPr>
        <w:t>八</w:t>
      </w:r>
      <w:r>
        <w:rPr>
          <w:rFonts w:hint="eastAsia"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声明函</w:t>
      </w:r>
      <w:bookmarkEnd w:id="449"/>
    </w:p>
    <w:p w14:paraId="58C04494">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中小企业声明函（工程、服务）</w:t>
      </w:r>
    </w:p>
    <w:p w14:paraId="67731FF3">
      <w:pPr>
        <w:spacing w:line="360" w:lineRule="auto"/>
        <w:ind w:firstLine="480" w:firstLineChars="200"/>
        <w:rPr>
          <w:rFonts w:hint="eastAsia" w:ascii="宋体" w:hAnsi="宋体" w:cs="宋体"/>
          <w:color w:val="auto"/>
          <w:sz w:val="24"/>
          <w:szCs w:val="24"/>
          <w:highlight w:val="none"/>
        </w:rPr>
      </w:pPr>
    </w:p>
    <w:p w14:paraId="47DEFB0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（单位名称）的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（项目名称）采购活动，工程的施工单位全部为符合政策要求的中小企业（或者：服务全部由符合政策要求的中小企业承接）。相关企业（含联合 体中的中小企业、签订分包意向协议的中小企业）的具体情况如下：</w:t>
      </w:r>
    </w:p>
    <w:p w14:paraId="33E3CFE0">
      <w:pPr>
        <w:numPr>
          <w:ilvl w:val="0"/>
          <w:numId w:val="10"/>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rPr>
        <w:t>；承建（承接）企业为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14:paraId="14376C5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rPr>
        <w:t>；承建（承接）企业为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14:paraId="41FA175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3B7E8D2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42B2C33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0D035C06">
      <w:pPr>
        <w:spacing w:line="360" w:lineRule="auto"/>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企业名称（盖单位公章）：</w:t>
      </w:r>
    </w:p>
    <w:p w14:paraId="3248A0BB">
      <w:pPr>
        <w:spacing w:line="360" w:lineRule="auto"/>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p>
    <w:p w14:paraId="6D95D0C1">
      <w:pPr>
        <w:pStyle w:val="9"/>
        <w:wordWrap w:val="0"/>
        <w:snapToGrid w:val="0"/>
        <w:spacing w:after="0" w:line="288" w:lineRule="auto"/>
        <w:ind w:firstLine="480" w:firstLineChars="200"/>
        <w:jc w:val="left"/>
        <w:outlineLvl w:val="9"/>
        <w:rPr>
          <w:rFonts w:hint="eastAsia" w:ascii="宋体" w:hAnsi="宋体" w:cs="宋体"/>
          <w:b w:val="0"/>
          <w:bCs/>
          <w:snapToGrid w:val="0"/>
          <w:color w:val="auto"/>
          <w:sz w:val="24"/>
          <w:szCs w:val="24"/>
          <w:highlight w:val="none"/>
        </w:rPr>
      </w:pPr>
    </w:p>
    <w:p w14:paraId="7409B069">
      <w:pPr>
        <w:pStyle w:val="9"/>
        <w:wordWrap w:val="0"/>
        <w:snapToGrid w:val="0"/>
        <w:spacing w:after="0" w:line="288" w:lineRule="auto"/>
        <w:ind w:firstLine="480" w:firstLineChars="200"/>
        <w:jc w:val="left"/>
        <w:outlineLvl w:val="9"/>
        <w:rPr>
          <w:rFonts w:hint="eastAsia" w:ascii="宋体" w:hAnsi="宋体" w:cs="宋体"/>
          <w:b w:val="0"/>
          <w:bCs/>
          <w:snapToGrid w:val="0"/>
          <w:color w:val="auto"/>
          <w:sz w:val="24"/>
          <w:szCs w:val="24"/>
          <w:highlight w:val="none"/>
        </w:rPr>
      </w:pPr>
    </w:p>
    <w:p w14:paraId="05037445">
      <w:pPr>
        <w:spacing w:line="588" w:lineRule="exact"/>
        <w:jc w:val="center"/>
        <w:rPr>
          <w:rFonts w:hint="eastAsia" w:ascii="宋体" w:hAnsi="宋体" w:eastAsia="宋体" w:cs="宋体"/>
          <w:bCs/>
          <w:color w:val="auto"/>
          <w:sz w:val="24"/>
          <w:szCs w:val="24"/>
          <w:highlight w:val="none"/>
        </w:rPr>
      </w:pPr>
      <w:bookmarkStart w:id="450" w:name="_Toc1941"/>
    </w:p>
    <w:p w14:paraId="1C689D5E">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2184C721">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监狱企业的证明文件</w:t>
      </w:r>
      <w:bookmarkEnd w:id="450"/>
    </w:p>
    <w:p w14:paraId="24289DDC">
      <w:pPr>
        <w:pStyle w:val="95"/>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rPr>
      </w:pPr>
    </w:p>
    <w:p w14:paraId="2D42B9A9">
      <w:pPr>
        <w:pStyle w:val="95"/>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说明：监狱企业参加政府采购活动时，应当提供省级以上监狱管理局、戒毒管理局（含新疆生产建设兵团）出具的属于监狱企业的证明文件。</w:t>
      </w:r>
    </w:p>
    <w:p w14:paraId="7FDFB04C">
      <w:pPr>
        <w:keepNext w:val="0"/>
        <w:keepLines w:val="0"/>
        <w:pageBreakBefore w:val="0"/>
        <w:widowControl w:val="0"/>
        <w:kinsoku/>
        <w:wordWrap w:val="0"/>
        <w:overflowPunct/>
        <w:topLinePunct w:val="0"/>
        <w:autoSpaceDE/>
        <w:autoSpaceDN/>
        <w:bidi w:val="0"/>
        <w:adjustRightInd/>
        <w:spacing w:line="360" w:lineRule="auto"/>
        <w:jc w:val="right"/>
        <w:textAlignment w:val="auto"/>
        <w:rPr>
          <w:rFonts w:hint="eastAsia" w:ascii="宋体" w:hAnsi="宋体" w:eastAsia="宋体" w:cs="宋体"/>
          <w:color w:val="auto"/>
          <w:sz w:val="24"/>
          <w:szCs w:val="24"/>
          <w:highlight w:val="none"/>
        </w:rPr>
      </w:pPr>
    </w:p>
    <w:p w14:paraId="4D3B1F97">
      <w:pPr>
        <w:keepNext w:val="0"/>
        <w:keepLines w:val="0"/>
        <w:pageBreakBefore w:val="0"/>
        <w:widowControl w:val="0"/>
        <w:kinsoku/>
        <w:wordWrap w:val="0"/>
        <w:overflowPunct/>
        <w:topLinePunct w:val="0"/>
        <w:autoSpaceDE/>
        <w:autoSpaceDN/>
        <w:bidi w:val="0"/>
        <w:adjustRightInd/>
        <w:spacing w:line="360" w:lineRule="auto"/>
        <w:jc w:val="right"/>
        <w:textAlignment w:val="auto"/>
        <w:rPr>
          <w:rFonts w:hint="eastAsia" w:ascii="宋体" w:hAnsi="宋体" w:eastAsia="宋体" w:cs="宋体"/>
          <w:color w:val="auto"/>
          <w:sz w:val="24"/>
          <w:szCs w:val="24"/>
          <w:highlight w:val="none"/>
        </w:rPr>
      </w:pPr>
    </w:p>
    <w:p w14:paraId="655F0BD6">
      <w:pPr>
        <w:keepNext w:val="0"/>
        <w:keepLines w:val="0"/>
        <w:pageBreakBefore w:val="0"/>
        <w:widowControl w:val="0"/>
        <w:kinsoku/>
        <w:overflowPunct/>
        <w:topLinePunct w:val="0"/>
        <w:autoSpaceDE/>
        <w:autoSpaceDN/>
        <w:bidi w:val="0"/>
        <w:adjustRightInd/>
        <w:spacing w:line="360" w:lineRule="auto"/>
        <w:ind w:firstLine="720" w:firstLineChars="300"/>
        <w:jc w:val="righ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（企业公章）</w:t>
      </w:r>
    </w:p>
    <w:p w14:paraId="635BB996">
      <w:pPr>
        <w:keepNext w:val="0"/>
        <w:keepLines w:val="0"/>
        <w:pageBreakBefore w:val="0"/>
        <w:widowControl w:val="0"/>
        <w:kinsoku/>
        <w:overflowPunct/>
        <w:topLinePunct w:val="0"/>
        <w:autoSpaceDE/>
        <w:autoSpaceDN/>
        <w:bidi w:val="0"/>
        <w:adjustRightInd/>
        <w:spacing w:line="360" w:lineRule="auto"/>
        <w:jc w:val="right"/>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日      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202E1FDB">
      <w:pPr>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p>
    <w:p w14:paraId="1C1B4256">
      <w:pPr>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p>
    <w:p w14:paraId="491BF9C9">
      <w:pPr>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p>
    <w:p w14:paraId="3E092512">
      <w:pPr>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eastAsia="宋体" w:cs="宋体"/>
          <w:bCs/>
          <w:color w:val="auto"/>
          <w:sz w:val="24"/>
          <w:szCs w:val="24"/>
          <w:highlight w:val="none"/>
        </w:rPr>
      </w:pPr>
      <w:bookmarkStart w:id="451" w:name="_Toc15357"/>
      <w:r>
        <w:rPr>
          <w:rFonts w:hint="eastAsia" w:ascii="宋体" w:hAnsi="宋体" w:eastAsia="宋体" w:cs="宋体"/>
          <w:bCs/>
          <w:color w:val="auto"/>
          <w:sz w:val="24"/>
          <w:szCs w:val="24"/>
          <w:highlight w:val="none"/>
        </w:rPr>
        <w:br w:type="page"/>
      </w:r>
    </w:p>
    <w:p w14:paraId="2608AC21">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残疾人福利性单位声明函</w:t>
      </w:r>
      <w:bookmarkEnd w:id="451"/>
    </w:p>
    <w:p w14:paraId="19525BFC">
      <w:pPr>
        <w:pStyle w:val="43"/>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p>
    <w:p w14:paraId="54935B38">
      <w:pPr>
        <w:keepNext w:val="0"/>
        <w:keepLines w:val="0"/>
        <w:pageBreakBefore w:val="0"/>
        <w:widowControl w:val="0"/>
        <w:kinsoku/>
        <w:overflowPunct/>
        <w:topLinePunct w:val="0"/>
        <w:autoSpaceDE/>
        <w:autoSpaceDN/>
        <w:bidi w:val="0"/>
        <w:adjustRightInd/>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______</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36AF1C60">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9EA0D7">
      <w:pPr>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p>
    <w:p w14:paraId="3E455A6F">
      <w:pPr>
        <w:keepNext w:val="0"/>
        <w:keepLines w:val="0"/>
        <w:pageBreakBefore w:val="0"/>
        <w:widowControl w:val="0"/>
        <w:kinsoku/>
        <w:overflowPunct/>
        <w:topLinePunct w:val="0"/>
        <w:autoSpaceDE/>
        <w:autoSpaceDN/>
        <w:bidi w:val="0"/>
        <w:adjustRightInd/>
        <w:spacing w:line="360" w:lineRule="auto"/>
        <w:jc w:val="right"/>
        <w:textAlignment w:val="auto"/>
        <w:rPr>
          <w:rFonts w:hint="eastAsia" w:ascii="宋体" w:hAnsi="宋体" w:eastAsia="宋体" w:cs="宋体"/>
          <w:color w:val="auto"/>
          <w:sz w:val="24"/>
          <w:szCs w:val="24"/>
          <w:highlight w:val="none"/>
        </w:rPr>
      </w:pPr>
    </w:p>
    <w:p w14:paraId="142C4B6C">
      <w:pPr>
        <w:keepNext w:val="0"/>
        <w:keepLines w:val="0"/>
        <w:pageBreakBefore w:val="0"/>
        <w:widowControl w:val="0"/>
        <w:kinsoku/>
        <w:overflowPunct/>
        <w:topLinePunct w:val="0"/>
        <w:autoSpaceDE/>
        <w:autoSpaceDN/>
        <w:bidi w:val="0"/>
        <w:adjustRightInd/>
        <w:spacing w:line="360" w:lineRule="auto"/>
        <w:ind w:firstLine="720" w:firstLineChars="300"/>
        <w:jc w:val="righ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（企业公章）</w:t>
      </w:r>
    </w:p>
    <w:p w14:paraId="2757DA38">
      <w:pPr>
        <w:pStyle w:val="48"/>
        <w:keepNext w:val="0"/>
        <w:keepLines w:val="0"/>
        <w:pageBreakBefore w:val="0"/>
        <w:widowControl w:val="0"/>
        <w:kinsoku/>
        <w:wordWrap w:val="0"/>
        <w:overflowPunct/>
        <w:topLinePunct w:val="0"/>
        <w:autoSpaceDE/>
        <w:autoSpaceDN/>
        <w:bidi w:val="0"/>
        <w:adjustRightInd/>
        <w:spacing w:line="360" w:lineRule="auto"/>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日 期：    年     月    日</w:t>
      </w:r>
    </w:p>
    <w:p w14:paraId="35B258EB">
      <w:pPr>
        <w:pStyle w:val="48"/>
        <w:wordWrap w:val="0"/>
        <w:spacing w:line="360" w:lineRule="auto"/>
        <w:jc w:val="center"/>
        <w:outlineLvl w:val="1"/>
        <w:rPr>
          <w:rFonts w:hint="eastAsia" w:ascii="宋体" w:hAnsi="宋体" w:cs="宋体"/>
          <w:b/>
          <w:bCs/>
          <w:color w:val="auto"/>
          <w:kern w:val="0"/>
          <w:sz w:val="24"/>
          <w:szCs w:val="24"/>
          <w:highlight w:val="none"/>
          <w:lang w:val="en-US" w:eastAsia="zh-CN"/>
        </w:rPr>
      </w:pPr>
    </w:p>
    <w:p w14:paraId="71A8EDAC">
      <w:pPr>
        <w:pStyle w:val="48"/>
        <w:wordWrap w:val="0"/>
        <w:spacing w:line="360" w:lineRule="auto"/>
        <w:jc w:val="center"/>
        <w:outlineLvl w:val="1"/>
        <w:rPr>
          <w:rFonts w:hint="eastAsia" w:ascii="宋体" w:hAnsi="宋体" w:cs="宋体"/>
          <w:b/>
          <w:bCs/>
          <w:color w:val="auto"/>
          <w:kern w:val="0"/>
          <w:sz w:val="24"/>
          <w:szCs w:val="24"/>
          <w:highlight w:val="none"/>
          <w:lang w:val="en-US" w:eastAsia="zh-CN"/>
        </w:rPr>
      </w:pPr>
    </w:p>
    <w:p w14:paraId="7A562505">
      <w:pPr>
        <w:pStyle w:val="48"/>
        <w:wordWrap w:val="0"/>
        <w:spacing w:line="360" w:lineRule="auto"/>
        <w:jc w:val="center"/>
        <w:outlineLvl w:val="1"/>
        <w:rPr>
          <w:rFonts w:hint="eastAsia" w:ascii="宋体" w:hAnsi="宋体" w:cs="宋体"/>
          <w:b/>
          <w:bCs/>
          <w:color w:val="auto"/>
          <w:kern w:val="0"/>
          <w:sz w:val="24"/>
          <w:szCs w:val="24"/>
          <w:highlight w:val="none"/>
          <w:lang w:val="en-US" w:eastAsia="zh-CN"/>
        </w:rPr>
      </w:pPr>
    </w:p>
    <w:p w14:paraId="36024AE8">
      <w:pPr>
        <w:pStyle w:val="48"/>
        <w:wordWrap w:val="0"/>
        <w:spacing w:line="360" w:lineRule="auto"/>
        <w:jc w:val="center"/>
        <w:outlineLvl w:val="1"/>
        <w:rPr>
          <w:rFonts w:hint="eastAsia" w:ascii="宋体" w:hAnsi="宋体" w:cs="宋体"/>
          <w:b/>
          <w:bCs/>
          <w:color w:val="auto"/>
          <w:kern w:val="0"/>
          <w:sz w:val="24"/>
          <w:szCs w:val="24"/>
          <w:highlight w:val="none"/>
          <w:lang w:val="en-US" w:eastAsia="zh-CN"/>
        </w:rPr>
      </w:pPr>
    </w:p>
    <w:p w14:paraId="1ADBEE4B">
      <w:pPr>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br w:type="page"/>
      </w:r>
    </w:p>
    <w:p w14:paraId="1835DF12">
      <w:pPr>
        <w:pStyle w:val="48"/>
        <w:wordWrap w:val="0"/>
        <w:spacing w:line="360" w:lineRule="auto"/>
        <w:jc w:val="center"/>
        <w:outlineLvl w:val="1"/>
        <w:rPr>
          <w:rFonts w:hint="eastAsia" w:ascii="宋体" w:hAnsi="宋体" w:cs="宋体"/>
          <w:b/>
          <w:bCs/>
          <w:color w:val="auto"/>
          <w:kern w:val="0"/>
          <w:sz w:val="24"/>
          <w:szCs w:val="24"/>
          <w:highlight w:val="none"/>
          <w:lang w:val="en-US" w:eastAsia="zh-CN"/>
        </w:rPr>
      </w:pPr>
    </w:p>
    <w:p w14:paraId="493586B2">
      <w:pPr>
        <w:pStyle w:val="48"/>
        <w:wordWrap w:val="0"/>
        <w:spacing w:line="360" w:lineRule="auto"/>
        <w:jc w:val="center"/>
        <w:outlineLvl w:val="1"/>
        <w:rPr>
          <w:rFonts w:hint="eastAsia" w:ascii="宋体" w:hAnsi="宋体" w:cs="宋体"/>
          <w:color w:val="auto"/>
          <w:sz w:val="24"/>
          <w:szCs w:val="24"/>
          <w:highlight w:val="none"/>
        </w:rPr>
      </w:pPr>
      <w:bookmarkStart w:id="452" w:name="_Toc19066"/>
      <w:r>
        <w:rPr>
          <w:rFonts w:hint="eastAsia" w:ascii="宋体" w:hAnsi="宋体" w:cs="宋体"/>
          <w:b/>
          <w:bCs/>
          <w:color w:val="auto"/>
          <w:kern w:val="0"/>
          <w:sz w:val="24"/>
          <w:szCs w:val="24"/>
          <w:highlight w:val="none"/>
          <w:lang w:val="en-US" w:eastAsia="zh-CN"/>
        </w:rPr>
        <w:t>九</w:t>
      </w:r>
      <w:r>
        <w:rPr>
          <w:rFonts w:hint="eastAsia" w:ascii="宋体" w:hAnsi="宋体" w:cs="宋体"/>
          <w:b/>
          <w:bCs/>
          <w:color w:val="auto"/>
          <w:kern w:val="0"/>
          <w:sz w:val="24"/>
          <w:szCs w:val="24"/>
          <w:highlight w:val="none"/>
        </w:rPr>
        <w:t>、其他资料</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52"/>
    </w:p>
    <w:p w14:paraId="29FACF2D">
      <w:pPr>
        <w:wordWrap w:val="0"/>
        <w:autoSpaceDE w:val="0"/>
        <w:autoSpaceDN w:val="0"/>
        <w:spacing w:line="360" w:lineRule="auto"/>
        <w:ind w:firstLine="555"/>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包含但不限于以下内容：</w:t>
      </w:r>
    </w:p>
    <w:p w14:paraId="5E7E88A0">
      <w:pPr>
        <w:wordWrap w:val="0"/>
        <w:autoSpaceDE w:val="0"/>
        <w:autoSpaceDN w:val="0"/>
        <w:spacing w:line="360" w:lineRule="auto"/>
        <w:ind w:firstLine="555"/>
        <w:rPr>
          <w:rFonts w:hint="eastAsia" w:ascii="宋体" w:hAnsi="宋体" w:eastAsia="宋体" w:cs="宋体"/>
          <w:snapToGrid w:val="0"/>
          <w:color w:val="auto"/>
          <w:sz w:val="24"/>
          <w:szCs w:val="24"/>
          <w:highlight w:val="none"/>
          <w:lang w:eastAsia="zh-CN"/>
        </w:rPr>
      </w:pPr>
      <w:bookmarkStart w:id="453" w:name="_bookmark173"/>
      <w:bookmarkEnd w:id="453"/>
      <w:r>
        <w:rPr>
          <w:rFonts w:hint="eastAsia" w:ascii="宋体" w:hAnsi="宋体" w:cs="宋体"/>
          <w:snapToGrid w:val="0"/>
          <w:color w:val="auto"/>
          <w:sz w:val="24"/>
          <w:szCs w:val="24"/>
          <w:highlight w:val="none"/>
          <w:lang w:eastAsia="zh-CN"/>
        </w:rPr>
        <w:t>1</w:t>
      </w:r>
      <w:r>
        <w:rPr>
          <w:rFonts w:hint="eastAsia" w:ascii="宋体" w:hAnsi="宋体" w:cs="宋体"/>
          <w:snapToGrid w:val="0"/>
          <w:color w:val="auto"/>
          <w:sz w:val="24"/>
          <w:szCs w:val="24"/>
          <w:highlight w:val="none"/>
        </w:rPr>
        <w:t>.投标承诺</w:t>
      </w:r>
      <w:r>
        <w:rPr>
          <w:rFonts w:hint="eastAsia" w:ascii="宋体" w:hAnsi="宋体" w:cs="宋体"/>
          <w:snapToGrid w:val="0"/>
          <w:color w:val="auto"/>
          <w:sz w:val="24"/>
          <w:szCs w:val="24"/>
          <w:highlight w:val="none"/>
          <w:lang w:val="en-US" w:eastAsia="zh-CN"/>
        </w:rPr>
        <w:t>函</w:t>
      </w:r>
    </w:p>
    <w:p w14:paraId="65F774A6">
      <w:pPr>
        <w:spacing w:line="360" w:lineRule="auto"/>
        <w:jc w:val="center"/>
        <w:rPr>
          <w:rFonts w:ascii="宋体" w:hAnsi="宋体" w:cs="宋体"/>
          <w:b/>
          <w:bCs/>
          <w:color w:val="auto"/>
          <w:sz w:val="24"/>
          <w:szCs w:val="24"/>
          <w:highlight w:val="none"/>
        </w:rPr>
      </w:pPr>
      <w:bookmarkStart w:id="454" w:name="_Toc355809725"/>
      <w:bookmarkStart w:id="455" w:name="_Toc20487"/>
      <w:bookmarkStart w:id="456" w:name="_Toc339972632"/>
      <w:r>
        <w:rPr>
          <w:rFonts w:hint="eastAsia" w:ascii="宋体" w:hAnsi="宋体" w:cs="宋体"/>
          <w:b/>
          <w:bCs/>
          <w:color w:val="auto"/>
          <w:sz w:val="24"/>
          <w:szCs w:val="24"/>
          <w:highlight w:val="none"/>
        </w:rPr>
        <w:t>投标承诺函</w:t>
      </w:r>
    </w:p>
    <w:p w14:paraId="3103C71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致（采购人及采购代理机构）：</w:t>
      </w:r>
    </w:p>
    <w:p w14:paraId="06F8455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我公司作为本次采购项目的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，根据招标文件要求，现郑重承诺如下：</w:t>
      </w:r>
    </w:p>
    <w:p w14:paraId="0DD4A3E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一、具备《中华人民共和国政府采购法》第二十二条第一款和本项目规定的条件：</w:t>
      </w:r>
    </w:p>
    <w:p w14:paraId="716390B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（一）具有独立承担民事责任的能力；</w:t>
      </w:r>
    </w:p>
    <w:p w14:paraId="4D7026F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（二）具有良好的商业信誉和健全的财务会计制度；</w:t>
      </w:r>
    </w:p>
    <w:p w14:paraId="7DE21F1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（三）具有履行合同所必需的设备和专业技术能力；</w:t>
      </w:r>
    </w:p>
    <w:p w14:paraId="7BDF737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（四）有依法缴纳税收和社会保障资金的良好记录；</w:t>
      </w:r>
    </w:p>
    <w:p w14:paraId="62D8384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（五）参加政府采购活动前三年内，在经营活动中没有重大违法记录；</w:t>
      </w:r>
    </w:p>
    <w:p w14:paraId="59E45D1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（六）法律、行政法规规定的其他条件；</w:t>
      </w:r>
    </w:p>
    <w:p w14:paraId="153FA9D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（七）根据采购项目提出的特殊条件。</w:t>
      </w:r>
    </w:p>
    <w:p w14:paraId="6DE345F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63A7431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三、参加本次招标采购活动，不存在与单位负责人为同一人或者存在直接控股、管理关系的其他</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参与同一合同项下的政府采购活动的行为。</w:t>
      </w:r>
    </w:p>
    <w:p w14:paraId="35F1ACB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四、参加本次招标采购活动，不存在和其他</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在同一合同项下的采购项目中，同时委托同一个自然人、同一家庭的人员、同一单位的人员作为代理人的行为。</w:t>
      </w:r>
    </w:p>
    <w:p w14:paraId="5ED7B69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参加本次政府采购活动要求在近三年内</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和其法定代表人没有行贿犯罪行为。</w:t>
      </w:r>
    </w:p>
    <w:p w14:paraId="6618E27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、参加本次招标采购活动，不存在联合体投标。</w:t>
      </w:r>
    </w:p>
    <w:p w14:paraId="2D8973C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、投标文件中提供的能够给予我公司带来优惠、好处的任何材料资料和技术、服务、商务等响应承诺情况都是真实的、有效的、合法的。</w:t>
      </w:r>
    </w:p>
    <w:p w14:paraId="46A2597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4926243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、存在以下行为之一的愿意接受相关部门的处理：</w:t>
      </w:r>
    </w:p>
    <w:p w14:paraId="71DCBA7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（一）投标有效期内撤销投标文件的；</w:t>
      </w:r>
    </w:p>
    <w:p w14:paraId="315AA00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（二）在采购人确定中标人以前放弃中标候选资格的；</w:t>
      </w:r>
    </w:p>
    <w:p w14:paraId="3D9E91D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（三）由于中标人的原因未能按照招标文件的规定与采购人签订合同；</w:t>
      </w:r>
    </w:p>
    <w:p w14:paraId="46AA8C8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（四）由于中标人的原因未能按照招标文件的规定交纳履约保证金；</w:t>
      </w:r>
    </w:p>
    <w:p w14:paraId="1234310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（五）在投标文件中提供虚假材料谋取中标；</w:t>
      </w:r>
    </w:p>
    <w:p w14:paraId="187E1F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（六）与采购人、其他</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或者采购代理机构恶意串通的；</w:t>
      </w:r>
    </w:p>
    <w:p w14:paraId="3808BD6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（七）投标有效期内，</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在政府采购活动中有违法、违规、违纪行为。</w:t>
      </w:r>
    </w:p>
    <w:p w14:paraId="5486BAD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由此产生的一切法律后果和责任由我公司承担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我公司声明放弃对此提出任何异议和追索的权利</w:t>
      </w:r>
      <w:r>
        <w:rPr>
          <w:rFonts w:hint="eastAsia" w:ascii="宋体" w:hAnsi="宋体" w:cs="宋体"/>
          <w:color w:val="auto"/>
          <w:sz w:val="24"/>
          <w:szCs w:val="24"/>
          <w:highlight w:val="none"/>
          <w:lang w:eastAsia="zh-CN"/>
        </w:rPr>
        <w:t>；</w:t>
      </w:r>
    </w:p>
    <w:p w14:paraId="2CF9F019">
      <w:pPr>
        <w:pStyle w:val="43"/>
        <w:spacing w:line="360" w:lineRule="auto"/>
        <w:ind w:firstLine="480" w:firstLineChars="200"/>
        <w:jc w:val="both"/>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十、我公司接受合同条款中的全部内容；</w:t>
      </w:r>
    </w:p>
    <w:p w14:paraId="175AB81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本公司对上述承诺的内容事项真实性负责。如经查实上述承诺的内容事项存在虚假，我公司愿意接受以提供虚假材料谋取中标追究法律责任。</w:t>
      </w:r>
    </w:p>
    <w:p w14:paraId="39BF21B3">
      <w:pPr>
        <w:spacing w:line="360" w:lineRule="auto"/>
        <w:ind w:firstLine="480" w:firstLineChars="200"/>
        <w:rPr>
          <w:rFonts w:ascii="宋体" w:hAnsi="宋体" w:cs="宋体"/>
          <w:color w:val="auto"/>
          <w:sz w:val="24"/>
          <w:szCs w:val="24"/>
          <w:highlight w:val="none"/>
        </w:rPr>
      </w:pPr>
    </w:p>
    <w:p w14:paraId="0250AC38">
      <w:pPr>
        <w:spacing w:line="360" w:lineRule="auto"/>
        <w:ind w:firstLine="480" w:firstLineChars="200"/>
        <w:rPr>
          <w:rFonts w:ascii="宋体" w:hAnsi="宋体" w:cs="宋体"/>
          <w:color w:val="auto"/>
          <w:sz w:val="24"/>
          <w:szCs w:val="24"/>
          <w:highlight w:val="none"/>
        </w:rPr>
      </w:pPr>
    </w:p>
    <w:p w14:paraId="20F23E5E">
      <w:pPr>
        <w:spacing w:line="360" w:lineRule="auto"/>
        <w:ind w:firstLine="1920" w:firstLineChars="800"/>
        <w:jc w:val="righ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（盖单位公章）</w:t>
      </w:r>
    </w:p>
    <w:p w14:paraId="38A81BC0">
      <w:pPr>
        <w:spacing w:line="360" w:lineRule="auto"/>
        <w:ind w:firstLine="1920" w:firstLineChars="800"/>
        <w:jc w:val="righ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78E6D331">
      <w:pPr>
        <w:spacing w:line="360" w:lineRule="auto"/>
        <w:ind w:firstLine="1920" w:firstLineChars="800"/>
        <w:jc w:val="righ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224CBCCB">
      <w:pPr>
        <w:rPr>
          <w:rFonts w:ascii="宋体" w:hAnsi="宋体" w:cs="宋体"/>
          <w:color w:val="auto"/>
          <w:sz w:val="24"/>
          <w:szCs w:val="24"/>
          <w:highlight w:val="none"/>
        </w:rPr>
      </w:pPr>
    </w:p>
    <w:p w14:paraId="2CECC085">
      <w:pPr>
        <w:spacing w:line="240" w:lineRule="auto"/>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342D2D27">
      <w:pPr>
        <w:wordWrap w:val="0"/>
        <w:autoSpaceDE w:val="0"/>
        <w:autoSpaceDN w:val="0"/>
        <w:spacing w:line="360" w:lineRule="auto"/>
        <w:ind w:firstLine="555"/>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lang w:eastAsia="zh-CN"/>
        </w:rPr>
        <w:t>2</w:t>
      </w:r>
      <w:r>
        <w:rPr>
          <w:rFonts w:hint="eastAsia" w:ascii="宋体" w:hAnsi="宋体" w:cs="宋体"/>
          <w:snapToGrid w:val="0"/>
          <w:color w:val="auto"/>
          <w:sz w:val="24"/>
          <w:szCs w:val="24"/>
          <w:highlight w:val="none"/>
        </w:rPr>
        <w:t>.反商业贿赂承诺书</w:t>
      </w:r>
    </w:p>
    <w:p w14:paraId="2EF1B52A">
      <w:pPr>
        <w:spacing w:line="360" w:lineRule="auto"/>
        <w:jc w:val="center"/>
        <w:rPr>
          <w:rFonts w:hint="eastAsia" w:ascii="宋体" w:hAnsi="宋体" w:cs="宋体"/>
          <w:b/>
          <w:bCs/>
          <w:color w:val="auto"/>
          <w:sz w:val="24"/>
          <w:szCs w:val="24"/>
          <w:highlight w:val="none"/>
        </w:rPr>
      </w:pPr>
    </w:p>
    <w:p w14:paraId="3DDE9688">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反商业贿赂承诺书</w:t>
      </w:r>
      <w:bookmarkEnd w:id="454"/>
      <w:bookmarkEnd w:id="455"/>
      <w:bookmarkEnd w:id="456"/>
    </w:p>
    <w:p w14:paraId="7817C68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我公司承诺：</w:t>
      </w:r>
    </w:p>
    <w:p w14:paraId="7F2F5221">
      <w:pPr>
        <w:spacing w:line="360" w:lineRule="auto"/>
        <w:ind w:firstLine="555"/>
        <w:rPr>
          <w:rFonts w:hint="eastAsia" w:ascii="宋体" w:hAnsi="宋体" w:cs="宋体"/>
          <w:color w:val="auto"/>
          <w:sz w:val="24"/>
          <w:szCs w:val="24"/>
          <w:highlight w:val="none"/>
        </w:rPr>
      </w:pPr>
      <w:r>
        <w:rPr>
          <w:rFonts w:hint="eastAsia" w:ascii="宋体" w:hAnsi="宋体" w:cs="宋体"/>
          <w:color w:val="auto"/>
          <w:sz w:val="24"/>
          <w:szCs w:val="24"/>
          <w:highlight w:val="none"/>
        </w:rPr>
        <w:t>在</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（采购项目名称）</w:t>
      </w:r>
      <w:r>
        <w:rPr>
          <w:rFonts w:hint="eastAsia" w:ascii="宋体" w:hAnsi="宋体" w:cs="宋体"/>
          <w:color w:val="auto"/>
          <w:sz w:val="24"/>
          <w:szCs w:val="24"/>
          <w:highlight w:val="none"/>
        </w:rPr>
        <w:t>采购活动中，我公司保证做到：</w:t>
      </w:r>
    </w:p>
    <w:p w14:paraId="3B86667F">
      <w:pPr>
        <w:spacing w:line="360" w:lineRule="auto"/>
        <w:ind w:firstLine="555"/>
        <w:rPr>
          <w:rFonts w:hint="eastAsia" w:ascii="宋体" w:hAnsi="宋体" w:cs="宋体"/>
          <w:color w:val="auto"/>
          <w:sz w:val="24"/>
          <w:szCs w:val="24"/>
          <w:highlight w:val="none"/>
        </w:rPr>
      </w:pPr>
      <w:r>
        <w:rPr>
          <w:rFonts w:ascii="宋体" w:hAnsi="宋体" w:cs="宋体"/>
          <w:color w:val="auto"/>
          <w:sz w:val="24"/>
          <w:szCs w:val="24"/>
          <w:highlight w:val="none"/>
        </w:rPr>
        <w:t xml:space="preserve">1. </w:t>
      </w:r>
      <w:r>
        <w:rPr>
          <w:rFonts w:hint="eastAsia" w:ascii="宋体" w:hAnsi="宋体" w:cs="宋体"/>
          <w:color w:val="auto"/>
          <w:sz w:val="24"/>
          <w:szCs w:val="24"/>
          <w:highlight w:val="none"/>
        </w:rPr>
        <w:t>公平竞争参加本次采购活动。</w:t>
      </w:r>
    </w:p>
    <w:p w14:paraId="2B0A9E46">
      <w:pPr>
        <w:spacing w:line="360" w:lineRule="auto"/>
        <w:ind w:firstLine="556"/>
        <w:rPr>
          <w:rFonts w:hint="eastAsia" w:ascii="宋体" w:hAnsi="宋体" w:cs="宋体"/>
          <w:color w:val="auto"/>
          <w:sz w:val="24"/>
          <w:szCs w:val="24"/>
          <w:highlight w:val="none"/>
        </w:rPr>
      </w:pPr>
      <w:r>
        <w:rPr>
          <w:rFonts w:ascii="宋体" w:hAnsi="宋体" w:cs="宋体"/>
          <w:color w:val="auto"/>
          <w:sz w:val="24"/>
          <w:szCs w:val="24"/>
          <w:highlight w:val="none"/>
        </w:rPr>
        <w:t xml:space="preserve">2. </w:t>
      </w:r>
      <w:r>
        <w:rPr>
          <w:rFonts w:hint="eastAsia" w:ascii="宋体" w:hAnsi="宋体" w:cs="宋体"/>
          <w:color w:val="auto"/>
          <w:sz w:val="24"/>
          <w:szCs w:val="24"/>
          <w:highlight w:val="none"/>
        </w:rPr>
        <w:t>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2B45FC0">
      <w:pPr>
        <w:spacing w:line="360" w:lineRule="auto"/>
        <w:ind w:firstLine="556"/>
        <w:rPr>
          <w:rFonts w:hint="eastAsia" w:ascii="宋体" w:hAnsi="宋体" w:cs="宋体"/>
          <w:color w:val="auto"/>
          <w:sz w:val="24"/>
          <w:szCs w:val="24"/>
          <w:highlight w:val="none"/>
        </w:rPr>
      </w:pPr>
      <w:r>
        <w:rPr>
          <w:rFonts w:ascii="宋体" w:hAnsi="宋体" w:cs="宋体"/>
          <w:color w:val="auto"/>
          <w:sz w:val="24"/>
          <w:szCs w:val="24"/>
          <w:highlight w:val="none"/>
        </w:rPr>
        <w:t xml:space="preserve">3. </w:t>
      </w:r>
      <w:r>
        <w:rPr>
          <w:rFonts w:hint="eastAsia" w:ascii="宋体" w:hAnsi="宋体" w:cs="宋体"/>
          <w:color w:val="auto"/>
          <w:sz w:val="24"/>
          <w:szCs w:val="24"/>
          <w:highlight w:val="none"/>
        </w:rPr>
        <w:t>若出现上述行为，我公司及参与投标的工作人员愿意接受按照国家法律法规等有关规定给予的处罚。</w:t>
      </w:r>
    </w:p>
    <w:p w14:paraId="16803452">
      <w:pPr>
        <w:spacing w:line="360" w:lineRule="auto"/>
        <w:ind w:firstLine="555"/>
        <w:rPr>
          <w:rFonts w:hint="eastAsia" w:ascii="宋体" w:hAnsi="宋体" w:cs="宋体"/>
          <w:color w:val="auto"/>
          <w:sz w:val="24"/>
          <w:szCs w:val="24"/>
          <w:highlight w:val="none"/>
        </w:rPr>
      </w:pPr>
      <w:r>
        <w:rPr>
          <w:rFonts w:ascii="宋体" w:hAnsi="宋体" w:cs="宋体"/>
          <w:color w:val="auto"/>
          <w:sz w:val="24"/>
          <w:szCs w:val="24"/>
          <w:highlight w:val="none"/>
        </w:rPr>
        <w:t xml:space="preserve">  </w:t>
      </w:r>
    </w:p>
    <w:p w14:paraId="2E9C57A7">
      <w:pPr>
        <w:spacing w:line="360" w:lineRule="auto"/>
        <w:ind w:firstLine="555"/>
        <w:rPr>
          <w:rFonts w:hint="eastAsia" w:ascii="宋体" w:hAnsi="宋体" w:cs="宋体"/>
          <w:color w:val="auto"/>
          <w:sz w:val="24"/>
          <w:szCs w:val="24"/>
          <w:highlight w:val="none"/>
        </w:rPr>
      </w:pPr>
    </w:p>
    <w:p w14:paraId="689946CD">
      <w:pPr>
        <w:spacing w:line="360" w:lineRule="auto"/>
        <w:ind w:firstLine="3120" w:firstLineChars="130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（盖单位公章）：</w:t>
      </w:r>
    </w:p>
    <w:p w14:paraId="4F3AA220">
      <w:pPr>
        <w:spacing w:line="360" w:lineRule="auto"/>
        <w:ind w:firstLine="3120" w:firstLineChars="13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（签字或盖章）</w:t>
      </w:r>
    </w:p>
    <w:p w14:paraId="5C6108E2">
      <w:pPr>
        <w:spacing w:line="360" w:lineRule="auto"/>
        <w:ind w:firstLine="555"/>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p w14:paraId="5CBEF212">
      <w:pPr>
        <w:wordWrap w:val="0"/>
        <w:autoSpaceDE w:val="0"/>
        <w:autoSpaceDN w:val="0"/>
        <w:adjustRightInd w:val="0"/>
        <w:snapToGrid w:val="0"/>
        <w:spacing w:line="360" w:lineRule="auto"/>
        <w:rPr>
          <w:rFonts w:hint="eastAsia" w:ascii="宋体" w:hAnsi="宋体" w:cs="宋体"/>
          <w:snapToGrid w:val="0"/>
          <w:color w:val="auto"/>
          <w:sz w:val="24"/>
          <w:szCs w:val="24"/>
          <w:highlight w:val="none"/>
        </w:rPr>
      </w:pPr>
    </w:p>
    <w:p w14:paraId="3F5B02A7">
      <w:pPr>
        <w:wordWrap/>
        <w:autoSpaceDE/>
        <w:autoSpaceDN/>
        <w:adjustRightInd/>
        <w:snapToGrid/>
        <w:spacing w:line="240" w:lineRule="auto"/>
        <w:ind w:firstLine="0" w:firstLineChars="0"/>
        <w:rPr>
          <w:rFonts w:hint="eastAsia" w:ascii="宋体" w:hAnsi="宋体" w:cs="宋体"/>
          <w:snapToGrid w:val="0"/>
          <w:color w:val="auto"/>
          <w:sz w:val="24"/>
          <w:szCs w:val="24"/>
          <w:highlight w:val="none"/>
          <w:lang w:val="en-US" w:eastAsia="zh-CN"/>
        </w:rPr>
      </w:pPr>
      <w:r>
        <w:rPr>
          <w:rFonts w:hint="eastAsia" w:ascii="宋体" w:hAnsi="宋体" w:cs="宋体"/>
          <w:snapToGrid w:val="0"/>
          <w:color w:val="auto"/>
          <w:sz w:val="24"/>
          <w:szCs w:val="24"/>
          <w:highlight w:val="none"/>
          <w:lang w:val="en-US" w:eastAsia="zh-CN"/>
        </w:rPr>
        <w:br w:type="page"/>
      </w:r>
    </w:p>
    <w:p w14:paraId="26A42FFF">
      <w:pPr>
        <w:wordWrap w:val="0"/>
        <w:autoSpaceDE w:val="0"/>
        <w:autoSpaceDN w:val="0"/>
        <w:adjustRightInd w:val="0"/>
        <w:snapToGrid w:val="0"/>
        <w:spacing w:line="360" w:lineRule="auto"/>
        <w:ind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lang w:val="en-US" w:eastAsia="zh-CN"/>
        </w:rPr>
        <w:t>3.</w:t>
      </w:r>
      <w:r>
        <w:rPr>
          <w:rFonts w:hint="eastAsia" w:ascii="宋体" w:hAnsi="宋体" w:cs="宋体"/>
          <w:snapToGrid w:val="0"/>
          <w:color w:val="auto"/>
          <w:sz w:val="24"/>
          <w:szCs w:val="24"/>
          <w:highlight w:val="none"/>
          <w:lang w:eastAsia="zh-CN"/>
        </w:rPr>
        <w:t>投标人</w:t>
      </w:r>
      <w:r>
        <w:rPr>
          <w:rFonts w:hint="eastAsia" w:ascii="宋体" w:hAnsi="宋体" w:cs="宋体"/>
          <w:snapToGrid w:val="0"/>
          <w:color w:val="auto"/>
          <w:sz w:val="24"/>
          <w:szCs w:val="24"/>
          <w:highlight w:val="none"/>
        </w:rPr>
        <w:t>认为应提供的其他材料。</w:t>
      </w:r>
    </w:p>
    <w:p w14:paraId="0F8EC96A">
      <w:pPr>
        <w:pStyle w:val="9"/>
        <w:wordWrap w:val="0"/>
        <w:rPr>
          <w:rFonts w:hint="eastAsia" w:ascii="宋体" w:hAnsi="宋体" w:cs="宋体"/>
          <w:color w:val="auto"/>
          <w:sz w:val="24"/>
          <w:szCs w:val="24"/>
          <w:highlight w:val="none"/>
        </w:rPr>
      </w:pPr>
    </w:p>
    <w:p w14:paraId="616B760C">
      <w:pPr>
        <w:spacing w:line="360" w:lineRule="auto"/>
        <w:rPr>
          <w:rFonts w:hint="eastAsia" w:ascii="宋体" w:hAnsi="宋体" w:cs="宋体"/>
          <w:color w:val="auto"/>
          <w:sz w:val="24"/>
          <w:szCs w:val="24"/>
          <w:highlight w:val="none"/>
        </w:rPr>
      </w:pPr>
    </w:p>
    <w:sectPr>
      <w:footerReference r:id="rId9" w:type="default"/>
      <w:pgSz w:w="11905" w:h="16838"/>
      <w:pgMar w:top="1134" w:right="1134" w:bottom="1134" w:left="1134" w:header="850"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思源黑体 CN Regular">
    <w:altName w:val="黑体"/>
    <w:panose1 w:val="020B0500000000000000"/>
    <w:charset w:val="86"/>
    <w:family w:val="swiss"/>
    <w:pitch w:val="default"/>
    <w:sig w:usb0="00000000" w:usb1="00000000" w:usb2="00000016" w:usb3="00000000" w:csb0="60060107" w:csb1="00000000"/>
  </w:font>
  <w:font w:name="Wingdings 2">
    <w:altName w:val="Wingdings"/>
    <w:panose1 w:val="05020102010507070707"/>
    <w:charset w:val="02"/>
    <w:family w:val="roman"/>
    <w:pitch w:val="default"/>
    <w:sig w:usb0="00000000" w:usb1="00000000" w:usb2="00000000" w:usb3="00000000" w:csb0="8000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95391">
    <w:pPr>
      <w:pStyle w:val="15"/>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1270" b="0"/>
              <wp:wrapNone/>
              <wp:docPr id="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5DE30DB6">
                          <w:pPr>
                            <w:pStyle w:val="15"/>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L2yfysJAgAAAQQAAA4AAAAAAAAAAQAgAAAAHwEAAGRy&#10;cy9lMm9Eb2MueG1sUEsFBgAAAAAGAAYAWQEAAJoFAAAAAA==&#10;">
              <v:fill on="f" focussize="0,0"/>
              <v:stroke on="f"/>
              <v:imagedata o:title=""/>
              <o:lock v:ext="edit" aspectratio="f"/>
              <v:textbox inset="0mm,0mm,0mm,0mm" style="mso-fit-shape-to-text:t;">
                <w:txbxContent>
                  <w:p w14:paraId="5DE30DB6">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0EE6">
    <w:pPr>
      <w:pStyle w:val="15"/>
      <w:ind w:right="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4BC218E1">
                          <w:pPr>
                            <w:pStyle w:val="15"/>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1pt;width:4.6pt;mso-position-horizontal:center;mso-position-horizontal-relative:margin;mso-wrap-style:none;z-index:25166643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wiyAFwgCAAABBAAADgAAAAAAAAABACAAAAAfAQAAZHJz&#10;L2Uyb0RvYy54bWxQSwUGAAAAAAYABgBZAQAAmQUAAAAA&#10;">
              <v:fill on="f" focussize="0,0"/>
              <v:stroke on="f"/>
              <v:imagedata o:title=""/>
              <o:lock v:ext="edit" aspectratio="f"/>
              <v:textbox inset="0mm,0mm,0mm,0mm" style="mso-fit-shape-to-text:t;">
                <w:txbxContent>
                  <w:p w14:paraId="4BC218E1">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FB0AB">
    <w:pPr>
      <w:pStyle w:val="15"/>
      <w:jc w:val="right"/>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E41D4">
                          <w:pPr>
                            <w:pStyle w:val="15"/>
                            <w:jc w:val="right"/>
                          </w:pPr>
                          <w:r>
                            <w:fldChar w:fldCharType="begin"/>
                          </w:r>
                          <w:r>
                            <w:instrText xml:space="preserve"> PAGE   \* MERGEFORMAT </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5BE41D4">
                    <w:pPr>
                      <w:pStyle w:val="15"/>
                      <w:jc w:val="right"/>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14:paraId="025B6259">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58DC0">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99DCD8">
                          <w:pPr>
                            <w:pStyle w:val="15"/>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0999DCD8">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CF94A">
    <w:pPr>
      <w:pStyle w:val="15"/>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1E9523">
                          <w:pPr>
                            <w:pStyle w:val="15"/>
                          </w:pPr>
                          <w:r>
                            <w:fldChar w:fldCharType="begin"/>
                          </w:r>
                          <w:r>
                            <w:instrText xml:space="preserve"> PAGE  \* MERGEFORMAT </w:instrText>
                          </w:r>
                          <w:r>
                            <w:fldChar w:fldCharType="separate"/>
                          </w:r>
                          <w:r>
                            <w:rPr>
                              <w:rFonts w:hint="eastAsia"/>
                            </w:rP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091E9523">
                    <w:pPr>
                      <w:pStyle w:val="15"/>
                    </w:pPr>
                    <w:r>
                      <w:fldChar w:fldCharType="begin"/>
                    </w:r>
                    <w:r>
                      <w:instrText xml:space="preserve"> PAGE  \* MERGEFORMAT </w:instrText>
                    </w:r>
                    <w:r>
                      <w:fldChar w:fldCharType="separate"/>
                    </w:r>
                    <w:r>
                      <w:rPr>
                        <w:rFonts w:hint="eastAsia"/>
                      </w:rP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32D51">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3E0B2">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FD8DC"/>
    <w:multiLevelType w:val="singleLevel"/>
    <w:tmpl w:val="9BCFD8DC"/>
    <w:lvl w:ilvl="0" w:tentative="0">
      <w:start w:val="1"/>
      <w:numFmt w:val="decimal"/>
      <w:suff w:val="space"/>
      <w:lvlText w:val="%1."/>
      <w:lvlJc w:val="left"/>
    </w:lvl>
  </w:abstractNum>
  <w:abstractNum w:abstractNumId="1">
    <w:nsid w:val="AE5321DA"/>
    <w:multiLevelType w:val="singleLevel"/>
    <w:tmpl w:val="AE5321DA"/>
    <w:lvl w:ilvl="0" w:tentative="0">
      <w:start w:val="1"/>
      <w:numFmt w:val="decimal"/>
      <w:suff w:val="nothing"/>
      <w:lvlText w:val="%1、"/>
      <w:lvlJc w:val="left"/>
      <w:pPr>
        <w:ind w:left="-560"/>
      </w:pPr>
    </w:lvl>
  </w:abstractNum>
  <w:abstractNum w:abstractNumId="2">
    <w:nsid w:val="B566CD98"/>
    <w:multiLevelType w:val="singleLevel"/>
    <w:tmpl w:val="B566CD98"/>
    <w:lvl w:ilvl="0" w:tentative="0">
      <w:start w:val="1"/>
      <w:numFmt w:val="decimal"/>
      <w:suff w:val="nothing"/>
      <w:lvlText w:val="%1、"/>
      <w:lvlJc w:val="left"/>
    </w:lvl>
  </w:abstractNum>
  <w:abstractNum w:abstractNumId="3">
    <w:nsid w:val="B615F4E5"/>
    <w:multiLevelType w:val="singleLevel"/>
    <w:tmpl w:val="B615F4E5"/>
    <w:lvl w:ilvl="0" w:tentative="0">
      <w:start w:val="1"/>
      <w:numFmt w:val="decimal"/>
      <w:lvlText w:val="%1."/>
      <w:lvlJc w:val="left"/>
      <w:pPr>
        <w:tabs>
          <w:tab w:val="left" w:pos="312"/>
        </w:tabs>
      </w:pPr>
    </w:lvl>
  </w:abstractNum>
  <w:abstractNum w:abstractNumId="4">
    <w:nsid w:val="C1C6A42A"/>
    <w:multiLevelType w:val="singleLevel"/>
    <w:tmpl w:val="C1C6A42A"/>
    <w:lvl w:ilvl="0" w:tentative="0">
      <w:start w:val="1"/>
      <w:numFmt w:val="decimal"/>
      <w:suff w:val="nothing"/>
      <w:lvlText w:val="%1、"/>
      <w:lvlJc w:val="left"/>
      <w:pPr>
        <w:ind w:left="-562"/>
      </w:pPr>
    </w:lvl>
  </w:abstractNum>
  <w:abstractNum w:abstractNumId="5">
    <w:nsid w:val="00000010"/>
    <w:multiLevelType w:val="multilevel"/>
    <w:tmpl w:val="00000010"/>
    <w:lvl w:ilvl="0" w:tentative="0">
      <w:start w:val="1"/>
      <w:numFmt w:val="decimal"/>
      <w:pStyle w:val="3"/>
      <w:lvlText w:val="%1."/>
      <w:lvlJc w:val="left"/>
      <w:pPr>
        <w:tabs>
          <w:tab w:val="left" w:pos="425"/>
        </w:tabs>
        <w:ind w:left="425" w:hanging="425"/>
      </w:pPr>
      <w:rPr>
        <w:rFonts w:hint="eastAsia" w:cs="Times New Roman"/>
        <w:b/>
        <w:i w:val="0"/>
      </w:rPr>
    </w:lvl>
    <w:lvl w:ilvl="1" w:tentative="0">
      <w:start w:val="1"/>
      <w:numFmt w:val="decimal"/>
      <w:lvlText w:val="%1.%2."/>
      <w:lvlJc w:val="left"/>
      <w:pPr>
        <w:tabs>
          <w:tab w:val="left" w:pos="170"/>
        </w:tabs>
        <w:ind w:left="170" w:hanging="170"/>
      </w:pPr>
      <w:rPr>
        <w:rFonts w:hint="eastAsia" w:cs="Times New Roman"/>
      </w:rPr>
    </w:lvl>
    <w:lvl w:ilvl="2" w:tentative="0">
      <w:start w:val="1"/>
      <w:numFmt w:val="decimal"/>
      <w:lvlText w:val="%1.%2.%3."/>
      <w:lvlJc w:val="left"/>
      <w:pPr>
        <w:tabs>
          <w:tab w:val="left" w:pos="275"/>
        </w:tabs>
        <w:ind w:left="275" w:hanging="170"/>
      </w:pPr>
      <w:rPr>
        <w:rFonts w:hint="eastAsia" w:cs="Times New Roman"/>
        <w:color w:val="auto"/>
      </w:rPr>
    </w:lvl>
    <w:lvl w:ilvl="3" w:tentative="0">
      <w:start w:val="1"/>
      <w:numFmt w:val="decimal"/>
      <w:lvlText w:val="%1.%2.%3.%4."/>
      <w:lvlJc w:val="left"/>
      <w:pPr>
        <w:tabs>
          <w:tab w:val="left" w:pos="510"/>
        </w:tabs>
        <w:ind w:left="510" w:hanging="170"/>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0000001B"/>
    <w:multiLevelType w:val="multilevel"/>
    <w:tmpl w:val="0000001B"/>
    <w:lvl w:ilvl="0" w:tentative="0">
      <w:start w:val="1"/>
      <w:numFmt w:val="japaneseCounting"/>
      <w:lvlText w:val="第%1章"/>
      <w:lvlJc w:val="left"/>
      <w:pPr>
        <w:tabs>
          <w:tab w:val="left" w:pos="1545"/>
        </w:tabs>
        <w:ind w:left="1545" w:hanging="1545"/>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1068C811"/>
    <w:multiLevelType w:val="singleLevel"/>
    <w:tmpl w:val="1068C811"/>
    <w:lvl w:ilvl="0" w:tentative="0">
      <w:start w:val="1"/>
      <w:numFmt w:val="decimal"/>
      <w:suff w:val="space"/>
      <w:lvlText w:val="%1."/>
      <w:lvlJc w:val="left"/>
      <w:rPr>
        <w:rFonts w:cs="Times New Roman"/>
      </w:rPr>
    </w:lvl>
  </w:abstractNum>
  <w:abstractNum w:abstractNumId="8">
    <w:nsid w:val="2561234D"/>
    <w:multiLevelType w:val="singleLevel"/>
    <w:tmpl w:val="2561234D"/>
    <w:lvl w:ilvl="0" w:tentative="0">
      <w:start w:val="1"/>
      <w:numFmt w:val="decimal"/>
      <w:lvlText w:val="%1."/>
      <w:lvlJc w:val="left"/>
      <w:pPr>
        <w:tabs>
          <w:tab w:val="left" w:pos="312"/>
        </w:tabs>
      </w:pPr>
    </w:lvl>
  </w:abstractNum>
  <w:abstractNum w:abstractNumId="9">
    <w:nsid w:val="5A1D6678"/>
    <w:multiLevelType w:val="multilevel"/>
    <w:tmpl w:val="5A1D6678"/>
    <w:lvl w:ilvl="0" w:tentative="0">
      <w:start w:val="1"/>
      <w:numFmt w:val="none"/>
      <w:pStyle w:val="45"/>
      <w:lvlText w:val="二、"/>
      <w:lvlJc w:val="left"/>
      <w:pPr>
        <w:tabs>
          <w:tab w:val="left" w:pos="825"/>
        </w:tabs>
        <w:ind w:left="105" w:firstLine="0"/>
      </w:pPr>
      <w:rPr>
        <w:rFonts w:hint="eastAsia"/>
      </w:rPr>
    </w:lvl>
    <w:lvl w:ilvl="1" w:tentative="0">
      <w:start w:val="1"/>
      <w:numFmt w:val="decimal"/>
      <w:lvlText w:val="%2"/>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1"/>
      <w:numFmt w:val="decimal"/>
      <w:lvlText w:val="%2.%3.%4"/>
      <w:lvlJc w:val="left"/>
      <w:pPr>
        <w:tabs>
          <w:tab w:val="left" w:pos="2073"/>
        </w:tabs>
        <w:ind w:left="993"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9"/>
  </w:num>
  <w:num w:numId="3">
    <w:abstractNumId w:val="6"/>
  </w:num>
  <w:num w:numId="4">
    <w:abstractNumId w:val="8"/>
  </w:num>
  <w:num w:numId="5">
    <w:abstractNumId w:val="7"/>
  </w:num>
  <w:num w:numId="6">
    <w:abstractNumId w:val="1"/>
  </w:num>
  <w:num w:numId="7">
    <w:abstractNumId w:val="3"/>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NmOWNiODRhMTZhNWQ3ZGJkM2MzOGZjYzRjYjUifQ=="/>
  </w:docVars>
  <w:rsids>
    <w:rsidRoot w:val="00172A27"/>
    <w:rsid w:val="00005EF0"/>
    <w:rsid w:val="00012BFA"/>
    <w:rsid w:val="00014BBD"/>
    <w:rsid w:val="0001617F"/>
    <w:rsid w:val="0001709B"/>
    <w:rsid w:val="000277FF"/>
    <w:rsid w:val="00027878"/>
    <w:rsid w:val="00044E25"/>
    <w:rsid w:val="0004513A"/>
    <w:rsid w:val="00045A93"/>
    <w:rsid w:val="00051241"/>
    <w:rsid w:val="00052BE1"/>
    <w:rsid w:val="00055995"/>
    <w:rsid w:val="00056637"/>
    <w:rsid w:val="00057C2E"/>
    <w:rsid w:val="000613EE"/>
    <w:rsid w:val="00061DAD"/>
    <w:rsid w:val="00062154"/>
    <w:rsid w:val="00065C28"/>
    <w:rsid w:val="000729E5"/>
    <w:rsid w:val="00074B95"/>
    <w:rsid w:val="000810AF"/>
    <w:rsid w:val="00084BD2"/>
    <w:rsid w:val="00087282"/>
    <w:rsid w:val="00094AFA"/>
    <w:rsid w:val="0009628D"/>
    <w:rsid w:val="000A2DDC"/>
    <w:rsid w:val="000A36B4"/>
    <w:rsid w:val="000A4C6B"/>
    <w:rsid w:val="000B03A0"/>
    <w:rsid w:val="000B170A"/>
    <w:rsid w:val="000B21C3"/>
    <w:rsid w:val="000B2A54"/>
    <w:rsid w:val="000B4B64"/>
    <w:rsid w:val="000B515F"/>
    <w:rsid w:val="000C1487"/>
    <w:rsid w:val="000C57B9"/>
    <w:rsid w:val="000C7A80"/>
    <w:rsid w:val="000D359F"/>
    <w:rsid w:val="000D3C74"/>
    <w:rsid w:val="000E0417"/>
    <w:rsid w:val="000E7E29"/>
    <w:rsid w:val="00101018"/>
    <w:rsid w:val="001011FE"/>
    <w:rsid w:val="00113649"/>
    <w:rsid w:val="001247B1"/>
    <w:rsid w:val="00125207"/>
    <w:rsid w:val="00130894"/>
    <w:rsid w:val="00131BA1"/>
    <w:rsid w:val="00136B0E"/>
    <w:rsid w:val="00137618"/>
    <w:rsid w:val="00137A40"/>
    <w:rsid w:val="001516CC"/>
    <w:rsid w:val="00151881"/>
    <w:rsid w:val="00152C57"/>
    <w:rsid w:val="00152E34"/>
    <w:rsid w:val="00153F66"/>
    <w:rsid w:val="00154D64"/>
    <w:rsid w:val="00160D48"/>
    <w:rsid w:val="00163B57"/>
    <w:rsid w:val="00166FAD"/>
    <w:rsid w:val="00172B07"/>
    <w:rsid w:val="00182AC5"/>
    <w:rsid w:val="001842EB"/>
    <w:rsid w:val="00185D92"/>
    <w:rsid w:val="00192C3F"/>
    <w:rsid w:val="00194CD0"/>
    <w:rsid w:val="001951D5"/>
    <w:rsid w:val="001A0363"/>
    <w:rsid w:val="001B0D8B"/>
    <w:rsid w:val="001B4A23"/>
    <w:rsid w:val="001B6F18"/>
    <w:rsid w:val="001C1E3F"/>
    <w:rsid w:val="001C3498"/>
    <w:rsid w:val="001C439F"/>
    <w:rsid w:val="001D6FC7"/>
    <w:rsid w:val="001E4E7B"/>
    <w:rsid w:val="001F039A"/>
    <w:rsid w:val="00202399"/>
    <w:rsid w:val="002023C9"/>
    <w:rsid w:val="002066E4"/>
    <w:rsid w:val="00212244"/>
    <w:rsid w:val="002204A7"/>
    <w:rsid w:val="0022052E"/>
    <w:rsid w:val="00230FBB"/>
    <w:rsid w:val="00243CB7"/>
    <w:rsid w:val="0024687C"/>
    <w:rsid w:val="002564F3"/>
    <w:rsid w:val="002647D2"/>
    <w:rsid w:val="002654F5"/>
    <w:rsid w:val="00265638"/>
    <w:rsid w:val="002742C8"/>
    <w:rsid w:val="002744A6"/>
    <w:rsid w:val="00275611"/>
    <w:rsid w:val="00276EF8"/>
    <w:rsid w:val="0027708F"/>
    <w:rsid w:val="00281573"/>
    <w:rsid w:val="00296BA0"/>
    <w:rsid w:val="002A0350"/>
    <w:rsid w:val="002A101A"/>
    <w:rsid w:val="002A1488"/>
    <w:rsid w:val="002A1A2A"/>
    <w:rsid w:val="002A30DB"/>
    <w:rsid w:val="002A7160"/>
    <w:rsid w:val="002B247C"/>
    <w:rsid w:val="002B2A88"/>
    <w:rsid w:val="002B7606"/>
    <w:rsid w:val="002C192E"/>
    <w:rsid w:val="002D070B"/>
    <w:rsid w:val="002D6DC1"/>
    <w:rsid w:val="002E3870"/>
    <w:rsid w:val="002F0402"/>
    <w:rsid w:val="00303604"/>
    <w:rsid w:val="0030377A"/>
    <w:rsid w:val="003061CD"/>
    <w:rsid w:val="003259C1"/>
    <w:rsid w:val="003270F2"/>
    <w:rsid w:val="00331551"/>
    <w:rsid w:val="00332877"/>
    <w:rsid w:val="003417AB"/>
    <w:rsid w:val="00342672"/>
    <w:rsid w:val="00343672"/>
    <w:rsid w:val="00344B96"/>
    <w:rsid w:val="00351AAB"/>
    <w:rsid w:val="003538BA"/>
    <w:rsid w:val="00364C31"/>
    <w:rsid w:val="003668BF"/>
    <w:rsid w:val="00375D64"/>
    <w:rsid w:val="00386008"/>
    <w:rsid w:val="00386D6E"/>
    <w:rsid w:val="00392218"/>
    <w:rsid w:val="0039733D"/>
    <w:rsid w:val="003A0A87"/>
    <w:rsid w:val="003A0B1C"/>
    <w:rsid w:val="003A4317"/>
    <w:rsid w:val="003A52B5"/>
    <w:rsid w:val="003A6572"/>
    <w:rsid w:val="003C1334"/>
    <w:rsid w:val="003C1527"/>
    <w:rsid w:val="003C1AEC"/>
    <w:rsid w:val="003C69C1"/>
    <w:rsid w:val="003D30AB"/>
    <w:rsid w:val="003D5102"/>
    <w:rsid w:val="003D638D"/>
    <w:rsid w:val="003D693F"/>
    <w:rsid w:val="003F6E32"/>
    <w:rsid w:val="00405228"/>
    <w:rsid w:val="00407A36"/>
    <w:rsid w:val="00411564"/>
    <w:rsid w:val="00412DD1"/>
    <w:rsid w:val="00414189"/>
    <w:rsid w:val="00422528"/>
    <w:rsid w:val="00441FD1"/>
    <w:rsid w:val="00442C1A"/>
    <w:rsid w:val="00444825"/>
    <w:rsid w:val="004474BD"/>
    <w:rsid w:val="0045614E"/>
    <w:rsid w:val="00461648"/>
    <w:rsid w:val="004630D3"/>
    <w:rsid w:val="0047001A"/>
    <w:rsid w:val="00470629"/>
    <w:rsid w:val="00474247"/>
    <w:rsid w:val="004768E3"/>
    <w:rsid w:val="00477AC1"/>
    <w:rsid w:val="00481786"/>
    <w:rsid w:val="004845AD"/>
    <w:rsid w:val="0048615A"/>
    <w:rsid w:val="00497971"/>
    <w:rsid w:val="004A1648"/>
    <w:rsid w:val="004B36E5"/>
    <w:rsid w:val="004B4A3B"/>
    <w:rsid w:val="004B5D4F"/>
    <w:rsid w:val="004B62FC"/>
    <w:rsid w:val="004B7E0E"/>
    <w:rsid w:val="004C06EF"/>
    <w:rsid w:val="004C2F4F"/>
    <w:rsid w:val="004C3D19"/>
    <w:rsid w:val="004D38CB"/>
    <w:rsid w:val="004D600D"/>
    <w:rsid w:val="004D6E2D"/>
    <w:rsid w:val="004E25A5"/>
    <w:rsid w:val="004E36F6"/>
    <w:rsid w:val="004E448F"/>
    <w:rsid w:val="004E44E4"/>
    <w:rsid w:val="004F3A7C"/>
    <w:rsid w:val="00500535"/>
    <w:rsid w:val="005008B2"/>
    <w:rsid w:val="005077A9"/>
    <w:rsid w:val="005078C8"/>
    <w:rsid w:val="00510211"/>
    <w:rsid w:val="005206FF"/>
    <w:rsid w:val="00523E2E"/>
    <w:rsid w:val="00540BBA"/>
    <w:rsid w:val="00542D0C"/>
    <w:rsid w:val="0054790D"/>
    <w:rsid w:val="005524E6"/>
    <w:rsid w:val="0057056D"/>
    <w:rsid w:val="00570CBA"/>
    <w:rsid w:val="00577087"/>
    <w:rsid w:val="005867C9"/>
    <w:rsid w:val="005A0274"/>
    <w:rsid w:val="005A232A"/>
    <w:rsid w:val="005A6971"/>
    <w:rsid w:val="005A7BAE"/>
    <w:rsid w:val="005B136A"/>
    <w:rsid w:val="005B79D9"/>
    <w:rsid w:val="005C23B1"/>
    <w:rsid w:val="005C4FAC"/>
    <w:rsid w:val="005D6265"/>
    <w:rsid w:val="005E0311"/>
    <w:rsid w:val="005E5C72"/>
    <w:rsid w:val="005F7C28"/>
    <w:rsid w:val="00601C4C"/>
    <w:rsid w:val="00607B0E"/>
    <w:rsid w:val="0062563E"/>
    <w:rsid w:val="0063455D"/>
    <w:rsid w:val="00636047"/>
    <w:rsid w:val="006401F9"/>
    <w:rsid w:val="006406E4"/>
    <w:rsid w:val="006466EE"/>
    <w:rsid w:val="00650D91"/>
    <w:rsid w:val="006534AF"/>
    <w:rsid w:val="006601C0"/>
    <w:rsid w:val="00660AB7"/>
    <w:rsid w:val="006623FB"/>
    <w:rsid w:val="006923A4"/>
    <w:rsid w:val="006929C6"/>
    <w:rsid w:val="00696DF6"/>
    <w:rsid w:val="006B4188"/>
    <w:rsid w:val="006B6DBA"/>
    <w:rsid w:val="006C1501"/>
    <w:rsid w:val="006C713C"/>
    <w:rsid w:val="006C7AC6"/>
    <w:rsid w:val="006E0F8E"/>
    <w:rsid w:val="006E5E68"/>
    <w:rsid w:val="006E6F6B"/>
    <w:rsid w:val="006E7E0C"/>
    <w:rsid w:val="006F06BE"/>
    <w:rsid w:val="006F3E26"/>
    <w:rsid w:val="007000C1"/>
    <w:rsid w:val="0070718D"/>
    <w:rsid w:val="0071064B"/>
    <w:rsid w:val="007134D8"/>
    <w:rsid w:val="00713DD2"/>
    <w:rsid w:val="00726379"/>
    <w:rsid w:val="00737149"/>
    <w:rsid w:val="0074686A"/>
    <w:rsid w:val="0074786E"/>
    <w:rsid w:val="007521B9"/>
    <w:rsid w:val="00775692"/>
    <w:rsid w:val="0077709B"/>
    <w:rsid w:val="007771BC"/>
    <w:rsid w:val="00782B2F"/>
    <w:rsid w:val="00787AEA"/>
    <w:rsid w:val="00790495"/>
    <w:rsid w:val="00796AC7"/>
    <w:rsid w:val="007A17CC"/>
    <w:rsid w:val="007A7E91"/>
    <w:rsid w:val="007B01EB"/>
    <w:rsid w:val="007B1879"/>
    <w:rsid w:val="007B274B"/>
    <w:rsid w:val="007B2E9C"/>
    <w:rsid w:val="007B6D78"/>
    <w:rsid w:val="007D0AD4"/>
    <w:rsid w:val="007D4822"/>
    <w:rsid w:val="007E2DA9"/>
    <w:rsid w:val="007F0B28"/>
    <w:rsid w:val="007F3140"/>
    <w:rsid w:val="00805E73"/>
    <w:rsid w:val="00805E7A"/>
    <w:rsid w:val="00806AAA"/>
    <w:rsid w:val="00811064"/>
    <w:rsid w:val="00813C01"/>
    <w:rsid w:val="0081756F"/>
    <w:rsid w:val="00826634"/>
    <w:rsid w:val="008273EF"/>
    <w:rsid w:val="00836034"/>
    <w:rsid w:val="00837CC8"/>
    <w:rsid w:val="00841F87"/>
    <w:rsid w:val="00861BAA"/>
    <w:rsid w:val="0087008E"/>
    <w:rsid w:val="0087167F"/>
    <w:rsid w:val="0088797B"/>
    <w:rsid w:val="00892F28"/>
    <w:rsid w:val="00893A45"/>
    <w:rsid w:val="008A4F7F"/>
    <w:rsid w:val="008A6EF2"/>
    <w:rsid w:val="008B574D"/>
    <w:rsid w:val="008B635A"/>
    <w:rsid w:val="008B7FD8"/>
    <w:rsid w:val="008C10F1"/>
    <w:rsid w:val="008C1F30"/>
    <w:rsid w:val="008C3DBD"/>
    <w:rsid w:val="008C583B"/>
    <w:rsid w:val="008C6476"/>
    <w:rsid w:val="008D45B2"/>
    <w:rsid w:val="008D68AD"/>
    <w:rsid w:val="008E2D70"/>
    <w:rsid w:val="008E35E9"/>
    <w:rsid w:val="008E6D23"/>
    <w:rsid w:val="008E7385"/>
    <w:rsid w:val="008F44AE"/>
    <w:rsid w:val="008F57FE"/>
    <w:rsid w:val="009004FB"/>
    <w:rsid w:val="00902D8D"/>
    <w:rsid w:val="009050D5"/>
    <w:rsid w:val="009053AE"/>
    <w:rsid w:val="00912532"/>
    <w:rsid w:val="00912EF3"/>
    <w:rsid w:val="009208D6"/>
    <w:rsid w:val="009246AD"/>
    <w:rsid w:val="009265A3"/>
    <w:rsid w:val="00926D4C"/>
    <w:rsid w:val="00926E67"/>
    <w:rsid w:val="009340AF"/>
    <w:rsid w:val="00941512"/>
    <w:rsid w:val="00944098"/>
    <w:rsid w:val="00946C69"/>
    <w:rsid w:val="00953A76"/>
    <w:rsid w:val="0095412C"/>
    <w:rsid w:val="00961FFA"/>
    <w:rsid w:val="0096261E"/>
    <w:rsid w:val="009677DE"/>
    <w:rsid w:val="009719CE"/>
    <w:rsid w:val="0097353F"/>
    <w:rsid w:val="009858A6"/>
    <w:rsid w:val="0099108A"/>
    <w:rsid w:val="009917D7"/>
    <w:rsid w:val="00995093"/>
    <w:rsid w:val="009A011D"/>
    <w:rsid w:val="009A149D"/>
    <w:rsid w:val="009A1822"/>
    <w:rsid w:val="009A4454"/>
    <w:rsid w:val="009B7FE6"/>
    <w:rsid w:val="009C1091"/>
    <w:rsid w:val="009C299B"/>
    <w:rsid w:val="009D4A7D"/>
    <w:rsid w:val="009E25E0"/>
    <w:rsid w:val="009E3B2F"/>
    <w:rsid w:val="009E3E20"/>
    <w:rsid w:val="009F289D"/>
    <w:rsid w:val="009F4AE8"/>
    <w:rsid w:val="00A00594"/>
    <w:rsid w:val="00A0065D"/>
    <w:rsid w:val="00A00CAB"/>
    <w:rsid w:val="00A10B6F"/>
    <w:rsid w:val="00A12ECD"/>
    <w:rsid w:val="00A13743"/>
    <w:rsid w:val="00A151E5"/>
    <w:rsid w:val="00A3678F"/>
    <w:rsid w:val="00A46FF8"/>
    <w:rsid w:val="00A538C2"/>
    <w:rsid w:val="00A729F8"/>
    <w:rsid w:val="00A748E2"/>
    <w:rsid w:val="00A75633"/>
    <w:rsid w:val="00A76C4B"/>
    <w:rsid w:val="00A76E8F"/>
    <w:rsid w:val="00A84FCB"/>
    <w:rsid w:val="00A85D6B"/>
    <w:rsid w:val="00A949B8"/>
    <w:rsid w:val="00A964ED"/>
    <w:rsid w:val="00AA0A8F"/>
    <w:rsid w:val="00AB1359"/>
    <w:rsid w:val="00AB16F1"/>
    <w:rsid w:val="00AB37B3"/>
    <w:rsid w:val="00AB4E7C"/>
    <w:rsid w:val="00AB6E23"/>
    <w:rsid w:val="00AC2EF5"/>
    <w:rsid w:val="00AC3BDA"/>
    <w:rsid w:val="00AC54C9"/>
    <w:rsid w:val="00AC7DC2"/>
    <w:rsid w:val="00AD22DB"/>
    <w:rsid w:val="00AD29A6"/>
    <w:rsid w:val="00AE3CE0"/>
    <w:rsid w:val="00AE4301"/>
    <w:rsid w:val="00B01E66"/>
    <w:rsid w:val="00B07FC9"/>
    <w:rsid w:val="00B11F27"/>
    <w:rsid w:val="00B12B54"/>
    <w:rsid w:val="00B13D50"/>
    <w:rsid w:val="00B258A4"/>
    <w:rsid w:val="00B27C02"/>
    <w:rsid w:val="00B37AE3"/>
    <w:rsid w:val="00B4640D"/>
    <w:rsid w:val="00B51E2C"/>
    <w:rsid w:val="00B56F8E"/>
    <w:rsid w:val="00B576A0"/>
    <w:rsid w:val="00B61B59"/>
    <w:rsid w:val="00B62A83"/>
    <w:rsid w:val="00B64D98"/>
    <w:rsid w:val="00B66793"/>
    <w:rsid w:val="00B74540"/>
    <w:rsid w:val="00B779E2"/>
    <w:rsid w:val="00B83269"/>
    <w:rsid w:val="00B85E2D"/>
    <w:rsid w:val="00B92B4D"/>
    <w:rsid w:val="00B93C37"/>
    <w:rsid w:val="00B9643C"/>
    <w:rsid w:val="00BA68D7"/>
    <w:rsid w:val="00BB28F0"/>
    <w:rsid w:val="00BB7570"/>
    <w:rsid w:val="00BD4ADA"/>
    <w:rsid w:val="00BE1E24"/>
    <w:rsid w:val="00BE3293"/>
    <w:rsid w:val="00BE39A1"/>
    <w:rsid w:val="00BE5FD6"/>
    <w:rsid w:val="00BE6437"/>
    <w:rsid w:val="00BF1E27"/>
    <w:rsid w:val="00BF57C2"/>
    <w:rsid w:val="00C072E8"/>
    <w:rsid w:val="00C11E9F"/>
    <w:rsid w:val="00C13964"/>
    <w:rsid w:val="00C301DE"/>
    <w:rsid w:val="00C459BA"/>
    <w:rsid w:val="00C4702A"/>
    <w:rsid w:val="00C47262"/>
    <w:rsid w:val="00C47C9D"/>
    <w:rsid w:val="00C511B1"/>
    <w:rsid w:val="00C51812"/>
    <w:rsid w:val="00C53978"/>
    <w:rsid w:val="00C70A3B"/>
    <w:rsid w:val="00C72410"/>
    <w:rsid w:val="00C72A48"/>
    <w:rsid w:val="00C7725D"/>
    <w:rsid w:val="00C80D0C"/>
    <w:rsid w:val="00C80EEC"/>
    <w:rsid w:val="00C819F6"/>
    <w:rsid w:val="00C85501"/>
    <w:rsid w:val="00C907E3"/>
    <w:rsid w:val="00C95C47"/>
    <w:rsid w:val="00CA1072"/>
    <w:rsid w:val="00CA1333"/>
    <w:rsid w:val="00CC51AB"/>
    <w:rsid w:val="00CD3B99"/>
    <w:rsid w:val="00CD7664"/>
    <w:rsid w:val="00CE03C6"/>
    <w:rsid w:val="00CE18C8"/>
    <w:rsid w:val="00CE43AD"/>
    <w:rsid w:val="00CE6620"/>
    <w:rsid w:val="00CE7071"/>
    <w:rsid w:val="00CE757D"/>
    <w:rsid w:val="00CF5021"/>
    <w:rsid w:val="00D03570"/>
    <w:rsid w:val="00D05D56"/>
    <w:rsid w:val="00D1175E"/>
    <w:rsid w:val="00D31B58"/>
    <w:rsid w:val="00D341D3"/>
    <w:rsid w:val="00D34255"/>
    <w:rsid w:val="00D43ED3"/>
    <w:rsid w:val="00D63EBF"/>
    <w:rsid w:val="00D67AE1"/>
    <w:rsid w:val="00D67B62"/>
    <w:rsid w:val="00D729B0"/>
    <w:rsid w:val="00D729C8"/>
    <w:rsid w:val="00D74A5C"/>
    <w:rsid w:val="00D75829"/>
    <w:rsid w:val="00D94184"/>
    <w:rsid w:val="00D94DE7"/>
    <w:rsid w:val="00D95EA1"/>
    <w:rsid w:val="00D9755F"/>
    <w:rsid w:val="00DA0C38"/>
    <w:rsid w:val="00DA30AC"/>
    <w:rsid w:val="00DA6A51"/>
    <w:rsid w:val="00DB40F4"/>
    <w:rsid w:val="00DC0FF3"/>
    <w:rsid w:val="00DC62CE"/>
    <w:rsid w:val="00DC6D58"/>
    <w:rsid w:val="00DD04E4"/>
    <w:rsid w:val="00DD1192"/>
    <w:rsid w:val="00DD15FD"/>
    <w:rsid w:val="00DD2902"/>
    <w:rsid w:val="00DD33EE"/>
    <w:rsid w:val="00DD4484"/>
    <w:rsid w:val="00DE3C6D"/>
    <w:rsid w:val="00DE5662"/>
    <w:rsid w:val="00DF26BE"/>
    <w:rsid w:val="00DF2BB5"/>
    <w:rsid w:val="00DF5274"/>
    <w:rsid w:val="00DF5E8B"/>
    <w:rsid w:val="00E034E3"/>
    <w:rsid w:val="00E10961"/>
    <w:rsid w:val="00E123AC"/>
    <w:rsid w:val="00E1299C"/>
    <w:rsid w:val="00E2556C"/>
    <w:rsid w:val="00E33054"/>
    <w:rsid w:val="00E43670"/>
    <w:rsid w:val="00E52607"/>
    <w:rsid w:val="00E56F19"/>
    <w:rsid w:val="00E70D2C"/>
    <w:rsid w:val="00E72FEB"/>
    <w:rsid w:val="00E770B1"/>
    <w:rsid w:val="00E826E5"/>
    <w:rsid w:val="00E832FF"/>
    <w:rsid w:val="00E837F8"/>
    <w:rsid w:val="00E94A61"/>
    <w:rsid w:val="00EA2590"/>
    <w:rsid w:val="00EB12F2"/>
    <w:rsid w:val="00EB5199"/>
    <w:rsid w:val="00ED4055"/>
    <w:rsid w:val="00ED6217"/>
    <w:rsid w:val="00EE42BC"/>
    <w:rsid w:val="00EF16EA"/>
    <w:rsid w:val="00EF46C5"/>
    <w:rsid w:val="00F05B30"/>
    <w:rsid w:val="00F05F96"/>
    <w:rsid w:val="00F06988"/>
    <w:rsid w:val="00F11E9A"/>
    <w:rsid w:val="00F14751"/>
    <w:rsid w:val="00F177E3"/>
    <w:rsid w:val="00F222CE"/>
    <w:rsid w:val="00F25802"/>
    <w:rsid w:val="00F25A19"/>
    <w:rsid w:val="00F31275"/>
    <w:rsid w:val="00F331A6"/>
    <w:rsid w:val="00F43ADE"/>
    <w:rsid w:val="00F52B53"/>
    <w:rsid w:val="00F56323"/>
    <w:rsid w:val="00F63F8C"/>
    <w:rsid w:val="00F64051"/>
    <w:rsid w:val="00F666B6"/>
    <w:rsid w:val="00F66ADF"/>
    <w:rsid w:val="00F77278"/>
    <w:rsid w:val="00F80756"/>
    <w:rsid w:val="00F95BFC"/>
    <w:rsid w:val="00F9672E"/>
    <w:rsid w:val="00F9724F"/>
    <w:rsid w:val="00FA23DE"/>
    <w:rsid w:val="00FC1E29"/>
    <w:rsid w:val="00FC33DD"/>
    <w:rsid w:val="00FC3CFC"/>
    <w:rsid w:val="00FC705E"/>
    <w:rsid w:val="00FD19DB"/>
    <w:rsid w:val="00FD7481"/>
    <w:rsid w:val="010A34D2"/>
    <w:rsid w:val="013D64AB"/>
    <w:rsid w:val="01450178"/>
    <w:rsid w:val="01482EEE"/>
    <w:rsid w:val="016A1EAC"/>
    <w:rsid w:val="016B48EE"/>
    <w:rsid w:val="018D4829"/>
    <w:rsid w:val="018E6ECA"/>
    <w:rsid w:val="01A229CD"/>
    <w:rsid w:val="01D91678"/>
    <w:rsid w:val="01E23011"/>
    <w:rsid w:val="01EA356E"/>
    <w:rsid w:val="01F15805"/>
    <w:rsid w:val="01F47094"/>
    <w:rsid w:val="020D1893"/>
    <w:rsid w:val="02117BB5"/>
    <w:rsid w:val="021C0FE6"/>
    <w:rsid w:val="02477318"/>
    <w:rsid w:val="02951C69"/>
    <w:rsid w:val="02F95A95"/>
    <w:rsid w:val="03254B44"/>
    <w:rsid w:val="034B508A"/>
    <w:rsid w:val="03532EA9"/>
    <w:rsid w:val="035A0B80"/>
    <w:rsid w:val="036F7034"/>
    <w:rsid w:val="037E2A07"/>
    <w:rsid w:val="039332B2"/>
    <w:rsid w:val="03A83000"/>
    <w:rsid w:val="03C50E3C"/>
    <w:rsid w:val="03C70711"/>
    <w:rsid w:val="03C81EC7"/>
    <w:rsid w:val="03CA6453"/>
    <w:rsid w:val="03E23B61"/>
    <w:rsid w:val="04024DE0"/>
    <w:rsid w:val="04087CFC"/>
    <w:rsid w:val="040C25C7"/>
    <w:rsid w:val="04390C0B"/>
    <w:rsid w:val="044D4650"/>
    <w:rsid w:val="0453024E"/>
    <w:rsid w:val="045F303F"/>
    <w:rsid w:val="0474689E"/>
    <w:rsid w:val="048B63C6"/>
    <w:rsid w:val="04923BDE"/>
    <w:rsid w:val="04B0389B"/>
    <w:rsid w:val="04EE5C90"/>
    <w:rsid w:val="04FA42D8"/>
    <w:rsid w:val="04FB5818"/>
    <w:rsid w:val="04FE6AEC"/>
    <w:rsid w:val="05045994"/>
    <w:rsid w:val="051573B8"/>
    <w:rsid w:val="051E0DA0"/>
    <w:rsid w:val="052A45EE"/>
    <w:rsid w:val="052E47BF"/>
    <w:rsid w:val="055A55BF"/>
    <w:rsid w:val="055E7F6B"/>
    <w:rsid w:val="058F413A"/>
    <w:rsid w:val="05953C12"/>
    <w:rsid w:val="059A742A"/>
    <w:rsid w:val="05B3687C"/>
    <w:rsid w:val="05D37841"/>
    <w:rsid w:val="05EA5BD6"/>
    <w:rsid w:val="06035C4C"/>
    <w:rsid w:val="060A7508"/>
    <w:rsid w:val="060B00BA"/>
    <w:rsid w:val="06324A1F"/>
    <w:rsid w:val="066545BE"/>
    <w:rsid w:val="069D39AB"/>
    <w:rsid w:val="06A20D1A"/>
    <w:rsid w:val="06A747E4"/>
    <w:rsid w:val="06B940D4"/>
    <w:rsid w:val="06E04354"/>
    <w:rsid w:val="07095F3D"/>
    <w:rsid w:val="071B0B1C"/>
    <w:rsid w:val="073065CD"/>
    <w:rsid w:val="073836D3"/>
    <w:rsid w:val="07396E51"/>
    <w:rsid w:val="07421E27"/>
    <w:rsid w:val="07447AF0"/>
    <w:rsid w:val="074D35B3"/>
    <w:rsid w:val="07723089"/>
    <w:rsid w:val="078B0E7E"/>
    <w:rsid w:val="078E0799"/>
    <w:rsid w:val="07A86618"/>
    <w:rsid w:val="07B611C8"/>
    <w:rsid w:val="07CC620E"/>
    <w:rsid w:val="07E418A6"/>
    <w:rsid w:val="07EC70F4"/>
    <w:rsid w:val="07FD6DF7"/>
    <w:rsid w:val="08032865"/>
    <w:rsid w:val="081971AF"/>
    <w:rsid w:val="08326375"/>
    <w:rsid w:val="083F4238"/>
    <w:rsid w:val="08403C42"/>
    <w:rsid w:val="08471E20"/>
    <w:rsid w:val="086E1AA3"/>
    <w:rsid w:val="087950BB"/>
    <w:rsid w:val="08986A34"/>
    <w:rsid w:val="089B5FE4"/>
    <w:rsid w:val="08CB3CEC"/>
    <w:rsid w:val="08D8516E"/>
    <w:rsid w:val="08E503EC"/>
    <w:rsid w:val="08EA1428"/>
    <w:rsid w:val="09023F99"/>
    <w:rsid w:val="09147452"/>
    <w:rsid w:val="091A3DC8"/>
    <w:rsid w:val="0922463B"/>
    <w:rsid w:val="09280F39"/>
    <w:rsid w:val="09505959"/>
    <w:rsid w:val="09916B3E"/>
    <w:rsid w:val="09AF2373"/>
    <w:rsid w:val="09B71BD4"/>
    <w:rsid w:val="09BB4BAB"/>
    <w:rsid w:val="09C722B2"/>
    <w:rsid w:val="0A370C42"/>
    <w:rsid w:val="0A435850"/>
    <w:rsid w:val="0A6E6708"/>
    <w:rsid w:val="0ACF3C35"/>
    <w:rsid w:val="0ADE486E"/>
    <w:rsid w:val="0AE20332"/>
    <w:rsid w:val="0AF02C43"/>
    <w:rsid w:val="0B08332E"/>
    <w:rsid w:val="0B0E51EC"/>
    <w:rsid w:val="0B456179"/>
    <w:rsid w:val="0B554FDD"/>
    <w:rsid w:val="0B582174"/>
    <w:rsid w:val="0B754D00"/>
    <w:rsid w:val="0B8553CD"/>
    <w:rsid w:val="0B886D91"/>
    <w:rsid w:val="0B9112D7"/>
    <w:rsid w:val="0B9B77C4"/>
    <w:rsid w:val="0BA059C7"/>
    <w:rsid w:val="0BBC48D3"/>
    <w:rsid w:val="0C0C750D"/>
    <w:rsid w:val="0C0E2CB9"/>
    <w:rsid w:val="0C2E48A7"/>
    <w:rsid w:val="0C322DE7"/>
    <w:rsid w:val="0C602A54"/>
    <w:rsid w:val="0C66262C"/>
    <w:rsid w:val="0C694752"/>
    <w:rsid w:val="0C775961"/>
    <w:rsid w:val="0C7F261C"/>
    <w:rsid w:val="0C7F4728"/>
    <w:rsid w:val="0C86295A"/>
    <w:rsid w:val="0C88263A"/>
    <w:rsid w:val="0CA41689"/>
    <w:rsid w:val="0CB11F5E"/>
    <w:rsid w:val="0CD12600"/>
    <w:rsid w:val="0CE11355"/>
    <w:rsid w:val="0CEE25D8"/>
    <w:rsid w:val="0D085A94"/>
    <w:rsid w:val="0D161ADF"/>
    <w:rsid w:val="0D1747FA"/>
    <w:rsid w:val="0D347A24"/>
    <w:rsid w:val="0D3A63F7"/>
    <w:rsid w:val="0D48753F"/>
    <w:rsid w:val="0D4F753C"/>
    <w:rsid w:val="0D530210"/>
    <w:rsid w:val="0D5D0313"/>
    <w:rsid w:val="0D5E55ED"/>
    <w:rsid w:val="0D6D4519"/>
    <w:rsid w:val="0D733008"/>
    <w:rsid w:val="0D7C2B3B"/>
    <w:rsid w:val="0D7C2C87"/>
    <w:rsid w:val="0D927FE1"/>
    <w:rsid w:val="0D94621A"/>
    <w:rsid w:val="0D9B5098"/>
    <w:rsid w:val="0DA32844"/>
    <w:rsid w:val="0DAA2138"/>
    <w:rsid w:val="0DBA12E6"/>
    <w:rsid w:val="0DD05E96"/>
    <w:rsid w:val="0DD405FA"/>
    <w:rsid w:val="0DD433D0"/>
    <w:rsid w:val="0DDE7023"/>
    <w:rsid w:val="0DF41459"/>
    <w:rsid w:val="0DFF319D"/>
    <w:rsid w:val="0E014298"/>
    <w:rsid w:val="0E1B7885"/>
    <w:rsid w:val="0E2513A8"/>
    <w:rsid w:val="0E3E652C"/>
    <w:rsid w:val="0E460DCC"/>
    <w:rsid w:val="0E601E8E"/>
    <w:rsid w:val="0E622245"/>
    <w:rsid w:val="0E7862A5"/>
    <w:rsid w:val="0E7C3D37"/>
    <w:rsid w:val="0EBA6A28"/>
    <w:rsid w:val="0ED04655"/>
    <w:rsid w:val="0ED4277A"/>
    <w:rsid w:val="0EFA761C"/>
    <w:rsid w:val="0F2504B0"/>
    <w:rsid w:val="0F585D1A"/>
    <w:rsid w:val="0F683C74"/>
    <w:rsid w:val="0F7B6939"/>
    <w:rsid w:val="0F7C2A82"/>
    <w:rsid w:val="0F7E4E5C"/>
    <w:rsid w:val="0F802FB9"/>
    <w:rsid w:val="0FA15CB3"/>
    <w:rsid w:val="0FBF4DC5"/>
    <w:rsid w:val="0FCB0993"/>
    <w:rsid w:val="0FE12B5A"/>
    <w:rsid w:val="0FF22FB9"/>
    <w:rsid w:val="0FFC1A7E"/>
    <w:rsid w:val="10021697"/>
    <w:rsid w:val="10287BE4"/>
    <w:rsid w:val="103A226A"/>
    <w:rsid w:val="105154DE"/>
    <w:rsid w:val="105B6A9B"/>
    <w:rsid w:val="10604B63"/>
    <w:rsid w:val="108F25B6"/>
    <w:rsid w:val="10B273D1"/>
    <w:rsid w:val="10EC5C5A"/>
    <w:rsid w:val="110079DA"/>
    <w:rsid w:val="11124F95"/>
    <w:rsid w:val="111E393A"/>
    <w:rsid w:val="113C0A89"/>
    <w:rsid w:val="1147039A"/>
    <w:rsid w:val="1149633B"/>
    <w:rsid w:val="11503A61"/>
    <w:rsid w:val="11515ABE"/>
    <w:rsid w:val="11542977"/>
    <w:rsid w:val="115B427F"/>
    <w:rsid w:val="11601D37"/>
    <w:rsid w:val="11655955"/>
    <w:rsid w:val="117B1B11"/>
    <w:rsid w:val="117B20CF"/>
    <w:rsid w:val="118F65E6"/>
    <w:rsid w:val="119105B0"/>
    <w:rsid w:val="119B4F8B"/>
    <w:rsid w:val="11C94129"/>
    <w:rsid w:val="11E4710F"/>
    <w:rsid w:val="11ED1C8A"/>
    <w:rsid w:val="11ED5F2C"/>
    <w:rsid w:val="1203201C"/>
    <w:rsid w:val="121A67F7"/>
    <w:rsid w:val="12257ED3"/>
    <w:rsid w:val="12576C93"/>
    <w:rsid w:val="1283393D"/>
    <w:rsid w:val="12CF0FDA"/>
    <w:rsid w:val="130C4392"/>
    <w:rsid w:val="13167B4C"/>
    <w:rsid w:val="13173587"/>
    <w:rsid w:val="131758F2"/>
    <w:rsid w:val="131F7E2F"/>
    <w:rsid w:val="13261D13"/>
    <w:rsid w:val="13485DB4"/>
    <w:rsid w:val="135F4ACD"/>
    <w:rsid w:val="13675A6C"/>
    <w:rsid w:val="13715E37"/>
    <w:rsid w:val="13726660"/>
    <w:rsid w:val="138E2FF9"/>
    <w:rsid w:val="143A1C9A"/>
    <w:rsid w:val="14773A8D"/>
    <w:rsid w:val="14821692"/>
    <w:rsid w:val="148B7538"/>
    <w:rsid w:val="149C1746"/>
    <w:rsid w:val="14B86485"/>
    <w:rsid w:val="14BC2F1E"/>
    <w:rsid w:val="14CF5677"/>
    <w:rsid w:val="14DD7A5A"/>
    <w:rsid w:val="14E82BDD"/>
    <w:rsid w:val="14F92E61"/>
    <w:rsid w:val="14FA2A9D"/>
    <w:rsid w:val="150419E3"/>
    <w:rsid w:val="1508056D"/>
    <w:rsid w:val="15100D8F"/>
    <w:rsid w:val="151E6224"/>
    <w:rsid w:val="154F521D"/>
    <w:rsid w:val="15593193"/>
    <w:rsid w:val="155D0ED5"/>
    <w:rsid w:val="15651959"/>
    <w:rsid w:val="158E24F2"/>
    <w:rsid w:val="1593276C"/>
    <w:rsid w:val="15956E0A"/>
    <w:rsid w:val="15BA1298"/>
    <w:rsid w:val="15D64665"/>
    <w:rsid w:val="15DD5B72"/>
    <w:rsid w:val="16027CCE"/>
    <w:rsid w:val="16041350"/>
    <w:rsid w:val="1607762B"/>
    <w:rsid w:val="160A307A"/>
    <w:rsid w:val="16125BB1"/>
    <w:rsid w:val="163634D4"/>
    <w:rsid w:val="16424E9F"/>
    <w:rsid w:val="16471D84"/>
    <w:rsid w:val="16490A15"/>
    <w:rsid w:val="16510F61"/>
    <w:rsid w:val="16A265D5"/>
    <w:rsid w:val="16DA0303"/>
    <w:rsid w:val="16F74D42"/>
    <w:rsid w:val="16F82C5B"/>
    <w:rsid w:val="1726530A"/>
    <w:rsid w:val="17283A5F"/>
    <w:rsid w:val="17312982"/>
    <w:rsid w:val="174560C4"/>
    <w:rsid w:val="174B7039"/>
    <w:rsid w:val="175400B6"/>
    <w:rsid w:val="175F5E30"/>
    <w:rsid w:val="176136E8"/>
    <w:rsid w:val="17702090"/>
    <w:rsid w:val="1781797E"/>
    <w:rsid w:val="17845DF8"/>
    <w:rsid w:val="178C011D"/>
    <w:rsid w:val="178F4A08"/>
    <w:rsid w:val="17A821AF"/>
    <w:rsid w:val="17C238CB"/>
    <w:rsid w:val="17E104FE"/>
    <w:rsid w:val="17EA3935"/>
    <w:rsid w:val="18012888"/>
    <w:rsid w:val="182B350C"/>
    <w:rsid w:val="184620F4"/>
    <w:rsid w:val="18597E8B"/>
    <w:rsid w:val="18862C5B"/>
    <w:rsid w:val="18BD7EDC"/>
    <w:rsid w:val="18E8465E"/>
    <w:rsid w:val="19167E2A"/>
    <w:rsid w:val="1922197F"/>
    <w:rsid w:val="19231BC1"/>
    <w:rsid w:val="19320899"/>
    <w:rsid w:val="19351C0F"/>
    <w:rsid w:val="19521D97"/>
    <w:rsid w:val="195B5257"/>
    <w:rsid w:val="196D1903"/>
    <w:rsid w:val="196F7429"/>
    <w:rsid w:val="1988673C"/>
    <w:rsid w:val="19BC74A9"/>
    <w:rsid w:val="19DB6E5C"/>
    <w:rsid w:val="19FD2C86"/>
    <w:rsid w:val="1A1A3838"/>
    <w:rsid w:val="1A1D3736"/>
    <w:rsid w:val="1A254468"/>
    <w:rsid w:val="1A3310DD"/>
    <w:rsid w:val="1A3D30BC"/>
    <w:rsid w:val="1A5D3725"/>
    <w:rsid w:val="1A666A62"/>
    <w:rsid w:val="1A8B24B6"/>
    <w:rsid w:val="1A9C7F99"/>
    <w:rsid w:val="1AA57BD7"/>
    <w:rsid w:val="1AAB244B"/>
    <w:rsid w:val="1AC55BB6"/>
    <w:rsid w:val="1AEA56AB"/>
    <w:rsid w:val="1AF23E6D"/>
    <w:rsid w:val="1AFA2CD8"/>
    <w:rsid w:val="1B150FB5"/>
    <w:rsid w:val="1B1C538E"/>
    <w:rsid w:val="1B1F6C2C"/>
    <w:rsid w:val="1B5541EE"/>
    <w:rsid w:val="1B7A31E4"/>
    <w:rsid w:val="1B83540D"/>
    <w:rsid w:val="1B8372EE"/>
    <w:rsid w:val="1B9969DF"/>
    <w:rsid w:val="1B9A0483"/>
    <w:rsid w:val="1BB6133F"/>
    <w:rsid w:val="1BE90CA6"/>
    <w:rsid w:val="1C0302FC"/>
    <w:rsid w:val="1C0D6B6F"/>
    <w:rsid w:val="1C1D0339"/>
    <w:rsid w:val="1C222250"/>
    <w:rsid w:val="1C2F673B"/>
    <w:rsid w:val="1C4A1A87"/>
    <w:rsid w:val="1C4C0738"/>
    <w:rsid w:val="1C7C7EF2"/>
    <w:rsid w:val="1CC75540"/>
    <w:rsid w:val="1D2075AC"/>
    <w:rsid w:val="1D457D79"/>
    <w:rsid w:val="1D563A8D"/>
    <w:rsid w:val="1D5A4701"/>
    <w:rsid w:val="1D6C11CA"/>
    <w:rsid w:val="1DB30C69"/>
    <w:rsid w:val="1DC97045"/>
    <w:rsid w:val="1DD957B9"/>
    <w:rsid w:val="1DD97567"/>
    <w:rsid w:val="1DE61ECF"/>
    <w:rsid w:val="1E0F0E72"/>
    <w:rsid w:val="1E2E058C"/>
    <w:rsid w:val="1E3358BF"/>
    <w:rsid w:val="1E3D382D"/>
    <w:rsid w:val="1E791531"/>
    <w:rsid w:val="1E997795"/>
    <w:rsid w:val="1EA57FE6"/>
    <w:rsid w:val="1EB215A9"/>
    <w:rsid w:val="1EB71E73"/>
    <w:rsid w:val="1EE12B77"/>
    <w:rsid w:val="1EF70B4B"/>
    <w:rsid w:val="1F045D28"/>
    <w:rsid w:val="1F29234C"/>
    <w:rsid w:val="1F440453"/>
    <w:rsid w:val="1F4A6D0C"/>
    <w:rsid w:val="1F505FDC"/>
    <w:rsid w:val="1F850081"/>
    <w:rsid w:val="1F8B366A"/>
    <w:rsid w:val="1FA2672F"/>
    <w:rsid w:val="1FA6057C"/>
    <w:rsid w:val="1FAA740D"/>
    <w:rsid w:val="1FB0453C"/>
    <w:rsid w:val="1FB262C1"/>
    <w:rsid w:val="1FCA128A"/>
    <w:rsid w:val="1FD9384E"/>
    <w:rsid w:val="20100B77"/>
    <w:rsid w:val="20146C61"/>
    <w:rsid w:val="202738E2"/>
    <w:rsid w:val="20520323"/>
    <w:rsid w:val="208379A7"/>
    <w:rsid w:val="2087141A"/>
    <w:rsid w:val="2092572D"/>
    <w:rsid w:val="20B20D4B"/>
    <w:rsid w:val="20DB1848"/>
    <w:rsid w:val="211F34E2"/>
    <w:rsid w:val="2128213A"/>
    <w:rsid w:val="2136082C"/>
    <w:rsid w:val="2146318C"/>
    <w:rsid w:val="21632820"/>
    <w:rsid w:val="219E1B39"/>
    <w:rsid w:val="21A5115F"/>
    <w:rsid w:val="21B762F6"/>
    <w:rsid w:val="21B918B6"/>
    <w:rsid w:val="21CB0975"/>
    <w:rsid w:val="21CC2308"/>
    <w:rsid w:val="21CD5FC6"/>
    <w:rsid w:val="21DF35E6"/>
    <w:rsid w:val="220D3C83"/>
    <w:rsid w:val="22186EE4"/>
    <w:rsid w:val="22441ABE"/>
    <w:rsid w:val="2276070D"/>
    <w:rsid w:val="22F25A5E"/>
    <w:rsid w:val="2305495A"/>
    <w:rsid w:val="230842DA"/>
    <w:rsid w:val="230F3A07"/>
    <w:rsid w:val="232748D0"/>
    <w:rsid w:val="233C57A9"/>
    <w:rsid w:val="234B6E4A"/>
    <w:rsid w:val="234C77EE"/>
    <w:rsid w:val="235819E6"/>
    <w:rsid w:val="235A4CA6"/>
    <w:rsid w:val="235A79AD"/>
    <w:rsid w:val="235D2C72"/>
    <w:rsid w:val="238B4B37"/>
    <w:rsid w:val="239501AA"/>
    <w:rsid w:val="23AC4114"/>
    <w:rsid w:val="23BA3AD8"/>
    <w:rsid w:val="23C73142"/>
    <w:rsid w:val="23CD2BC9"/>
    <w:rsid w:val="23DD5021"/>
    <w:rsid w:val="23EB3EB4"/>
    <w:rsid w:val="23FA089B"/>
    <w:rsid w:val="241E5CD3"/>
    <w:rsid w:val="24341998"/>
    <w:rsid w:val="24347AE9"/>
    <w:rsid w:val="243B4AD7"/>
    <w:rsid w:val="24431E93"/>
    <w:rsid w:val="244C647F"/>
    <w:rsid w:val="24596D0B"/>
    <w:rsid w:val="246F29D3"/>
    <w:rsid w:val="247C4AAB"/>
    <w:rsid w:val="24870B75"/>
    <w:rsid w:val="24976C64"/>
    <w:rsid w:val="24E33EA6"/>
    <w:rsid w:val="24E6790B"/>
    <w:rsid w:val="253231A0"/>
    <w:rsid w:val="2541100B"/>
    <w:rsid w:val="254E25E8"/>
    <w:rsid w:val="25837E9A"/>
    <w:rsid w:val="2597406B"/>
    <w:rsid w:val="25A91F14"/>
    <w:rsid w:val="25D16D75"/>
    <w:rsid w:val="25D44334"/>
    <w:rsid w:val="25D75C5E"/>
    <w:rsid w:val="25DA2B18"/>
    <w:rsid w:val="25DE4C6C"/>
    <w:rsid w:val="25FD10FD"/>
    <w:rsid w:val="261C26E6"/>
    <w:rsid w:val="263263C2"/>
    <w:rsid w:val="26485289"/>
    <w:rsid w:val="26601A73"/>
    <w:rsid w:val="26661BB3"/>
    <w:rsid w:val="267B5094"/>
    <w:rsid w:val="26924766"/>
    <w:rsid w:val="26B4291F"/>
    <w:rsid w:val="26C00B6A"/>
    <w:rsid w:val="26C32B62"/>
    <w:rsid w:val="26C50175"/>
    <w:rsid w:val="26C7602D"/>
    <w:rsid w:val="27117D71"/>
    <w:rsid w:val="272A4EC8"/>
    <w:rsid w:val="273F48DE"/>
    <w:rsid w:val="27655C3D"/>
    <w:rsid w:val="278E27AF"/>
    <w:rsid w:val="279C40E1"/>
    <w:rsid w:val="27B0148D"/>
    <w:rsid w:val="27C9373B"/>
    <w:rsid w:val="27DE706E"/>
    <w:rsid w:val="27DF6DCB"/>
    <w:rsid w:val="28033B5E"/>
    <w:rsid w:val="28133E12"/>
    <w:rsid w:val="281958CD"/>
    <w:rsid w:val="281C077C"/>
    <w:rsid w:val="2852419D"/>
    <w:rsid w:val="28705A72"/>
    <w:rsid w:val="28760196"/>
    <w:rsid w:val="28BC5709"/>
    <w:rsid w:val="28C055AB"/>
    <w:rsid w:val="28CF690B"/>
    <w:rsid w:val="28D252DE"/>
    <w:rsid w:val="28F72F97"/>
    <w:rsid w:val="28F91320"/>
    <w:rsid w:val="290032A5"/>
    <w:rsid w:val="29247149"/>
    <w:rsid w:val="293202D2"/>
    <w:rsid w:val="29325D7D"/>
    <w:rsid w:val="29396458"/>
    <w:rsid w:val="296543A4"/>
    <w:rsid w:val="29734F00"/>
    <w:rsid w:val="29BF531E"/>
    <w:rsid w:val="29CC13F3"/>
    <w:rsid w:val="29CF181E"/>
    <w:rsid w:val="29D02F62"/>
    <w:rsid w:val="2A127B8E"/>
    <w:rsid w:val="2A3709FC"/>
    <w:rsid w:val="2A3D2B88"/>
    <w:rsid w:val="2A3E45BE"/>
    <w:rsid w:val="2A593BB4"/>
    <w:rsid w:val="2A6B010C"/>
    <w:rsid w:val="2A6F1145"/>
    <w:rsid w:val="2A75648D"/>
    <w:rsid w:val="2A8077CD"/>
    <w:rsid w:val="2AAB1C76"/>
    <w:rsid w:val="2ABD4763"/>
    <w:rsid w:val="2ABD4F65"/>
    <w:rsid w:val="2AD844F3"/>
    <w:rsid w:val="2AFA28CA"/>
    <w:rsid w:val="2B043E08"/>
    <w:rsid w:val="2B06663E"/>
    <w:rsid w:val="2B0D10C0"/>
    <w:rsid w:val="2B1F75A6"/>
    <w:rsid w:val="2B287B40"/>
    <w:rsid w:val="2B2D7144"/>
    <w:rsid w:val="2B4E4183"/>
    <w:rsid w:val="2BC04E50"/>
    <w:rsid w:val="2BE33EF2"/>
    <w:rsid w:val="2C255669"/>
    <w:rsid w:val="2C2C2F57"/>
    <w:rsid w:val="2C2E4F21"/>
    <w:rsid w:val="2C30156B"/>
    <w:rsid w:val="2C301D8F"/>
    <w:rsid w:val="2C3B0ECC"/>
    <w:rsid w:val="2C496D53"/>
    <w:rsid w:val="2C5B5732"/>
    <w:rsid w:val="2C6079CD"/>
    <w:rsid w:val="2C617C38"/>
    <w:rsid w:val="2C677485"/>
    <w:rsid w:val="2C7A0167"/>
    <w:rsid w:val="2C7E0850"/>
    <w:rsid w:val="2C7E368F"/>
    <w:rsid w:val="2C825E23"/>
    <w:rsid w:val="2C9036F0"/>
    <w:rsid w:val="2C9D013F"/>
    <w:rsid w:val="2CA21493"/>
    <w:rsid w:val="2CAB47C4"/>
    <w:rsid w:val="2CD47877"/>
    <w:rsid w:val="2CF52374"/>
    <w:rsid w:val="2D165704"/>
    <w:rsid w:val="2D1A0EBD"/>
    <w:rsid w:val="2D281971"/>
    <w:rsid w:val="2D5B5AB5"/>
    <w:rsid w:val="2D5E17C3"/>
    <w:rsid w:val="2D6A700F"/>
    <w:rsid w:val="2DBD6C6F"/>
    <w:rsid w:val="2DCF571A"/>
    <w:rsid w:val="2DE35E46"/>
    <w:rsid w:val="2DED1305"/>
    <w:rsid w:val="2DFE5206"/>
    <w:rsid w:val="2E1231F8"/>
    <w:rsid w:val="2E174BD6"/>
    <w:rsid w:val="2E246812"/>
    <w:rsid w:val="2E281AA6"/>
    <w:rsid w:val="2E285997"/>
    <w:rsid w:val="2E334A71"/>
    <w:rsid w:val="2E4164B0"/>
    <w:rsid w:val="2E4A0A1C"/>
    <w:rsid w:val="2E6D7F83"/>
    <w:rsid w:val="2E6E5AA9"/>
    <w:rsid w:val="2E816EE4"/>
    <w:rsid w:val="2EC15BD9"/>
    <w:rsid w:val="2EE12865"/>
    <w:rsid w:val="2EE97C5E"/>
    <w:rsid w:val="2EF35FAE"/>
    <w:rsid w:val="2F035F47"/>
    <w:rsid w:val="2F067EC3"/>
    <w:rsid w:val="2F2D7BAA"/>
    <w:rsid w:val="2F357BB5"/>
    <w:rsid w:val="2F4F2D15"/>
    <w:rsid w:val="2F57098B"/>
    <w:rsid w:val="2F580D5E"/>
    <w:rsid w:val="2FB22838"/>
    <w:rsid w:val="2FD21E07"/>
    <w:rsid w:val="2FFD54D6"/>
    <w:rsid w:val="300C37CC"/>
    <w:rsid w:val="300F0711"/>
    <w:rsid w:val="3017098D"/>
    <w:rsid w:val="30175D96"/>
    <w:rsid w:val="30195977"/>
    <w:rsid w:val="30291303"/>
    <w:rsid w:val="302A1EA4"/>
    <w:rsid w:val="30414686"/>
    <w:rsid w:val="304B315B"/>
    <w:rsid w:val="304C1E1A"/>
    <w:rsid w:val="304F3461"/>
    <w:rsid w:val="30882086"/>
    <w:rsid w:val="3091782D"/>
    <w:rsid w:val="30C36962"/>
    <w:rsid w:val="30D065A7"/>
    <w:rsid w:val="30E030D5"/>
    <w:rsid w:val="30E50A8F"/>
    <w:rsid w:val="30E85681"/>
    <w:rsid w:val="30FB6CC6"/>
    <w:rsid w:val="31197F4E"/>
    <w:rsid w:val="312863E3"/>
    <w:rsid w:val="314D1797"/>
    <w:rsid w:val="3159659D"/>
    <w:rsid w:val="315A0F43"/>
    <w:rsid w:val="315E07AF"/>
    <w:rsid w:val="31763FF5"/>
    <w:rsid w:val="31814555"/>
    <w:rsid w:val="31C2122D"/>
    <w:rsid w:val="32163228"/>
    <w:rsid w:val="321B7281"/>
    <w:rsid w:val="32285CA2"/>
    <w:rsid w:val="323F720C"/>
    <w:rsid w:val="32614404"/>
    <w:rsid w:val="32764F2C"/>
    <w:rsid w:val="327A0EC0"/>
    <w:rsid w:val="32A221C5"/>
    <w:rsid w:val="32AE518F"/>
    <w:rsid w:val="32BA12BD"/>
    <w:rsid w:val="32C10331"/>
    <w:rsid w:val="32C372D4"/>
    <w:rsid w:val="331244B5"/>
    <w:rsid w:val="33191976"/>
    <w:rsid w:val="3319479A"/>
    <w:rsid w:val="33242BDA"/>
    <w:rsid w:val="33243844"/>
    <w:rsid w:val="333C3C3A"/>
    <w:rsid w:val="334227D3"/>
    <w:rsid w:val="33423060"/>
    <w:rsid w:val="33507EA5"/>
    <w:rsid w:val="33607E87"/>
    <w:rsid w:val="3361574C"/>
    <w:rsid w:val="33641229"/>
    <w:rsid w:val="33791178"/>
    <w:rsid w:val="337F2084"/>
    <w:rsid w:val="33805299"/>
    <w:rsid w:val="339733AC"/>
    <w:rsid w:val="33AA00CA"/>
    <w:rsid w:val="33AE420A"/>
    <w:rsid w:val="33BD72C5"/>
    <w:rsid w:val="33C50BE7"/>
    <w:rsid w:val="33CA3A46"/>
    <w:rsid w:val="33D30C84"/>
    <w:rsid w:val="33F94067"/>
    <w:rsid w:val="340C6F58"/>
    <w:rsid w:val="342654B6"/>
    <w:rsid w:val="342B19E1"/>
    <w:rsid w:val="342B3DEE"/>
    <w:rsid w:val="343432F1"/>
    <w:rsid w:val="346218A9"/>
    <w:rsid w:val="348402EB"/>
    <w:rsid w:val="348C22ED"/>
    <w:rsid w:val="34B70DD5"/>
    <w:rsid w:val="34B8016A"/>
    <w:rsid w:val="34C16610"/>
    <w:rsid w:val="34D761DF"/>
    <w:rsid w:val="34E272A2"/>
    <w:rsid w:val="34E645EB"/>
    <w:rsid w:val="34EE642A"/>
    <w:rsid w:val="34F804AB"/>
    <w:rsid w:val="35043513"/>
    <w:rsid w:val="350F21D1"/>
    <w:rsid w:val="352D165C"/>
    <w:rsid w:val="353115DE"/>
    <w:rsid w:val="353B2C18"/>
    <w:rsid w:val="353E58DB"/>
    <w:rsid w:val="35492DCC"/>
    <w:rsid w:val="3556260B"/>
    <w:rsid w:val="356055CD"/>
    <w:rsid w:val="357E0286"/>
    <w:rsid w:val="35845BB2"/>
    <w:rsid w:val="3591118B"/>
    <w:rsid w:val="35A026CA"/>
    <w:rsid w:val="35BE362E"/>
    <w:rsid w:val="35E52A11"/>
    <w:rsid w:val="3619519D"/>
    <w:rsid w:val="36317AE8"/>
    <w:rsid w:val="365B7C60"/>
    <w:rsid w:val="36697C11"/>
    <w:rsid w:val="366D4898"/>
    <w:rsid w:val="367C2931"/>
    <w:rsid w:val="36806C15"/>
    <w:rsid w:val="369D6F2B"/>
    <w:rsid w:val="36AC3612"/>
    <w:rsid w:val="36CB5855"/>
    <w:rsid w:val="36DF5C88"/>
    <w:rsid w:val="36E7464B"/>
    <w:rsid w:val="36F03EB6"/>
    <w:rsid w:val="37052D23"/>
    <w:rsid w:val="37176C2A"/>
    <w:rsid w:val="37206271"/>
    <w:rsid w:val="37265173"/>
    <w:rsid w:val="37475806"/>
    <w:rsid w:val="375747C3"/>
    <w:rsid w:val="375A2AC0"/>
    <w:rsid w:val="37636AB1"/>
    <w:rsid w:val="37A8202C"/>
    <w:rsid w:val="37D612D9"/>
    <w:rsid w:val="37DF2F5E"/>
    <w:rsid w:val="37E028A5"/>
    <w:rsid w:val="37ED7953"/>
    <w:rsid w:val="37FA5CA2"/>
    <w:rsid w:val="383C71CE"/>
    <w:rsid w:val="388D5D41"/>
    <w:rsid w:val="38975049"/>
    <w:rsid w:val="389B5D7D"/>
    <w:rsid w:val="38A3701F"/>
    <w:rsid w:val="38C84BF5"/>
    <w:rsid w:val="38CC58A6"/>
    <w:rsid w:val="38D16562"/>
    <w:rsid w:val="38FB1854"/>
    <w:rsid w:val="39016C54"/>
    <w:rsid w:val="3911347E"/>
    <w:rsid w:val="39167469"/>
    <w:rsid w:val="391C580A"/>
    <w:rsid w:val="394144E6"/>
    <w:rsid w:val="394B7113"/>
    <w:rsid w:val="394E3131"/>
    <w:rsid w:val="394F36AE"/>
    <w:rsid w:val="39500E6A"/>
    <w:rsid w:val="396B6CD3"/>
    <w:rsid w:val="39812B34"/>
    <w:rsid w:val="39916437"/>
    <w:rsid w:val="39A677DC"/>
    <w:rsid w:val="39AF3545"/>
    <w:rsid w:val="3A110CCC"/>
    <w:rsid w:val="3A116A5B"/>
    <w:rsid w:val="3A1E25E2"/>
    <w:rsid w:val="3A503F45"/>
    <w:rsid w:val="3A5E69D2"/>
    <w:rsid w:val="3A8438B5"/>
    <w:rsid w:val="3A960861"/>
    <w:rsid w:val="3A9A76DA"/>
    <w:rsid w:val="3AA20FB4"/>
    <w:rsid w:val="3ACB1496"/>
    <w:rsid w:val="3AF141DF"/>
    <w:rsid w:val="3B141786"/>
    <w:rsid w:val="3B1F400D"/>
    <w:rsid w:val="3B4E14F1"/>
    <w:rsid w:val="3B6D23BA"/>
    <w:rsid w:val="3B705E12"/>
    <w:rsid w:val="3B81217F"/>
    <w:rsid w:val="3B8A5982"/>
    <w:rsid w:val="3B9D3191"/>
    <w:rsid w:val="3BBE326F"/>
    <w:rsid w:val="3BBF5B96"/>
    <w:rsid w:val="3BC84488"/>
    <w:rsid w:val="3BE74C13"/>
    <w:rsid w:val="3C055CF8"/>
    <w:rsid w:val="3C060105"/>
    <w:rsid w:val="3C16697D"/>
    <w:rsid w:val="3C377B0A"/>
    <w:rsid w:val="3C5B0067"/>
    <w:rsid w:val="3C934D77"/>
    <w:rsid w:val="3C970BE0"/>
    <w:rsid w:val="3CAA3877"/>
    <w:rsid w:val="3CB7061B"/>
    <w:rsid w:val="3CF35781"/>
    <w:rsid w:val="3D232155"/>
    <w:rsid w:val="3D2568DA"/>
    <w:rsid w:val="3D29365F"/>
    <w:rsid w:val="3D3B2CF1"/>
    <w:rsid w:val="3D4718F1"/>
    <w:rsid w:val="3D4F2F4A"/>
    <w:rsid w:val="3D591D8D"/>
    <w:rsid w:val="3D5B3DBA"/>
    <w:rsid w:val="3D6E33D0"/>
    <w:rsid w:val="3D702A6B"/>
    <w:rsid w:val="3D7627BC"/>
    <w:rsid w:val="3D98037C"/>
    <w:rsid w:val="3D9A2417"/>
    <w:rsid w:val="3D9B618F"/>
    <w:rsid w:val="3DA67C4D"/>
    <w:rsid w:val="3DB9011D"/>
    <w:rsid w:val="3DBF3C2B"/>
    <w:rsid w:val="3DD25A04"/>
    <w:rsid w:val="3DF00B18"/>
    <w:rsid w:val="3DFD6317"/>
    <w:rsid w:val="3E081964"/>
    <w:rsid w:val="3E33506C"/>
    <w:rsid w:val="3E371D45"/>
    <w:rsid w:val="3E477024"/>
    <w:rsid w:val="3E522CF1"/>
    <w:rsid w:val="3EA91050"/>
    <w:rsid w:val="3EB475E0"/>
    <w:rsid w:val="3EC45A8B"/>
    <w:rsid w:val="3EC90069"/>
    <w:rsid w:val="3EEB2ECC"/>
    <w:rsid w:val="3EF47F62"/>
    <w:rsid w:val="3EFD0EAF"/>
    <w:rsid w:val="3F1C1750"/>
    <w:rsid w:val="3F1F1B04"/>
    <w:rsid w:val="3F4A73D7"/>
    <w:rsid w:val="3F5E3FC8"/>
    <w:rsid w:val="3FAF1E32"/>
    <w:rsid w:val="3FC36051"/>
    <w:rsid w:val="3FE75B55"/>
    <w:rsid w:val="3FF73FB7"/>
    <w:rsid w:val="3FFB1B81"/>
    <w:rsid w:val="4001677D"/>
    <w:rsid w:val="406165AB"/>
    <w:rsid w:val="408F5829"/>
    <w:rsid w:val="40910926"/>
    <w:rsid w:val="40B03703"/>
    <w:rsid w:val="40B51316"/>
    <w:rsid w:val="40B63354"/>
    <w:rsid w:val="40DE6ABE"/>
    <w:rsid w:val="40E44F98"/>
    <w:rsid w:val="415E631A"/>
    <w:rsid w:val="415F7504"/>
    <w:rsid w:val="41652D65"/>
    <w:rsid w:val="41A43134"/>
    <w:rsid w:val="41A43B10"/>
    <w:rsid w:val="420B09B6"/>
    <w:rsid w:val="421D28B1"/>
    <w:rsid w:val="4249097A"/>
    <w:rsid w:val="424D069F"/>
    <w:rsid w:val="424E2098"/>
    <w:rsid w:val="425B1BB9"/>
    <w:rsid w:val="425E3AF3"/>
    <w:rsid w:val="4279210E"/>
    <w:rsid w:val="429E7FFF"/>
    <w:rsid w:val="42C67347"/>
    <w:rsid w:val="42CD7863"/>
    <w:rsid w:val="42E67EAC"/>
    <w:rsid w:val="42EE4F50"/>
    <w:rsid w:val="43312226"/>
    <w:rsid w:val="43362BE2"/>
    <w:rsid w:val="434F3907"/>
    <w:rsid w:val="4384378D"/>
    <w:rsid w:val="43860D47"/>
    <w:rsid w:val="43A32A3B"/>
    <w:rsid w:val="43A55671"/>
    <w:rsid w:val="43EE5C22"/>
    <w:rsid w:val="43F32881"/>
    <w:rsid w:val="43F403A7"/>
    <w:rsid w:val="43FF6EAF"/>
    <w:rsid w:val="44013957"/>
    <w:rsid w:val="44250D6C"/>
    <w:rsid w:val="44406827"/>
    <w:rsid w:val="44447ECD"/>
    <w:rsid w:val="446A2417"/>
    <w:rsid w:val="44A15885"/>
    <w:rsid w:val="44AB6CB7"/>
    <w:rsid w:val="44AF7BD4"/>
    <w:rsid w:val="44BF7AC3"/>
    <w:rsid w:val="44C46F12"/>
    <w:rsid w:val="44C47448"/>
    <w:rsid w:val="44C935E1"/>
    <w:rsid w:val="44CB1E58"/>
    <w:rsid w:val="44D01E8F"/>
    <w:rsid w:val="44DE69B9"/>
    <w:rsid w:val="44E81CE9"/>
    <w:rsid w:val="44EE39D3"/>
    <w:rsid w:val="44F22763"/>
    <w:rsid w:val="45015BD3"/>
    <w:rsid w:val="45221A31"/>
    <w:rsid w:val="45667233"/>
    <w:rsid w:val="45857895"/>
    <w:rsid w:val="458F65D9"/>
    <w:rsid w:val="45D43170"/>
    <w:rsid w:val="45E20DFA"/>
    <w:rsid w:val="45E67918"/>
    <w:rsid w:val="45F428E0"/>
    <w:rsid w:val="460B0051"/>
    <w:rsid w:val="46240427"/>
    <w:rsid w:val="463B709A"/>
    <w:rsid w:val="463E35D3"/>
    <w:rsid w:val="464078D3"/>
    <w:rsid w:val="46505821"/>
    <w:rsid w:val="46603870"/>
    <w:rsid w:val="46622E74"/>
    <w:rsid w:val="46965419"/>
    <w:rsid w:val="469D7D45"/>
    <w:rsid w:val="46EE5581"/>
    <w:rsid w:val="47121015"/>
    <w:rsid w:val="472471F5"/>
    <w:rsid w:val="472D7E58"/>
    <w:rsid w:val="47394B88"/>
    <w:rsid w:val="474F3E01"/>
    <w:rsid w:val="47883E04"/>
    <w:rsid w:val="478875E2"/>
    <w:rsid w:val="478F6F7E"/>
    <w:rsid w:val="47C23E75"/>
    <w:rsid w:val="47FB7792"/>
    <w:rsid w:val="483918A0"/>
    <w:rsid w:val="4860600B"/>
    <w:rsid w:val="489751D1"/>
    <w:rsid w:val="489A1243"/>
    <w:rsid w:val="48A95496"/>
    <w:rsid w:val="48AE4C69"/>
    <w:rsid w:val="48AE7E76"/>
    <w:rsid w:val="48B2756B"/>
    <w:rsid w:val="48C4659A"/>
    <w:rsid w:val="490C0FDF"/>
    <w:rsid w:val="491B3401"/>
    <w:rsid w:val="493354CD"/>
    <w:rsid w:val="49344C73"/>
    <w:rsid w:val="494E2307"/>
    <w:rsid w:val="495042D1"/>
    <w:rsid w:val="49547CBD"/>
    <w:rsid w:val="49770FA1"/>
    <w:rsid w:val="498B70B7"/>
    <w:rsid w:val="49CE24FF"/>
    <w:rsid w:val="49D26565"/>
    <w:rsid w:val="49F02546"/>
    <w:rsid w:val="49F55279"/>
    <w:rsid w:val="4A1B3E6B"/>
    <w:rsid w:val="4A6342EA"/>
    <w:rsid w:val="4A8A736F"/>
    <w:rsid w:val="4AA5064D"/>
    <w:rsid w:val="4AB45672"/>
    <w:rsid w:val="4B067068"/>
    <w:rsid w:val="4B1164D1"/>
    <w:rsid w:val="4B6B6833"/>
    <w:rsid w:val="4B6C4969"/>
    <w:rsid w:val="4B6E54F0"/>
    <w:rsid w:val="4B843300"/>
    <w:rsid w:val="4B8D35BB"/>
    <w:rsid w:val="4B905E28"/>
    <w:rsid w:val="4BA601D9"/>
    <w:rsid w:val="4BB26B7D"/>
    <w:rsid w:val="4BB5041C"/>
    <w:rsid w:val="4BC40B5F"/>
    <w:rsid w:val="4C15535E"/>
    <w:rsid w:val="4C252ABA"/>
    <w:rsid w:val="4C373527"/>
    <w:rsid w:val="4C396263"/>
    <w:rsid w:val="4C3B42A6"/>
    <w:rsid w:val="4C480AB9"/>
    <w:rsid w:val="4C592E7C"/>
    <w:rsid w:val="4C793B3F"/>
    <w:rsid w:val="4C943614"/>
    <w:rsid w:val="4CB431FD"/>
    <w:rsid w:val="4CD95F5C"/>
    <w:rsid w:val="4D07138A"/>
    <w:rsid w:val="4D2D532C"/>
    <w:rsid w:val="4D3B0316"/>
    <w:rsid w:val="4D7C64FF"/>
    <w:rsid w:val="4D987DE0"/>
    <w:rsid w:val="4D9D68B8"/>
    <w:rsid w:val="4DCE212D"/>
    <w:rsid w:val="4DD7680C"/>
    <w:rsid w:val="4E081EC3"/>
    <w:rsid w:val="4E12410D"/>
    <w:rsid w:val="4E1A4EBF"/>
    <w:rsid w:val="4E2925F5"/>
    <w:rsid w:val="4E32035F"/>
    <w:rsid w:val="4E41068C"/>
    <w:rsid w:val="4E424126"/>
    <w:rsid w:val="4E5E19A3"/>
    <w:rsid w:val="4E6525CD"/>
    <w:rsid w:val="4E6D76D3"/>
    <w:rsid w:val="4E7516D3"/>
    <w:rsid w:val="4E8045E5"/>
    <w:rsid w:val="4E810FA4"/>
    <w:rsid w:val="4E925632"/>
    <w:rsid w:val="4E9C1634"/>
    <w:rsid w:val="4EA02FC7"/>
    <w:rsid w:val="4EA36C51"/>
    <w:rsid w:val="4EA64D6A"/>
    <w:rsid w:val="4EA922EF"/>
    <w:rsid w:val="4EF11B41"/>
    <w:rsid w:val="4F004F85"/>
    <w:rsid w:val="4F101E4B"/>
    <w:rsid w:val="4F260A7A"/>
    <w:rsid w:val="4F45337D"/>
    <w:rsid w:val="4F740517"/>
    <w:rsid w:val="4F747791"/>
    <w:rsid w:val="4F756840"/>
    <w:rsid w:val="4F7C662E"/>
    <w:rsid w:val="4F8E5B53"/>
    <w:rsid w:val="4FA90B03"/>
    <w:rsid w:val="4FBB55B3"/>
    <w:rsid w:val="4FBC621D"/>
    <w:rsid w:val="4FC926BF"/>
    <w:rsid w:val="4FD4594E"/>
    <w:rsid w:val="4FD67D06"/>
    <w:rsid w:val="4FD77715"/>
    <w:rsid w:val="4FD96025"/>
    <w:rsid w:val="5012623F"/>
    <w:rsid w:val="50146059"/>
    <w:rsid w:val="502E6BE1"/>
    <w:rsid w:val="503725F9"/>
    <w:rsid w:val="504076E5"/>
    <w:rsid w:val="50493828"/>
    <w:rsid w:val="506A579F"/>
    <w:rsid w:val="507C03A4"/>
    <w:rsid w:val="50B62C0D"/>
    <w:rsid w:val="50BC5D94"/>
    <w:rsid w:val="50C335DB"/>
    <w:rsid w:val="50C40036"/>
    <w:rsid w:val="50CC2CB8"/>
    <w:rsid w:val="50D37CC2"/>
    <w:rsid w:val="50D5426A"/>
    <w:rsid w:val="50DF2442"/>
    <w:rsid w:val="51084C7A"/>
    <w:rsid w:val="51224B99"/>
    <w:rsid w:val="51597575"/>
    <w:rsid w:val="515B45D9"/>
    <w:rsid w:val="51653442"/>
    <w:rsid w:val="516923D4"/>
    <w:rsid w:val="517C60EC"/>
    <w:rsid w:val="51870AAC"/>
    <w:rsid w:val="518E22FB"/>
    <w:rsid w:val="51932771"/>
    <w:rsid w:val="51A21442"/>
    <w:rsid w:val="51D35A9F"/>
    <w:rsid w:val="51DE0AA7"/>
    <w:rsid w:val="523429E2"/>
    <w:rsid w:val="525C5A95"/>
    <w:rsid w:val="526A3C47"/>
    <w:rsid w:val="526A6DF1"/>
    <w:rsid w:val="527832FE"/>
    <w:rsid w:val="528D25A6"/>
    <w:rsid w:val="52B215C6"/>
    <w:rsid w:val="52BF728C"/>
    <w:rsid w:val="52D10C49"/>
    <w:rsid w:val="52E61666"/>
    <w:rsid w:val="52E84436"/>
    <w:rsid w:val="52F63C37"/>
    <w:rsid w:val="52FC28D1"/>
    <w:rsid w:val="530A3743"/>
    <w:rsid w:val="532176D5"/>
    <w:rsid w:val="533D7CAD"/>
    <w:rsid w:val="534545E9"/>
    <w:rsid w:val="534B6107"/>
    <w:rsid w:val="536B7291"/>
    <w:rsid w:val="536F35A6"/>
    <w:rsid w:val="537218B9"/>
    <w:rsid w:val="5373519D"/>
    <w:rsid w:val="538378C5"/>
    <w:rsid w:val="53A13726"/>
    <w:rsid w:val="53A43F24"/>
    <w:rsid w:val="53A6376C"/>
    <w:rsid w:val="53C20DFC"/>
    <w:rsid w:val="53C36EFE"/>
    <w:rsid w:val="53C41B44"/>
    <w:rsid w:val="53C9567B"/>
    <w:rsid w:val="541F4B01"/>
    <w:rsid w:val="5429048E"/>
    <w:rsid w:val="543068BB"/>
    <w:rsid w:val="543A5C5E"/>
    <w:rsid w:val="54747A11"/>
    <w:rsid w:val="54A13C33"/>
    <w:rsid w:val="54B5082C"/>
    <w:rsid w:val="54B81851"/>
    <w:rsid w:val="54BF739F"/>
    <w:rsid w:val="54C87412"/>
    <w:rsid w:val="54E0475B"/>
    <w:rsid w:val="54E12281"/>
    <w:rsid w:val="54F8700E"/>
    <w:rsid w:val="54FE2E33"/>
    <w:rsid w:val="550A407F"/>
    <w:rsid w:val="55341407"/>
    <w:rsid w:val="55620BDB"/>
    <w:rsid w:val="55810C48"/>
    <w:rsid w:val="55945791"/>
    <w:rsid w:val="55962BD4"/>
    <w:rsid w:val="55CF657E"/>
    <w:rsid w:val="55D3606E"/>
    <w:rsid w:val="55D6790C"/>
    <w:rsid w:val="56034DF2"/>
    <w:rsid w:val="562E4CEE"/>
    <w:rsid w:val="566326D9"/>
    <w:rsid w:val="567F47B1"/>
    <w:rsid w:val="56913CD6"/>
    <w:rsid w:val="56F82A18"/>
    <w:rsid w:val="570A78F1"/>
    <w:rsid w:val="57163B2F"/>
    <w:rsid w:val="571E66F4"/>
    <w:rsid w:val="57217D03"/>
    <w:rsid w:val="57470707"/>
    <w:rsid w:val="57631395"/>
    <w:rsid w:val="57A02B21"/>
    <w:rsid w:val="57A3361A"/>
    <w:rsid w:val="57A827C6"/>
    <w:rsid w:val="57C71C02"/>
    <w:rsid w:val="57CC6CFD"/>
    <w:rsid w:val="57CD5781"/>
    <w:rsid w:val="57D33B5C"/>
    <w:rsid w:val="57DE55B1"/>
    <w:rsid w:val="57F50A8F"/>
    <w:rsid w:val="57F50E87"/>
    <w:rsid w:val="58111BE9"/>
    <w:rsid w:val="583A23D4"/>
    <w:rsid w:val="583F367B"/>
    <w:rsid w:val="5841242F"/>
    <w:rsid w:val="585513FC"/>
    <w:rsid w:val="58586A4D"/>
    <w:rsid w:val="585B234B"/>
    <w:rsid w:val="585C67DF"/>
    <w:rsid w:val="5867070A"/>
    <w:rsid w:val="586C1F82"/>
    <w:rsid w:val="58862BF0"/>
    <w:rsid w:val="58906498"/>
    <w:rsid w:val="58C0166B"/>
    <w:rsid w:val="58CD6DF6"/>
    <w:rsid w:val="58DF2F7C"/>
    <w:rsid w:val="58E14F46"/>
    <w:rsid w:val="58E62431"/>
    <w:rsid w:val="58F049CA"/>
    <w:rsid w:val="591226E5"/>
    <w:rsid w:val="591A5BE0"/>
    <w:rsid w:val="593705E5"/>
    <w:rsid w:val="593F3A1A"/>
    <w:rsid w:val="594340A3"/>
    <w:rsid w:val="5944628C"/>
    <w:rsid w:val="594D2DC3"/>
    <w:rsid w:val="59594DF9"/>
    <w:rsid w:val="596D4A2C"/>
    <w:rsid w:val="598C112E"/>
    <w:rsid w:val="598D04BB"/>
    <w:rsid w:val="598E0DC4"/>
    <w:rsid w:val="599227A1"/>
    <w:rsid w:val="59A25759"/>
    <w:rsid w:val="59AA5338"/>
    <w:rsid w:val="59B10DF1"/>
    <w:rsid w:val="59B42737"/>
    <w:rsid w:val="59C367AB"/>
    <w:rsid w:val="59DB347C"/>
    <w:rsid w:val="5A0D40A7"/>
    <w:rsid w:val="5A0E1D6B"/>
    <w:rsid w:val="5A117165"/>
    <w:rsid w:val="5A14394E"/>
    <w:rsid w:val="5A321460"/>
    <w:rsid w:val="5A4755A6"/>
    <w:rsid w:val="5A5C36DB"/>
    <w:rsid w:val="5A6251DB"/>
    <w:rsid w:val="5A8D6E88"/>
    <w:rsid w:val="5A927484"/>
    <w:rsid w:val="5AA955EF"/>
    <w:rsid w:val="5ABE43FD"/>
    <w:rsid w:val="5AD25F02"/>
    <w:rsid w:val="5ADF6C00"/>
    <w:rsid w:val="5AE94431"/>
    <w:rsid w:val="5AF3284F"/>
    <w:rsid w:val="5AF92E36"/>
    <w:rsid w:val="5B192DD6"/>
    <w:rsid w:val="5B1A64ED"/>
    <w:rsid w:val="5B1E422F"/>
    <w:rsid w:val="5B215ACE"/>
    <w:rsid w:val="5B411CCC"/>
    <w:rsid w:val="5B6462A1"/>
    <w:rsid w:val="5B871DD5"/>
    <w:rsid w:val="5B8750E5"/>
    <w:rsid w:val="5B9134B5"/>
    <w:rsid w:val="5BAF5905"/>
    <w:rsid w:val="5BE82147"/>
    <w:rsid w:val="5BFC5BF3"/>
    <w:rsid w:val="5C4264A5"/>
    <w:rsid w:val="5C5D0112"/>
    <w:rsid w:val="5C6247E0"/>
    <w:rsid w:val="5C980D6D"/>
    <w:rsid w:val="5C9C06C1"/>
    <w:rsid w:val="5CAC586B"/>
    <w:rsid w:val="5D7930FA"/>
    <w:rsid w:val="5D7E53EC"/>
    <w:rsid w:val="5DAA2B6E"/>
    <w:rsid w:val="5DAD53F7"/>
    <w:rsid w:val="5DB1138B"/>
    <w:rsid w:val="5DF6644C"/>
    <w:rsid w:val="5DFE22F2"/>
    <w:rsid w:val="5E0A0A9B"/>
    <w:rsid w:val="5E31427A"/>
    <w:rsid w:val="5E3E26E2"/>
    <w:rsid w:val="5E5841F4"/>
    <w:rsid w:val="5E5E760A"/>
    <w:rsid w:val="5E5F2B8F"/>
    <w:rsid w:val="5E8A51D4"/>
    <w:rsid w:val="5E8C325E"/>
    <w:rsid w:val="5EA839AA"/>
    <w:rsid w:val="5EAF6915"/>
    <w:rsid w:val="5EC1438E"/>
    <w:rsid w:val="5ED510A9"/>
    <w:rsid w:val="5F015CCB"/>
    <w:rsid w:val="5F2900B0"/>
    <w:rsid w:val="5F5D2B9B"/>
    <w:rsid w:val="5F644043"/>
    <w:rsid w:val="5F744879"/>
    <w:rsid w:val="5F824893"/>
    <w:rsid w:val="5FB52C88"/>
    <w:rsid w:val="5FCC6C31"/>
    <w:rsid w:val="5FD4310E"/>
    <w:rsid w:val="600532C8"/>
    <w:rsid w:val="602F4EE7"/>
    <w:rsid w:val="606049A2"/>
    <w:rsid w:val="608508AD"/>
    <w:rsid w:val="60963525"/>
    <w:rsid w:val="60A54AAB"/>
    <w:rsid w:val="60A73B92"/>
    <w:rsid w:val="60AB36BC"/>
    <w:rsid w:val="60B8537C"/>
    <w:rsid w:val="60C04FA9"/>
    <w:rsid w:val="60CA6853"/>
    <w:rsid w:val="60EA6BBD"/>
    <w:rsid w:val="60F56C8C"/>
    <w:rsid w:val="6109328C"/>
    <w:rsid w:val="611539DF"/>
    <w:rsid w:val="61197B18"/>
    <w:rsid w:val="611E25A9"/>
    <w:rsid w:val="613D29E1"/>
    <w:rsid w:val="613F2B0B"/>
    <w:rsid w:val="61414AD6"/>
    <w:rsid w:val="619A2136"/>
    <w:rsid w:val="61E01597"/>
    <w:rsid w:val="6207730A"/>
    <w:rsid w:val="62225A1A"/>
    <w:rsid w:val="622818BA"/>
    <w:rsid w:val="622F29F1"/>
    <w:rsid w:val="62371597"/>
    <w:rsid w:val="623E3E25"/>
    <w:rsid w:val="62414C69"/>
    <w:rsid w:val="62454C7A"/>
    <w:rsid w:val="62467BC8"/>
    <w:rsid w:val="629279CC"/>
    <w:rsid w:val="6297708E"/>
    <w:rsid w:val="62BE6195"/>
    <w:rsid w:val="62D564AC"/>
    <w:rsid w:val="62F36B46"/>
    <w:rsid w:val="63437984"/>
    <w:rsid w:val="63592E38"/>
    <w:rsid w:val="6370410E"/>
    <w:rsid w:val="637846F9"/>
    <w:rsid w:val="63A25842"/>
    <w:rsid w:val="63AC36E1"/>
    <w:rsid w:val="63AD52CB"/>
    <w:rsid w:val="63F42C8F"/>
    <w:rsid w:val="63F83A84"/>
    <w:rsid w:val="643248A8"/>
    <w:rsid w:val="64424334"/>
    <w:rsid w:val="644B24E6"/>
    <w:rsid w:val="64582F4C"/>
    <w:rsid w:val="647E4A0C"/>
    <w:rsid w:val="648D7D30"/>
    <w:rsid w:val="64925D9F"/>
    <w:rsid w:val="649E7C74"/>
    <w:rsid w:val="64B97F9F"/>
    <w:rsid w:val="64BD117C"/>
    <w:rsid w:val="64D55CC9"/>
    <w:rsid w:val="64D67929"/>
    <w:rsid w:val="64D70A4D"/>
    <w:rsid w:val="64E43595"/>
    <w:rsid w:val="64EF2799"/>
    <w:rsid w:val="64F953C5"/>
    <w:rsid w:val="64FB1F67"/>
    <w:rsid w:val="650B6F5C"/>
    <w:rsid w:val="6513124F"/>
    <w:rsid w:val="65552571"/>
    <w:rsid w:val="65555BC3"/>
    <w:rsid w:val="65561CE7"/>
    <w:rsid w:val="656211BC"/>
    <w:rsid w:val="658161C6"/>
    <w:rsid w:val="658B6C11"/>
    <w:rsid w:val="65A54222"/>
    <w:rsid w:val="65AB3F23"/>
    <w:rsid w:val="65B67B96"/>
    <w:rsid w:val="65C30D89"/>
    <w:rsid w:val="65DD38EF"/>
    <w:rsid w:val="65FE7137"/>
    <w:rsid w:val="6618187B"/>
    <w:rsid w:val="6624588A"/>
    <w:rsid w:val="663C37BC"/>
    <w:rsid w:val="663F6E8C"/>
    <w:rsid w:val="66543AB6"/>
    <w:rsid w:val="66802188"/>
    <w:rsid w:val="669D5BB4"/>
    <w:rsid w:val="66A76058"/>
    <w:rsid w:val="66AC790A"/>
    <w:rsid w:val="6703252B"/>
    <w:rsid w:val="67123B6B"/>
    <w:rsid w:val="67357EBA"/>
    <w:rsid w:val="674060BE"/>
    <w:rsid w:val="67590D4B"/>
    <w:rsid w:val="67856644"/>
    <w:rsid w:val="67B33F51"/>
    <w:rsid w:val="67B6550A"/>
    <w:rsid w:val="67CF5193"/>
    <w:rsid w:val="67DF5789"/>
    <w:rsid w:val="67E14ADA"/>
    <w:rsid w:val="67E73857"/>
    <w:rsid w:val="67EB2552"/>
    <w:rsid w:val="68002F36"/>
    <w:rsid w:val="68102598"/>
    <w:rsid w:val="684643AD"/>
    <w:rsid w:val="68556DB7"/>
    <w:rsid w:val="68561ECA"/>
    <w:rsid w:val="68594370"/>
    <w:rsid w:val="686F6DD9"/>
    <w:rsid w:val="6888625E"/>
    <w:rsid w:val="68AC7C84"/>
    <w:rsid w:val="68BE2BAE"/>
    <w:rsid w:val="68C305E8"/>
    <w:rsid w:val="68D03617"/>
    <w:rsid w:val="68D2550C"/>
    <w:rsid w:val="68E63EB3"/>
    <w:rsid w:val="690B5BA1"/>
    <w:rsid w:val="69271DD2"/>
    <w:rsid w:val="69A3437F"/>
    <w:rsid w:val="69BD2254"/>
    <w:rsid w:val="69D5365C"/>
    <w:rsid w:val="69DB32EB"/>
    <w:rsid w:val="69E228CC"/>
    <w:rsid w:val="6A010FA4"/>
    <w:rsid w:val="6A0C77EE"/>
    <w:rsid w:val="6A155C2C"/>
    <w:rsid w:val="6A1A3E14"/>
    <w:rsid w:val="6A1D0732"/>
    <w:rsid w:val="6A1D56B2"/>
    <w:rsid w:val="6A1E51F6"/>
    <w:rsid w:val="6A362905"/>
    <w:rsid w:val="6A4B1D47"/>
    <w:rsid w:val="6A5827E4"/>
    <w:rsid w:val="6A99742E"/>
    <w:rsid w:val="6AB44268"/>
    <w:rsid w:val="6ABF58A2"/>
    <w:rsid w:val="6AD8791F"/>
    <w:rsid w:val="6AEA63CA"/>
    <w:rsid w:val="6AF22927"/>
    <w:rsid w:val="6AF44665"/>
    <w:rsid w:val="6AFF3403"/>
    <w:rsid w:val="6B0B7C00"/>
    <w:rsid w:val="6B14585A"/>
    <w:rsid w:val="6B17456C"/>
    <w:rsid w:val="6B1E2234"/>
    <w:rsid w:val="6B261B6A"/>
    <w:rsid w:val="6B2C16BE"/>
    <w:rsid w:val="6B644664"/>
    <w:rsid w:val="6B8754D9"/>
    <w:rsid w:val="6B9D14F7"/>
    <w:rsid w:val="6BA64CA5"/>
    <w:rsid w:val="6BBF2595"/>
    <w:rsid w:val="6BC13C11"/>
    <w:rsid w:val="6BC32B29"/>
    <w:rsid w:val="6C131155"/>
    <w:rsid w:val="6C186857"/>
    <w:rsid w:val="6C2947E2"/>
    <w:rsid w:val="6C451BC5"/>
    <w:rsid w:val="6C451CF3"/>
    <w:rsid w:val="6C587073"/>
    <w:rsid w:val="6C8F078D"/>
    <w:rsid w:val="6C9C3206"/>
    <w:rsid w:val="6CB22A29"/>
    <w:rsid w:val="6CB73B9C"/>
    <w:rsid w:val="6CBB2570"/>
    <w:rsid w:val="6CC8774D"/>
    <w:rsid w:val="6CD73AC3"/>
    <w:rsid w:val="6CE150BD"/>
    <w:rsid w:val="6CE40709"/>
    <w:rsid w:val="6CF070AE"/>
    <w:rsid w:val="6D1D43B9"/>
    <w:rsid w:val="6D561607"/>
    <w:rsid w:val="6D8223FC"/>
    <w:rsid w:val="6D822820"/>
    <w:rsid w:val="6D9861EA"/>
    <w:rsid w:val="6DE72678"/>
    <w:rsid w:val="6E274D51"/>
    <w:rsid w:val="6E2D6FC0"/>
    <w:rsid w:val="6E467BD1"/>
    <w:rsid w:val="6E482D6D"/>
    <w:rsid w:val="6E487282"/>
    <w:rsid w:val="6E6811D8"/>
    <w:rsid w:val="6E7A7577"/>
    <w:rsid w:val="6EE41568"/>
    <w:rsid w:val="6EE57E40"/>
    <w:rsid w:val="6EE6684B"/>
    <w:rsid w:val="6EFE6C7A"/>
    <w:rsid w:val="6F2E2A78"/>
    <w:rsid w:val="6F31408C"/>
    <w:rsid w:val="6F484F7F"/>
    <w:rsid w:val="6F4E314F"/>
    <w:rsid w:val="6F6B5112"/>
    <w:rsid w:val="6F707492"/>
    <w:rsid w:val="6F863CF9"/>
    <w:rsid w:val="6FA53E13"/>
    <w:rsid w:val="6FC00FB9"/>
    <w:rsid w:val="6FCD36D6"/>
    <w:rsid w:val="6FE078AE"/>
    <w:rsid w:val="6FE97ADF"/>
    <w:rsid w:val="6FEA4288"/>
    <w:rsid w:val="6FEB7B51"/>
    <w:rsid w:val="70043FFA"/>
    <w:rsid w:val="700A783B"/>
    <w:rsid w:val="703635F4"/>
    <w:rsid w:val="70495453"/>
    <w:rsid w:val="708D63CF"/>
    <w:rsid w:val="70902959"/>
    <w:rsid w:val="709C6FFD"/>
    <w:rsid w:val="70B52AE8"/>
    <w:rsid w:val="70C80EAD"/>
    <w:rsid w:val="71034A80"/>
    <w:rsid w:val="711A6DEF"/>
    <w:rsid w:val="712E1E5A"/>
    <w:rsid w:val="713E1504"/>
    <w:rsid w:val="71590CBB"/>
    <w:rsid w:val="715A7EE4"/>
    <w:rsid w:val="715C7408"/>
    <w:rsid w:val="7161593B"/>
    <w:rsid w:val="716A5681"/>
    <w:rsid w:val="718C67DA"/>
    <w:rsid w:val="71927CE7"/>
    <w:rsid w:val="719B7F30"/>
    <w:rsid w:val="71F373BA"/>
    <w:rsid w:val="72010AC7"/>
    <w:rsid w:val="720B04B1"/>
    <w:rsid w:val="720F6657"/>
    <w:rsid w:val="721D4648"/>
    <w:rsid w:val="723072E6"/>
    <w:rsid w:val="72345FDA"/>
    <w:rsid w:val="723914F7"/>
    <w:rsid w:val="72397A52"/>
    <w:rsid w:val="72600832"/>
    <w:rsid w:val="728D6321"/>
    <w:rsid w:val="72916C3D"/>
    <w:rsid w:val="729B5D0E"/>
    <w:rsid w:val="72A26AAE"/>
    <w:rsid w:val="72A726C8"/>
    <w:rsid w:val="72B7312A"/>
    <w:rsid w:val="72BC4D18"/>
    <w:rsid w:val="72E53549"/>
    <w:rsid w:val="72EC113E"/>
    <w:rsid w:val="72F166A3"/>
    <w:rsid w:val="73090EC9"/>
    <w:rsid w:val="730950D9"/>
    <w:rsid w:val="73453190"/>
    <w:rsid w:val="73460A9A"/>
    <w:rsid w:val="73491BDF"/>
    <w:rsid w:val="734B55AF"/>
    <w:rsid w:val="73520AC2"/>
    <w:rsid w:val="735E29A2"/>
    <w:rsid w:val="7386076C"/>
    <w:rsid w:val="73B603F1"/>
    <w:rsid w:val="73BE15F2"/>
    <w:rsid w:val="73C90B38"/>
    <w:rsid w:val="73CC1333"/>
    <w:rsid w:val="73D94D40"/>
    <w:rsid w:val="74066AD3"/>
    <w:rsid w:val="740D2766"/>
    <w:rsid w:val="742171B5"/>
    <w:rsid w:val="747F0335"/>
    <w:rsid w:val="74842EFD"/>
    <w:rsid w:val="74897E47"/>
    <w:rsid w:val="749A17C0"/>
    <w:rsid w:val="74B60BDD"/>
    <w:rsid w:val="74E514C2"/>
    <w:rsid w:val="7569725D"/>
    <w:rsid w:val="7575614A"/>
    <w:rsid w:val="7578422D"/>
    <w:rsid w:val="757A1C0A"/>
    <w:rsid w:val="758D511A"/>
    <w:rsid w:val="75A40447"/>
    <w:rsid w:val="75C72584"/>
    <w:rsid w:val="75DF3B4B"/>
    <w:rsid w:val="75E579CC"/>
    <w:rsid w:val="75E65EED"/>
    <w:rsid w:val="75EB71DE"/>
    <w:rsid w:val="75FB5CB9"/>
    <w:rsid w:val="76090130"/>
    <w:rsid w:val="760C3AD8"/>
    <w:rsid w:val="76695680"/>
    <w:rsid w:val="76980318"/>
    <w:rsid w:val="76A2200B"/>
    <w:rsid w:val="76C43A85"/>
    <w:rsid w:val="76F952CF"/>
    <w:rsid w:val="76FB0AB9"/>
    <w:rsid w:val="7705172F"/>
    <w:rsid w:val="77080610"/>
    <w:rsid w:val="77196C05"/>
    <w:rsid w:val="77276AC0"/>
    <w:rsid w:val="772E2425"/>
    <w:rsid w:val="7763329E"/>
    <w:rsid w:val="77643020"/>
    <w:rsid w:val="776E49BD"/>
    <w:rsid w:val="778148BF"/>
    <w:rsid w:val="778D502F"/>
    <w:rsid w:val="77910FDC"/>
    <w:rsid w:val="779455FA"/>
    <w:rsid w:val="779E03FA"/>
    <w:rsid w:val="77A3030D"/>
    <w:rsid w:val="77D55FB5"/>
    <w:rsid w:val="77E1098D"/>
    <w:rsid w:val="77E93077"/>
    <w:rsid w:val="77FE6B23"/>
    <w:rsid w:val="780E7833"/>
    <w:rsid w:val="78167403"/>
    <w:rsid w:val="782D42AD"/>
    <w:rsid w:val="784C4144"/>
    <w:rsid w:val="78637AFB"/>
    <w:rsid w:val="78812241"/>
    <w:rsid w:val="78962005"/>
    <w:rsid w:val="789D12B9"/>
    <w:rsid w:val="78AA6CAB"/>
    <w:rsid w:val="78BE30B3"/>
    <w:rsid w:val="78BF6CA1"/>
    <w:rsid w:val="78FA7FB0"/>
    <w:rsid w:val="78FC6DA2"/>
    <w:rsid w:val="7903408B"/>
    <w:rsid w:val="7913601E"/>
    <w:rsid w:val="791E765C"/>
    <w:rsid w:val="79515378"/>
    <w:rsid w:val="7988215F"/>
    <w:rsid w:val="79AC699B"/>
    <w:rsid w:val="79D833A4"/>
    <w:rsid w:val="79DF54A6"/>
    <w:rsid w:val="7A007BAE"/>
    <w:rsid w:val="7A0F4172"/>
    <w:rsid w:val="7A117A67"/>
    <w:rsid w:val="7A1C7734"/>
    <w:rsid w:val="7A2008D7"/>
    <w:rsid w:val="7A2C3F6F"/>
    <w:rsid w:val="7A354B4E"/>
    <w:rsid w:val="7A357A33"/>
    <w:rsid w:val="7A542210"/>
    <w:rsid w:val="7ABD5276"/>
    <w:rsid w:val="7AEB5911"/>
    <w:rsid w:val="7AF721D1"/>
    <w:rsid w:val="7AF82F14"/>
    <w:rsid w:val="7B0275FB"/>
    <w:rsid w:val="7B252618"/>
    <w:rsid w:val="7B2E453D"/>
    <w:rsid w:val="7B2E6594"/>
    <w:rsid w:val="7B361630"/>
    <w:rsid w:val="7B452CBB"/>
    <w:rsid w:val="7B545519"/>
    <w:rsid w:val="7B7C380E"/>
    <w:rsid w:val="7B9A0AAA"/>
    <w:rsid w:val="7BA44ACC"/>
    <w:rsid w:val="7BAA3BFD"/>
    <w:rsid w:val="7BF31BD7"/>
    <w:rsid w:val="7C1E4777"/>
    <w:rsid w:val="7C3A01F1"/>
    <w:rsid w:val="7C5A4E43"/>
    <w:rsid w:val="7C5E2611"/>
    <w:rsid w:val="7C625D75"/>
    <w:rsid w:val="7C727FF8"/>
    <w:rsid w:val="7C81114E"/>
    <w:rsid w:val="7CAD075E"/>
    <w:rsid w:val="7CC83BA3"/>
    <w:rsid w:val="7CEA4D41"/>
    <w:rsid w:val="7D0C5168"/>
    <w:rsid w:val="7D0C6784"/>
    <w:rsid w:val="7D1E3C82"/>
    <w:rsid w:val="7D2232B3"/>
    <w:rsid w:val="7D6A3E49"/>
    <w:rsid w:val="7D731D61"/>
    <w:rsid w:val="7D80764B"/>
    <w:rsid w:val="7D8F646F"/>
    <w:rsid w:val="7DAE3BD4"/>
    <w:rsid w:val="7DB12205"/>
    <w:rsid w:val="7DBF4FA6"/>
    <w:rsid w:val="7DCC2BDD"/>
    <w:rsid w:val="7E0830A4"/>
    <w:rsid w:val="7E372D8F"/>
    <w:rsid w:val="7E3C079D"/>
    <w:rsid w:val="7E7538B7"/>
    <w:rsid w:val="7E8640C1"/>
    <w:rsid w:val="7E9401E1"/>
    <w:rsid w:val="7EA50DF2"/>
    <w:rsid w:val="7EAE5646"/>
    <w:rsid w:val="7EB1718B"/>
    <w:rsid w:val="7EB818C1"/>
    <w:rsid w:val="7EBB6B5B"/>
    <w:rsid w:val="7EBE525E"/>
    <w:rsid w:val="7ECD4573"/>
    <w:rsid w:val="7ED35DF3"/>
    <w:rsid w:val="7EE54599"/>
    <w:rsid w:val="7EFF0E7C"/>
    <w:rsid w:val="7F001DCA"/>
    <w:rsid w:val="7F1976A8"/>
    <w:rsid w:val="7F2826D7"/>
    <w:rsid w:val="7F3D5485"/>
    <w:rsid w:val="7F4E409C"/>
    <w:rsid w:val="7F5A51B1"/>
    <w:rsid w:val="7F606842"/>
    <w:rsid w:val="7F672EF2"/>
    <w:rsid w:val="7F8D69DE"/>
    <w:rsid w:val="7FC31ACF"/>
    <w:rsid w:val="7FCB4B3B"/>
    <w:rsid w:val="7FD840FD"/>
    <w:rsid w:val="7FD877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name="Message Header"/>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qFormat="1" w:uiPriority="99" w:semiHidden="0" w:name="Body Text First Indent 2" w:locked="1"/>
    <w:lsdException w:uiPriority="99" w:name="Note Heading" w:locked="1"/>
    <w:lsdException w:qFormat="1" w:unhideWhenUsed="0" w:uiPriority="0" w:semiHidden="0"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qFormat="1" w:uiPriority="99" w:name="HTML Typewriter" w:locked="1"/>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0"/>
    <w:autoRedefine/>
    <w:qFormat/>
    <w:uiPriority w:val="99"/>
    <w:pPr>
      <w:keepNext/>
      <w:keepLines/>
      <w:spacing w:line="576" w:lineRule="auto"/>
      <w:outlineLvl w:val="0"/>
    </w:pPr>
    <w:rPr>
      <w:rFonts w:ascii="Times New Roman" w:hAnsi="Times New Roman"/>
      <w:b/>
      <w:kern w:val="44"/>
      <w:sz w:val="44"/>
      <w:szCs w:val="20"/>
    </w:rPr>
  </w:style>
  <w:style w:type="paragraph" w:styleId="3">
    <w:name w:val="heading 2"/>
    <w:basedOn w:val="1"/>
    <w:next w:val="1"/>
    <w:link w:val="51"/>
    <w:autoRedefine/>
    <w:qFormat/>
    <w:uiPriority w:val="99"/>
    <w:pPr>
      <w:keepNext/>
      <w:keepLines/>
      <w:numPr>
        <w:ilvl w:val="0"/>
        <w:numId w:val="1"/>
      </w:numPr>
      <w:spacing w:line="413" w:lineRule="auto"/>
      <w:outlineLvl w:val="1"/>
    </w:pPr>
    <w:rPr>
      <w:rFonts w:ascii="Cambria" w:hAnsi="Cambria"/>
      <w:b/>
      <w:bCs/>
      <w:kern w:val="0"/>
      <w:sz w:val="32"/>
      <w:szCs w:val="32"/>
    </w:rPr>
  </w:style>
  <w:style w:type="paragraph" w:styleId="4">
    <w:name w:val="heading 3"/>
    <w:basedOn w:val="1"/>
    <w:next w:val="1"/>
    <w:link w:val="52"/>
    <w:autoRedefine/>
    <w:qFormat/>
    <w:uiPriority w:val="99"/>
    <w:pPr>
      <w:keepNext/>
      <w:keepLines/>
      <w:spacing w:line="413" w:lineRule="auto"/>
      <w:outlineLvl w:val="2"/>
    </w:pPr>
    <w:rPr>
      <w:b/>
      <w:bCs/>
      <w:kern w:val="0"/>
      <w:sz w:val="32"/>
      <w:szCs w:val="32"/>
    </w:rPr>
  </w:style>
  <w:style w:type="paragraph" w:styleId="5">
    <w:name w:val="heading 4"/>
    <w:basedOn w:val="1"/>
    <w:next w:val="1"/>
    <w:link w:val="53"/>
    <w:autoRedefine/>
    <w:qFormat/>
    <w:uiPriority w:val="99"/>
    <w:pPr>
      <w:keepNext/>
      <w:keepLines/>
      <w:adjustRightInd w:val="0"/>
      <w:spacing w:line="376" w:lineRule="atLeast"/>
      <w:textAlignment w:val="baseline"/>
      <w:outlineLvl w:val="3"/>
    </w:pPr>
    <w:rPr>
      <w:rFonts w:ascii="Cambria" w:hAnsi="Cambria"/>
      <w:b/>
      <w:bCs/>
      <w:kern w:val="0"/>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99"/>
    <w:pPr>
      <w:ind w:firstLine="420"/>
    </w:pPr>
    <w:rPr>
      <w:szCs w:val="20"/>
    </w:rPr>
  </w:style>
  <w:style w:type="paragraph" w:styleId="7">
    <w:name w:val="annotation text"/>
    <w:basedOn w:val="1"/>
    <w:link w:val="56"/>
    <w:autoRedefine/>
    <w:semiHidden/>
    <w:qFormat/>
    <w:uiPriority w:val="99"/>
    <w:pPr>
      <w:jc w:val="left"/>
    </w:pPr>
    <w:rPr>
      <w:kern w:val="0"/>
      <w:sz w:val="20"/>
      <w:szCs w:val="20"/>
    </w:rPr>
  </w:style>
  <w:style w:type="paragraph" w:styleId="8">
    <w:name w:val="Body Text 3"/>
    <w:basedOn w:val="1"/>
    <w:link w:val="57"/>
    <w:autoRedefine/>
    <w:qFormat/>
    <w:uiPriority w:val="99"/>
    <w:rPr>
      <w:kern w:val="0"/>
      <w:sz w:val="16"/>
      <w:szCs w:val="16"/>
    </w:rPr>
  </w:style>
  <w:style w:type="paragraph" w:styleId="9">
    <w:name w:val="Body Text"/>
    <w:basedOn w:val="1"/>
    <w:link w:val="54"/>
    <w:autoRedefine/>
    <w:qFormat/>
    <w:uiPriority w:val="99"/>
    <w:pPr>
      <w:spacing w:line="360" w:lineRule="auto"/>
    </w:pPr>
    <w:rPr>
      <w:kern w:val="0"/>
      <w:sz w:val="20"/>
      <w:szCs w:val="20"/>
    </w:rPr>
  </w:style>
  <w:style w:type="paragraph" w:styleId="10">
    <w:name w:val="Body Text Indent"/>
    <w:basedOn w:val="1"/>
    <w:next w:val="11"/>
    <w:link w:val="58"/>
    <w:autoRedefine/>
    <w:qFormat/>
    <w:uiPriority w:val="99"/>
    <w:pPr>
      <w:ind w:left="420" w:leftChars="200"/>
    </w:pPr>
    <w:rPr>
      <w:kern w:val="0"/>
      <w:sz w:val="20"/>
      <w:szCs w:val="20"/>
    </w:rPr>
  </w:style>
  <w:style w:type="paragraph" w:styleId="11">
    <w:name w:val="envelope return"/>
    <w:basedOn w:val="1"/>
    <w:autoRedefine/>
    <w:qFormat/>
    <w:locked/>
    <w:uiPriority w:val="0"/>
    <w:pPr>
      <w:snapToGrid w:val="0"/>
    </w:pPr>
    <w:rPr>
      <w:rFonts w:ascii="Arial" w:hAnsi="Arial"/>
    </w:rPr>
  </w:style>
  <w:style w:type="paragraph" w:styleId="12">
    <w:name w:val="List Continue"/>
    <w:basedOn w:val="1"/>
    <w:next w:val="9"/>
    <w:autoRedefine/>
    <w:qFormat/>
    <w:locked/>
    <w:uiPriority w:val="0"/>
    <w:pPr>
      <w:widowControl/>
      <w:spacing w:before="280" w:after="280"/>
    </w:pPr>
  </w:style>
  <w:style w:type="paragraph" w:styleId="13">
    <w:name w:val="Plain Text"/>
    <w:basedOn w:val="1"/>
    <w:link w:val="59"/>
    <w:autoRedefine/>
    <w:qFormat/>
    <w:uiPriority w:val="99"/>
    <w:rPr>
      <w:rFonts w:ascii="宋体" w:hAnsi="Courier New"/>
      <w:kern w:val="0"/>
      <w:szCs w:val="21"/>
    </w:rPr>
  </w:style>
  <w:style w:type="paragraph" w:styleId="14">
    <w:name w:val="Balloon Text"/>
    <w:basedOn w:val="1"/>
    <w:link w:val="60"/>
    <w:autoRedefine/>
    <w:qFormat/>
    <w:uiPriority w:val="99"/>
    <w:rPr>
      <w:sz w:val="18"/>
      <w:szCs w:val="18"/>
    </w:rPr>
  </w:style>
  <w:style w:type="paragraph" w:styleId="15">
    <w:name w:val="footer"/>
    <w:basedOn w:val="1"/>
    <w:next w:val="12"/>
    <w:link w:val="61"/>
    <w:autoRedefine/>
    <w:qFormat/>
    <w:uiPriority w:val="99"/>
    <w:pPr>
      <w:tabs>
        <w:tab w:val="center" w:pos="4153"/>
        <w:tab w:val="right" w:pos="8306"/>
      </w:tabs>
      <w:snapToGrid w:val="0"/>
      <w:jc w:val="left"/>
    </w:pPr>
    <w:rPr>
      <w:kern w:val="0"/>
      <w:sz w:val="18"/>
      <w:szCs w:val="18"/>
    </w:rPr>
  </w:style>
  <w:style w:type="paragraph" w:styleId="16">
    <w:name w:val="header"/>
    <w:basedOn w:val="1"/>
    <w:link w:val="62"/>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autoRedefine/>
    <w:qFormat/>
    <w:uiPriority w:val="99"/>
    <w:pPr>
      <w:jc w:val="left"/>
    </w:pPr>
    <w:rPr>
      <w:b/>
      <w:i/>
      <w:sz w:val="24"/>
    </w:rPr>
  </w:style>
  <w:style w:type="paragraph" w:styleId="18">
    <w:name w:val="toc 2"/>
    <w:basedOn w:val="1"/>
    <w:next w:val="1"/>
    <w:autoRedefine/>
    <w:qFormat/>
    <w:uiPriority w:val="99"/>
    <w:pPr>
      <w:tabs>
        <w:tab w:val="left" w:pos="630"/>
        <w:tab w:val="right" w:leader="dot" w:pos="8890"/>
      </w:tabs>
      <w:ind w:left="210"/>
      <w:jc w:val="center"/>
    </w:pPr>
    <w:rPr>
      <w:b/>
      <w:sz w:val="22"/>
    </w:rPr>
  </w:style>
  <w:style w:type="paragraph" w:styleId="19">
    <w:name w:val="Body Text 2"/>
    <w:basedOn w:val="1"/>
    <w:next w:val="15"/>
    <w:autoRedefine/>
    <w:qFormat/>
    <w:locked/>
    <w:uiPriority w:val="0"/>
    <w:pPr>
      <w:spacing w:after="120" w:line="480" w:lineRule="auto"/>
    </w:pPr>
    <w:rPr>
      <w:rFonts w:ascii="仿宋_GB2312" w:eastAsia="仿宋_GB2312"/>
      <w:sz w:val="32"/>
      <w:szCs w:val="32"/>
    </w:rPr>
  </w:style>
  <w:style w:type="paragraph" w:styleId="20">
    <w:name w:val="Message Header"/>
    <w:basedOn w:val="1"/>
    <w:link w:val="63"/>
    <w:autoRedefine/>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szCs w:val="24"/>
    </w:rPr>
  </w:style>
  <w:style w:type="paragraph" w:styleId="21">
    <w:name w:val="Normal (Web)"/>
    <w:basedOn w:val="1"/>
    <w:autoRedefine/>
    <w:qFormat/>
    <w:uiPriority w:val="99"/>
    <w:pPr>
      <w:spacing w:beforeAutospacing="1" w:afterAutospacing="1"/>
      <w:jc w:val="left"/>
    </w:pPr>
    <w:rPr>
      <w:kern w:val="0"/>
      <w:sz w:val="24"/>
    </w:rPr>
  </w:style>
  <w:style w:type="paragraph" w:styleId="22">
    <w:name w:val="index 1"/>
    <w:basedOn w:val="1"/>
    <w:next w:val="1"/>
    <w:autoRedefine/>
    <w:qFormat/>
    <w:uiPriority w:val="99"/>
  </w:style>
  <w:style w:type="paragraph" w:styleId="23">
    <w:name w:val="annotation subject"/>
    <w:basedOn w:val="7"/>
    <w:next w:val="7"/>
    <w:link w:val="64"/>
    <w:autoRedefine/>
    <w:semiHidden/>
    <w:qFormat/>
    <w:uiPriority w:val="99"/>
    <w:rPr>
      <w:b/>
      <w:bCs/>
    </w:rPr>
  </w:style>
  <w:style w:type="paragraph" w:styleId="24">
    <w:name w:val="Body Text First Indent"/>
    <w:basedOn w:val="9"/>
    <w:link w:val="55"/>
    <w:autoRedefine/>
    <w:qFormat/>
    <w:uiPriority w:val="99"/>
    <w:pPr>
      <w:spacing w:after="120" w:line="240" w:lineRule="auto"/>
      <w:ind w:firstLine="420" w:firstLineChars="100"/>
    </w:pPr>
    <w:rPr>
      <w:rFonts w:ascii="Times New Roman"/>
    </w:rPr>
  </w:style>
  <w:style w:type="paragraph" w:styleId="25">
    <w:name w:val="Body Text First Indent 2"/>
    <w:basedOn w:val="10"/>
    <w:next w:val="1"/>
    <w:autoRedefine/>
    <w:unhideWhenUsed/>
    <w:qFormat/>
    <w:locked/>
    <w:uiPriority w:val="99"/>
    <w:pPr>
      <w:tabs>
        <w:tab w:val="left" w:pos="1050"/>
      </w:tabs>
      <w:ind w:firstLine="420"/>
    </w:pPr>
  </w:style>
  <w:style w:type="table" w:styleId="27">
    <w:name w:val="Table Grid"/>
    <w:basedOn w:val="26"/>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99"/>
    <w:rPr>
      <w:rFonts w:cs="Times New Roman"/>
      <w:b/>
    </w:rPr>
  </w:style>
  <w:style w:type="character" w:styleId="30">
    <w:name w:val="page number"/>
    <w:basedOn w:val="28"/>
    <w:autoRedefine/>
    <w:qFormat/>
    <w:uiPriority w:val="99"/>
    <w:rPr>
      <w:rFonts w:cs="Times New Roman"/>
    </w:rPr>
  </w:style>
  <w:style w:type="character" w:styleId="31">
    <w:name w:val="FollowedHyperlink"/>
    <w:basedOn w:val="28"/>
    <w:autoRedefine/>
    <w:qFormat/>
    <w:uiPriority w:val="99"/>
    <w:rPr>
      <w:rFonts w:cs="Times New Roman"/>
      <w:color w:val="333333"/>
      <w:u w:val="none"/>
    </w:rPr>
  </w:style>
  <w:style w:type="character" w:styleId="32">
    <w:name w:val="Emphasis"/>
    <w:basedOn w:val="28"/>
    <w:autoRedefine/>
    <w:qFormat/>
    <w:locked/>
    <w:uiPriority w:val="20"/>
    <w:rPr>
      <w:b/>
      <w:bCs/>
    </w:rPr>
  </w:style>
  <w:style w:type="character" w:styleId="33">
    <w:name w:val="HTML Definition"/>
    <w:basedOn w:val="28"/>
    <w:autoRedefine/>
    <w:semiHidden/>
    <w:unhideWhenUsed/>
    <w:qFormat/>
    <w:locked/>
    <w:uiPriority w:val="99"/>
  </w:style>
  <w:style w:type="character" w:styleId="34">
    <w:name w:val="HTML Typewriter"/>
    <w:basedOn w:val="28"/>
    <w:autoRedefine/>
    <w:semiHidden/>
    <w:unhideWhenUsed/>
    <w:qFormat/>
    <w:locked/>
    <w:uiPriority w:val="99"/>
    <w:rPr>
      <w:rFonts w:hint="default" w:ascii="monospace" w:hAnsi="monospace" w:eastAsia="monospace" w:cs="monospace"/>
      <w:sz w:val="20"/>
    </w:rPr>
  </w:style>
  <w:style w:type="character" w:styleId="35">
    <w:name w:val="HTML Acronym"/>
    <w:basedOn w:val="28"/>
    <w:autoRedefine/>
    <w:semiHidden/>
    <w:unhideWhenUsed/>
    <w:qFormat/>
    <w:locked/>
    <w:uiPriority w:val="99"/>
  </w:style>
  <w:style w:type="character" w:styleId="36">
    <w:name w:val="HTML Variable"/>
    <w:basedOn w:val="28"/>
    <w:autoRedefine/>
    <w:qFormat/>
    <w:uiPriority w:val="99"/>
    <w:rPr>
      <w:rFonts w:cs="Times New Roman"/>
      <w:i/>
    </w:rPr>
  </w:style>
  <w:style w:type="character" w:styleId="37">
    <w:name w:val="Hyperlink"/>
    <w:basedOn w:val="28"/>
    <w:autoRedefine/>
    <w:qFormat/>
    <w:uiPriority w:val="99"/>
    <w:rPr>
      <w:rFonts w:cs="Times New Roman"/>
      <w:color w:val="0000FF"/>
      <w:u w:val="single"/>
    </w:rPr>
  </w:style>
  <w:style w:type="character" w:styleId="38">
    <w:name w:val="HTML Code"/>
    <w:basedOn w:val="28"/>
    <w:autoRedefine/>
    <w:semiHidden/>
    <w:unhideWhenUsed/>
    <w:qFormat/>
    <w:locked/>
    <w:uiPriority w:val="99"/>
    <w:rPr>
      <w:rFonts w:hint="default" w:ascii="monospace" w:hAnsi="monospace" w:eastAsia="monospace" w:cs="monospace"/>
      <w:sz w:val="20"/>
    </w:rPr>
  </w:style>
  <w:style w:type="character" w:styleId="39">
    <w:name w:val="annotation reference"/>
    <w:basedOn w:val="28"/>
    <w:autoRedefine/>
    <w:semiHidden/>
    <w:qFormat/>
    <w:uiPriority w:val="99"/>
    <w:rPr>
      <w:rFonts w:cs="Times New Roman"/>
      <w:sz w:val="21"/>
    </w:rPr>
  </w:style>
  <w:style w:type="character" w:styleId="40">
    <w:name w:val="HTML Cite"/>
    <w:basedOn w:val="28"/>
    <w:autoRedefine/>
    <w:semiHidden/>
    <w:unhideWhenUsed/>
    <w:qFormat/>
    <w:locked/>
    <w:uiPriority w:val="99"/>
  </w:style>
  <w:style w:type="character" w:styleId="41">
    <w:name w:val="HTML Keyboard"/>
    <w:basedOn w:val="28"/>
    <w:autoRedefine/>
    <w:semiHidden/>
    <w:unhideWhenUsed/>
    <w:qFormat/>
    <w:locked/>
    <w:uiPriority w:val="99"/>
    <w:rPr>
      <w:rFonts w:hint="default" w:ascii="monospace" w:hAnsi="monospace" w:eastAsia="monospace" w:cs="monospace"/>
      <w:sz w:val="20"/>
    </w:rPr>
  </w:style>
  <w:style w:type="character" w:styleId="42">
    <w:name w:val="HTML Sample"/>
    <w:basedOn w:val="28"/>
    <w:autoRedefine/>
    <w:semiHidden/>
    <w:unhideWhenUsed/>
    <w:qFormat/>
    <w:locked/>
    <w:uiPriority w:val="99"/>
    <w:rPr>
      <w:rFonts w:ascii="monospace" w:hAnsi="monospace" w:eastAsia="monospace" w:cs="monospace"/>
    </w:rPr>
  </w:style>
  <w:style w:type="paragraph" w:styleId="43">
    <w:name w:val="No Spacing"/>
    <w:basedOn w:val="1"/>
    <w:autoRedefine/>
    <w:qFormat/>
    <w:uiPriority w:val="99"/>
    <w:pPr>
      <w:spacing w:line="400" w:lineRule="exact"/>
    </w:pPr>
    <w:rPr>
      <w:sz w:val="24"/>
    </w:rPr>
  </w:style>
  <w:style w:type="paragraph" w:customStyle="1" w:styleId="44">
    <w:name w:val="Default"/>
    <w:next w:val="45"/>
    <w:autoRedefine/>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customStyle="1" w:styleId="45">
    <w:name w:val="大标题"/>
    <w:basedOn w:val="1"/>
    <w:next w:val="25"/>
    <w:autoRedefine/>
    <w:qFormat/>
    <w:uiPriority w:val="0"/>
    <w:pPr>
      <w:widowControl/>
      <w:numPr>
        <w:ilvl w:val="0"/>
        <w:numId w:val="2"/>
      </w:numPr>
      <w:tabs>
        <w:tab w:val="left" w:pos="0"/>
      </w:tabs>
      <w:autoSpaceDE w:val="0"/>
      <w:autoSpaceDN w:val="0"/>
      <w:adjustRightInd w:val="0"/>
      <w:spacing w:before="100" w:beforeAutospacing="1" w:after="100" w:afterAutospacing="1" w:line="360" w:lineRule="auto"/>
      <w:textAlignment w:val="bottom"/>
    </w:pPr>
    <w:rPr>
      <w:b/>
      <w:spacing w:val="20"/>
      <w:kern w:val="0"/>
      <w:sz w:val="32"/>
      <w:szCs w:val="20"/>
    </w:rPr>
  </w:style>
  <w:style w:type="paragraph" w:customStyle="1" w:styleId="46">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7">
    <w:name w:val="标题 1 Char"/>
    <w:link w:val="2"/>
    <w:autoRedefine/>
    <w:qFormat/>
    <w:uiPriority w:val="9"/>
    <w:rPr>
      <w:rFonts w:ascii="等线" w:hAnsi="等线" w:eastAsia="思源黑体 CN Regular"/>
      <w:b/>
      <w:bCs/>
      <w:kern w:val="44"/>
      <w:sz w:val="28"/>
      <w:szCs w:val="44"/>
    </w:rPr>
  </w:style>
  <w:style w:type="paragraph" w:customStyle="1" w:styleId="48">
    <w:name w:val="无间隔1"/>
    <w:basedOn w:val="1"/>
    <w:autoRedefine/>
    <w:qFormat/>
    <w:uiPriority w:val="99"/>
    <w:pPr>
      <w:spacing w:line="400" w:lineRule="exact"/>
    </w:pPr>
    <w:rPr>
      <w:sz w:val="24"/>
    </w:rPr>
  </w:style>
  <w:style w:type="paragraph" w:customStyle="1" w:styleId="49">
    <w:name w:val="正文 New"/>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0">
    <w:name w:val="标题 1 字符"/>
    <w:basedOn w:val="28"/>
    <w:link w:val="2"/>
    <w:autoRedefine/>
    <w:qFormat/>
    <w:locked/>
    <w:uiPriority w:val="99"/>
    <w:rPr>
      <w:rFonts w:cs="Times New Roman"/>
      <w:b/>
      <w:kern w:val="44"/>
      <w:sz w:val="44"/>
    </w:rPr>
  </w:style>
  <w:style w:type="character" w:customStyle="1" w:styleId="51">
    <w:name w:val="标题 2 字符"/>
    <w:basedOn w:val="28"/>
    <w:link w:val="3"/>
    <w:autoRedefine/>
    <w:qFormat/>
    <w:locked/>
    <w:uiPriority w:val="99"/>
    <w:rPr>
      <w:rFonts w:ascii="Cambria" w:hAnsi="Cambria"/>
      <w:b/>
      <w:bCs/>
      <w:sz w:val="32"/>
      <w:szCs w:val="32"/>
    </w:rPr>
  </w:style>
  <w:style w:type="character" w:customStyle="1" w:styleId="52">
    <w:name w:val="标题 3 字符"/>
    <w:basedOn w:val="28"/>
    <w:link w:val="4"/>
    <w:autoRedefine/>
    <w:semiHidden/>
    <w:qFormat/>
    <w:locked/>
    <w:uiPriority w:val="99"/>
    <w:rPr>
      <w:rFonts w:ascii="Calibri" w:hAnsi="Calibri" w:cs="Times New Roman"/>
      <w:b/>
      <w:sz w:val="32"/>
    </w:rPr>
  </w:style>
  <w:style w:type="character" w:customStyle="1" w:styleId="53">
    <w:name w:val="标题 4 字符"/>
    <w:basedOn w:val="28"/>
    <w:link w:val="5"/>
    <w:autoRedefine/>
    <w:semiHidden/>
    <w:qFormat/>
    <w:locked/>
    <w:uiPriority w:val="99"/>
    <w:rPr>
      <w:rFonts w:ascii="Cambria" w:hAnsi="Cambria" w:eastAsia="宋体" w:cs="Times New Roman"/>
      <w:b/>
      <w:sz w:val="28"/>
    </w:rPr>
  </w:style>
  <w:style w:type="character" w:customStyle="1" w:styleId="54">
    <w:name w:val="正文文本 字符"/>
    <w:basedOn w:val="28"/>
    <w:link w:val="9"/>
    <w:autoRedefine/>
    <w:semiHidden/>
    <w:qFormat/>
    <w:locked/>
    <w:uiPriority w:val="99"/>
    <w:rPr>
      <w:rFonts w:ascii="Calibri" w:hAnsi="Calibri" w:cs="Times New Roman"/>
    </w:rPr>
  </w:style>
  <w:style w:type="character" w:customStyle="1" w:styleId="55">
    <w:name w:val="正文文本首行缩进 字符"/>
    <w:basedOn w:val="54"/>
    <w:link w:val="24"/>
    <w:autoRedefine/>
    <w:semiHidden/>
    <w:qFormat/>
    <w:locked/>
    <w:uiPriority w:val="99"/>
    <w:rPr>
      <w:rFonts w:ascii="Calibri" w:hAnsi="Calibri" w:cs="Times New Roman"/>
    </w:rPr>
  </w:style>
  <w:style w:type="character" w:customStyle="1" w:styleId="56">
    <w:name w:val="批注文字 字符"/>
    <w:basedOn w:val="28"/>
    <w:link w:val="7"/>
    <w:autoRedefine/>
    <w:semiHidden/>
    <w:qFormat/>
    <w:locked/>
    <w:uiPriority w:val="99"/>
    <w:rPr>
      <w:rFonts w:ascii="Calibri" w:hAnsi="Calibri" w:cs="Times New Roman"/>
    </w:rPr>
  </w:style>
  <w:style w:type="character" w:customStyle="1" w:styleId="57">
    <w:name w:val="正文文本 3 字符"/>
    <w:basedOn w:val="28"/>
    <w:link w:val="8"/>
    <w:autoRedefine/>
    <w:semiHidden/>
    <w:qFormat/>
    <w:locked/>
    <w:uiPriority w:val="99"/>
    <w:rPr>
      <w:rFonts w:ascii="Calibri" w:hAnsi="Calibri" w:cs="Times New Roman"/>
      <w:sz w:val="16"/>
    </w:rPr>
  </w:style>
  <w:style w:type="character" w:customStyle="1" w:styleId="58">
    <w:name w:val="正文文本缩进 字符"/>
    <w:basedOn w:val="28"/>
    <w:link w:val="10"/>
    <w:autoRedefine/>
    <w:semiHidden/>
    <w:qFormat/>
    <w:locked/>
    <w:uiPriority w:val="99"/>
    <w:rPr>
      <w:rFonts w:ascii="Calibri" w:hAnsi="Calibri" w:cs="Times New Roman"/>
    </w:rPr>
  </w:style>
  <w:style w:type="character" w:customStyle="1" w:styleId="59">
    <w:name w:val="纯文本 字符"/>
    <w:basedOn w:val="28"/>
    <w:link w:val="13"/>
    <w:autoRedefine/>
    <w:semiHidden/>
    <w:qFormat/>
    <w:locked/>
    <w:uiPriority w:val="99"/>
    <w:rPr>
      <w:rFonts w:ascii="宋体" w:hAnsi="Courier New" w:cs="Times New Roman"/>
      <w:sz w:val="21"/>
    </w:rPr>
  </w:style>
  <w:style w:type="character" w:customStyle="1" w:styleId="60">
    <w:name w:val="批注框文本 字符"/>
    <w:basedOn w:val="28"/>
    <w:link w:val="14"/>
    <w:autoRedefine/>
    <w:qFormat/>
    <w:locked/>
    <w:uiPriority w:val="99"/>
    <w:rPr>
      <w:rFonts w:ascii="Calibri" w:hAnsi="Calibri" w:eastAsia="宋体" w:cs="Times New Roman"/>
      <w:kern w:val="2"/>
      <w:sz w:val="18"/>
    </w:rPr>
  </w:style>
  <w:style w:type="character" w:customStyle="1" w:styleId="61">
    <w:name w:val="页脚 字符"/>
    <w:basedOn w:val="28"/>
    <w:link w:val="15"/>
    <w:autoRedefine/>
    <w:semiHidden/>
    <w:qFormat/>
    <w:locked/>
    <w:uiPriority w:val="99"/>
    <w:rPr>
      <w:rFonts w:ascii="Calibri" w:hAnsi="Calibri" w:cs="Times New Roman"/>
      <w:sz w:val="18"/>
    </w:rPr>
  </w:style>
  <w:style w:type="character" w:customStyle="1" w:styleId="62">
    <w:name w:val="页眉 字符"/>
    <w:basedOn w:val="28"/>
    <w:link w:val="16"/>
    <w:autoRedefine/>
    <w:semiHidden/>
    <w:qFormat/>
    <w:locked/>
    <w:uiPriority w:val="99"/>
    <w:rPr>
      <w:rFonts w:ascii="Calibri" w:hAnsi="Calibri" w:cs="Times New Roman"/>
      <w:sz w:val="18"/>
    </w:rPr>
  </w:style>
  <w:style w:type="character" w:customStyle="1" w:styleId="63">
    <w:name w:val="信息标题 字符"/>
    <w:basedOn w:val="28"/>
    <w:link w:val="20"/>
    <w:autoRedefine/>
    <w:semiHidden/>
    <w:qFormat/>
    <w:locked/>
    <w:uiPriority w:val="99"/>
    <w:rPr>
      <w:rFonts w:ascii="Cambria" w:hAnsi="Cambria" w:eastAsia="宋体" w:cs="Times New Roman"/>
      <w:sz w:val="24"/>
      <w:shd w:val="pct20" w:color="auto" w:fill="auto"/>
    </w:rPr>
  </w:style>
  <w:style w:type="character" w:customStyle="1" w:styleId="64">
    <w:name w:val="批注主题 字符"/>
    <w:basedOn w:val="56"/>
    <w:link w:val="23"/>
    <w:autoRedefine/>
    <w:semiHidden/>
    <w:qFormat/>
    <w:locked/>
    <w:uiPriority w:val="99"/>
    <w:rPr>
      <w:rFonts w:ascii="Calibri" w:hAnsi="Calibri" w:cs="Times New Roman"/>
      <w:b/>
    </w:rPr>
  </w:style>
  <w:style w:type="paragraph" w:customStyle="1" w:styleId="65">
    <w:name w:val="无间隔11"/>
    <w:basedOn w:val="1"/>
    <w:autoRedefine/>
    <w:qFormat/>
    <w:uiPriority w:val="99"/>
    <w:pPr>
      <w:spacing w:line="400" w:lineRule="exact"/>
    </w:pPr>
    <w:rPr>
      <w:sz w:val="24"/>
    </w:rPr>
  </w:style>
  <w:style w:type="paragraph" w:customStyle="1" w:styleId="66">
    <w:name w:val="样式 标题 2 + Times New Roman 四号 非加粗 段前: 5 磅 段后: 0 磅 行距: 固定值 20..."/>
    <w:basedOn w:val="3"/>
    <w:next w:val="67"/>
    <w:autoRedefine/>
    <w:qFormat/>
    <w:uiPriority w:val="99"/>
    <w:pPr>
      <w:numPr>
        <w:numId w:val="0"/>
      </w:numPr>
      <w:spacing w:line="400" w:lineRule="exact"/>
    </w:pPr>
    <w:rPr>
      <w:rFonts w:ascii="Times New Roman" w:hAnsi="Times New Roman"/>
      <w:b w:val="0"/>
      <w:sz w:val="28"/>
    </w:rPr>
  </w:style>
  <w:style w:type="paragraph" w:customStyle="1" w:styleId="67">
    <w:name w:val="文档正文"/>
    <w:basedOn w:val="1"/>
    <w:autoRedefine/>
    <w:qFormat/>
    <w:uiPriority w:val="99"/>
    <w:pPr>
      <w:adjustRightInd w:val="0"/>
      <w:spacing w:line="480" w:lineRule="atLeast"/>
      <w:ind w:firstLine="567"/>
      <w:textAlignment w:val="baseline"/>
    </w:pPr>
    <w:rPr>
      <w:rFonts w:ascii="仿宋_GB2312" w:eastAsia="仿宋_GB2312"/>
      <w:kern w:val="0"/>
      <w:sz w:val="28"/>
    </w:rPr>
  </w:style>
  <w:style w:type="paragraph" w:customStyle="1" w:styleId="68">
    <w:name w:val="标题3-1"/>
    <w:basedOn w:val="4"/>
    <w:autoRedefine/>
    <w:qFormat/>
    <w:uiPriority w:val="99"/>
    <w:pPr>
      <w:tabs>
        <w:tab w:val="left" w:pos="425"/>
      </w:tabs>
      <w:ind w:left="425" w:hanging="425"/>
    </w:pPr>
    <w:rPr>
      <w:sz w:val="24"/>
    </w:rPr>
  </w:style>
  <w:style w:type="paragraph" w:customStyle="1" w:styleId="69">
    <w:name w:val="Table Paragraph"/>
    <w:basedOn w:val="1"/>
    <w:autoRedefine/>
    <w:qFormat/>
    <w:uiPriority w:val="99"/>
  </w:style>
  <w:style w:type="character" w:customStyle="1" w:styleId="70">
    <w:name w:val="font21"/>
    <w:autoRedefine/>
    <w:qFormat/>
    <w:uiPriority w:val="99"/>
    <w:rPr>
      <w:rFonts w:ascii="宋体" w:hAnsi="宋体" w:eastAsia="宋体"/>
      <w:color w:val="000000"/>
      <w:sz w:val="22"/>
      <w:u w:val="none"/>
    </w:rPr>
  </w:style>
  <w:style w:type="character" w:customStyle="1" w:styleId="71">
    <w:name w:val="font121"/>
    <w:autoRedefine/>
    <w:qFormat/>
    <w:uiPriority w:val="99"/>
    <w:rPr>
      <w:rFonts w:ascii="宋体" w:hAnsi="宋体" w:eastAsia="宋体"/>
      <w:b/>
      <w:color w:val="000000"/>
      <w:sz w:val="22"/>
      <w:u w:val="none"/>
    </w:rPr>
  </w:style>
  <w:style w:type="character" w:customStyle="1" w:styleId="72">
    <w:name w:val="font71"/>
    <w:autoRedefine/>
    <w:qFormat/>
    <w:uiPriority w:val="99"/>
    <w:rPr>
      <w:rFonts w:ascii="宋体" w:hAnsi="宋体" w:eastAsia="宋体"/>
      <w:color w:val="000000"/>
      <w:sz w:val="22"/>
      <w:u w:val="none"/>
      <w:vertAlign w:val="superscript"/>
    </w:rPr>
  </w:style>
  <w:style w:type="character" w:customStyle="1" w:styleId="73">
    <w:name w:val="font91"/>
    <w:autoRedefine/>
    <w:qFormat/>
    <w:uiPriority w:val="99"/>
    <w:rPr>
      <w:rFonts w:ascii="宋体" w:hAnsi="宋体" w:eastAsia="宋体"/>
      <w:color w:val="000000"/>
      <w:sz w:val="24"/>
      <w:u w:val="none"/>
    </w:rPr>
  </w:style>
  <w:style w:type="character" w:customStyle="1" w:styleId="74">
    <w:name w:val="font01"/>
    <w:autoRedefine/>
    <w:qFormat/>
    <w:uiPriority w:val="99"/>
    <w:rPr>
      <w:rFonts w:ascii="Wingdings 2" w:hAnsi="Wingdings 2"/>
      <w:color w:val="000000"/>
      <w:sz w:val="24"/>
      <w:u w:val="none"/>
    </w:rPr>
  </w:style>
  <w:style w:type="paragraph" w:styleId="75">
    <w:name w:val="List Paragraph"/>
    <w:basedOn w:val="1"/>
    <w:autoRedefine/>
    <w:qFormat/>
    <w:uiPriority w:val="34"/>
    <w:pPr>
      <w:ind w:firstLine="420" w:firstLineChars="200"/>
    </w:pPr>
  </w:style>
  <w:style w:type="paragraph" w:customStyle="1" w:styleId="76">
    <w:name w:val="_Style 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7">
    <w:name w:val="font11"/>
    <w:autoRedefine/>
    <w:qFormat/>
    <w:uiPriority w:val="0"/>
    <w:rPr>
      <w:rFonts w:ascii="MingLiU" w:hAnsi="MingLiU" w:eastAsia="MingLiU" w:cs="MingLiU"/>
      <w:color w:val="000000"/>
      <w:sz w:val="20"/>
      <w:szCs w:val="20"/>
      <w:u w:val="none"/>
    </w:rPr>
  </w:style>
  <w:style w:type="character" w:customStyle="1" w:styleId="78">
    <w:name w:val="font31"/>
    <w:autoRedefine/>
    <w:qFormat/>
    <w:uiPriority w:val="0"/>
    <w:rPr>
      <w:rFonts w:hint="default" w:ascii="Times New Roman" w:hAnsi="Times New Roman" w:cs="Times New Roman"/>
      <w:color w:val="000000"/>
      <w:sz w:val="20"/>
      <w:szCs w:val="20"/>
      <w:u w:val="none"/>
    </w:rPr>
  </w:style>
  <w:style w:type="character" w:customStyle="1" w:styleId="79">
    <w:name w:val="font41"/>
    <w:autoRedefine/>
    <w:qFormat/>
    <w:uiPriority w:val="0"/>
    <w:rPr>
      <w:rFonts w:hint="default" w:ascii="Times New Roman" w:hAnsi="Times New Roman" w:cs="Times New Roman"/>
      <w:color w:val="000000"/>
      <w:sz w:val="20"/>
      <w:szCs w:val="20"/>
      <w:u w:val="none"/>
    </w:rPr>
  </w:style>
  <w:style w:type="character" w:customStyle="1" w:styleId="80">
    <w:name w:val="nth-child(3)"/>
    <w:basedOn w:val="28"/>
    <w:autoRedefine/>
    <w:qFormat/>
    <w:uiPriority w:val="0"/>
  </w:style>
  <w:style w:type="character" w:customStyle="1" w:styleId="81">
    <w:name w:val="nth-child(2)"/>
    <w:basedOn w:val="28"/>
    <w:autoRedefine/>
    <w:qFormat/>
    <w:uiPriority w:val="0"/>
  </w:style>
  <w:style w:type="character" w:customStyle="1" w:styleId="82">
    <w:name w:val="hover"/>
    <w:basedOn w:val="28"/>
    <w:autoRedefine/>
    <w:qFormat/>
    <w:uiPriority w:val="0"/>
    <w:rPr>
      <w:color w:val="2590EB"/>
    </w:rPr>
  </w:style>
  <w:style w:type="character" w:customStyle="1" w:styleId="83">
    <w:name w:val="hover1"/>
    <w:basedOn w:val="28"/>
    <w:autoRedefine/>
    <w:qFormat/>
    <w:uiPriority w:val="0"/>
    <w:rPr>
      <w:color w:val="2590EB"/>
    </w:rPr>
  </w:style>
  <w:style w:type="character" w:customStyle="1" w:styleId="84">
    <w:name w:val="hover2"/>
    <w:basedOn w:val="28"/>
    <w:autoRedefine/>
    <w:qFormat/>
    <w:uiPriority w:val="0"/>
  </w:style>
  <w:style w:type="character" w:customStyle="1" w:styleId="85">
    <w:name w:val="hover3"/>
    <w:basedOn w:val="28"/>
    <w:autoRedefine/>
    <w:qFormat/>
    <w:uiPriority w:val="0"/>
    <w:rPr>
      <w:color w:val="2590EB"/>
      <w:shd w:val="clear" w:fill="E9F4FD"/>
    </w:rPr>
  </w:style>
  <w:style w:type="character" w:customStyle="1" w:styleId="86">
    <w:name w:val="mini-outputtext1"/>
    <w:basedOn w:val="28"/>
    <w:autoRedefine/>
    <w:qFormat/>
    <w:uiPriority w:val="0"/>
  </w:style>
  <w:style w:type="character" w:customStyle="1" w:styleId="87">
    <w:name w:val="icon_ds"/>
    <w:basedOn w:val="28"/>
    <w:autoRedefine/>
    <w:qFormat/>
    <w:uiPriority w:val="0"/>
  </w:style>
  <w:style w:type="character" w:customStyle="1" w:styleId="88">
    <w:name w:val="icon_ds1"/>
    <w:basedOn w:val="28"/>
    <w:autoRedefine/>
    <w:qFormat/>
    <w:uiPriority w:val="0"/>
    <w:rPr>
      <w:sz w:val="16"/>
      <w:szCs w:val="16"/>
    </w:rPr>
  </w:style>
  <w:style w:type="character" w:customStyle="1" w:styleId="89">
    <w:name w:val="first-child1"/>
    <w:basedOn w:val="28"/>
    <w:autoRedefine/>
    <w:qFormat/>
    <w:uiPriority w:val="0"/>
    <w:rPr>
      <w:color w:val="1F3149"/>
      <w:sz w:val="19"/>
      <w:szCs w:val="19"/>
    </w:rPr>
  </w:style>
  <w:style w:type="character" w:customStyle="1" w:styleId="90">
    <w:name w:val="first-child2"/>
    <w:basedOn w:val="28"/>
    <w:autoRedefine/>
    <w:qFormat/>
    <w:uiPriority w:val="0"/>
    <w:rPr>
      <w:color w:val="1F3149"/>
      <w:sz w:val="19"/>
      <w:szCs w:val="19"/>
    </w:rPr>
  </w:style>
  <w:style w:type="character" w:customStyle="1" w:styleId="91">
    <w:name w:val="xiadan"/>
    <w:basedOn w:val="28"/>
    <w:autoRedefine/>
    <w:qFormat/>
    <w:uiPriority w:val="0"/>
    <w:rPr>
      <w:shd w:val="clear" w:fill="E4393C"/>
    </w:rPr>
  </w:style>
  <w:style w:type="character" w:customStyle="1" w:styleId="92">
    <w:name w:val="fr"/>
    <w:basedOn w:val="28"/>
    <w:autoRedefine/>
    <w:qFormat/>
    <w:uiPriority w:val="0"/>
  </w:style>
  <w:style w:type="character" w:customStyle="1" w:styleId="93">
    <w:name w:val="icon_gys"/>
    <w:basedOn w:val="28"/>
    <w:autoRedefine/>
    <w:qFormat/>
    <w:uiPriority w:val="0"/>
    <w:rPr>
      <w:sz w:val="16"/>
      <w:szCs w:val="16"/>
    </w:rPr>
  </w:style>
  <w:style w:type="character" w:customStyle="1" w:styleId="94">
    <w:name w:val="first-child"/>
    <w:basedOn w:val="28"/>
    <w:autoRedefine/>
    <w:qFormat/>
    <w:uiPriority w:val="0"/>
    <w:rPr>
      <w:color w:val="1F3149"/>
      <w:sz w:val="19"/>
      <w:szCs w:val="19"/>
    </w:rPr>
  </w:style>
  <w:style w:type="paragraph" w:customStyle="1" w:styleId="9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hover4"/>
    <w:basedOn w:val="28"/>
    <w:autoRedefine/>
    <w:qFormat/>
    <w:uiPriority w:val="0"/>
    <w:rPr>
      <w:color w:val="2590EB"/>
      <w:shd w:val="clear" w:fill="E9F4FD"/>
    </w:rPr>
  </w:style>
  <w:style w:type="character" w:customStyle="1" w:styleId="97">
    <w:name w:val="hover18"/>
    <w:basedOn w:val="28"/>
    <w:autoRedefine/>
    <w:qFormat/>
    <w:uiPriority w:val="0"/>
  </w:style>
  <w:style w:type="paragraph" w:customStyle="1" w:styleId="98">
    <w:name w:val="Table Text"/>
    <w:basedOn w:val="1"/>
    <w:semiHidden/>
    <w:qFormat/>
    <w:uiPriority w:val="0"/>
    <w:rPr>
      <w:rFonts w:ascii="宋体" w:hAnsi="宋体" w:eastAsia="宋体" w:cs="宋体"/>
      <w:sz w:val="24"/>
      <w:szCs w:val="24"/>
      <w:lang w:val="en-US" w:eastAsia="en-US" w:bidi="ar-SA"/>
    </w:rPr>
  </w:style>
  <w:style w:type="table" w:customStyle="1" w:styleId="9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64</Pages>
  <Words>12440</Words>
  <Characters>13560</Characters>
  <Lines>315</Lines>
  <Paragraphs>88</Paragraphs>
  <TotalTime>29</TotalTime>
  <ScaleCrop>false</ScaleCrop>
  <LinksUpToDate>false</LinksUpToDate>
  <CharactersWithSpaces>13875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2020-06-11T13:40:00Z</dcterms:created>
  <dc:creator>NTKO</dc:creator>
  <cp:lastModifiedBy>杜创业</cp:lastModifiedBy>
  <cp:lastPrinted>2026-02-24T09:08:00Z</cp:lastPrinted>
  <dcterms:modified xsi:type="dcterms:W3CDTF">2026-02-28T09:04:06Z</dcterms:modified>
  <cp:revision>1402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883B72315C1B40848F4B7BCD3191E173_13</vt:lpwstr>
  </property>
  <property fmtid="{D5CDD505-2E9C-101B-9397-08002B2CF9AE}" pid="4" name="KSOTemplateDocerSaveRecord">
    <vt:lpwstr>eyJoZGlkIjoiODI3ODNmOWNiODRhMTZhNWQ3ZGJkM2MzOGZjYzRjYjUiLCJ1c2VySWQiOiIxNDg3NTM2ODUxIn0=</vt:lpwstr>
  </property>
</Properties>
</file>