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49494">
      <w:pPr>
        <w:keepNext w:val="0"/>
        <w:keepLines w:val="0"/>
        <w:pageBreakBefore w:val="0"/>
        <w:kinsoku/>
        <w:wordWrap w:val="0"/>
        <w:overflowPunct/>
        <w:topLinePunct w:val="0"/>
        <w:bidi w:val="0"/>
        <w:spacing w:line="281" w:lineRule="auto"/>
        <w:jc w:val="both"/>
        <w:rPr>
          <w:rFonts w:ascii="Arial"/>
          <w:sz w:val="21"/>
        </w:rPr>
      </w:pPr>
    </w:p>
    <w:p w14:paraId="5CEDFECB">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pPr>
    </w:p>
    <w:p w14:paraId="00C738D0">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z w:val="52"/>
          <w:szCs w:val="52"/>
        </w:rPr>
      </w:pPr>
      <w:r>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t>南阳市</w:t>
      </w:r>
      <w:r>
        <w:rPr>
          <w:rFonts w:hint="eastAsia" w:ascii="宋体" w:hAnsi="宋体" w:eastAsia="宋体" w:cs="宋体"/>
          <w:spacing w:val="-2"/>
          <w:sz w:val="52"/>
          <w:szCs w:val="52"/>
          <w14:textOutline w14:w="3844" w14:cap="flat" w14:cmpd="sng">
            <w14:solidFill>
              <w14:srgbClr w14:val="000000"/>
            </w14:solidFill>
            <w14:prstDash w14:val="solid"/>
            <w14:miter w14:val="0"/>
          </w14:textOutline>
        </w:rPr>
        <w:t>政府采购项目</w:t>
      </w:r>
    </w:p>
    <w:p w14:paraId="4EE75EC5">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sz w:val="52"/>
          <w:szCs w:val="52"/>
        </w:rPr>
      </w:pPr>
      <w:r>
        <w:rPr>
          <w:rFonts w:hint="eastAsia" w:ascii="宋体" w:hAnsi="宋体" w:eastAsia="宋体" w:cs="宋体"/>
          <w:spacing w:val="-1"/>
          <w:sz w:val="52"/>
          <w:szCs w:val="52"/>
          <w14:textOutline w14:w="3844" w14:cap="flat" w14:cmpd="sng">
            <w14:solidFill>
              <w14:srgbClr w14:val="000000"/>
            </w14:solidFill>
            <w14:prstDash w14:val="solid"/>
            <w14:miter w14:val="0"/>
          </w14:textOutline>
        </w:rPr>
        <w:t>竞争性磋商文件</w:t>
      </w:r>
    </w:p>
    <w:p w14:paraId="1C9677C1">
      <w:pPr>
        <w:keepNext w:val="0"/>
        <w:keepLines w:val="0"/>
        <w:pageBreakBefore w:val="0"/>
        <w:kinsoku/>
        <w:wordWrap w:val="0"/>
        <w:overflowPunct/>
        <w:topLinePunct w:val="0"/>
        <w:bidi w:val="0"/>
        <w:spacing w:line="248" w:lineRule="auto"/>
        <w:jc w:val="both"/>
        <w:rPr>
          <w:rFonts w:ascii="Arial"/>
          <w:sz w:val="21"/>
        </w:rPr>
      </w:pPr>
    </w:p>
    <w:p w14:paraId="6814AF9F">
      <w:pPr>
        <w:keepNext w:val="0"/>
        <w:keepLines w:val="0"/>
        <w:pageBreakBefore w:val="0"/>
        <w:kinsoku/>
        <w:wordWrap w:val="0"/>
        <w:overflowPunct/>
        <w:topLinePunct w:val="0"/>
        <w:bidi w:val="0"/>
        <w:spacing w:line="249" w:lineRule="auto"/>
        <w:jc w:val="both"/>
        <w:rPr>
          <w:rFonts w:ascii="Arial"/>
          <w:sz w:val="21"/>
        </w:rPr>
      </w:pPr>
    </w:p>
    <w:p w14:paraId="1FA6797C">
      <w:pPr>
        <w:keepNext w:val="0"/>
        <w:keepLines w:val="0"/>
        <w:pageBreakBefore w:val="0"/>
        <w:kinsoku/>
        <w:wordWrap w:val="0"/>
        <w:overflowPunct/>
        <w:topLinePunct w:val="0"/>
        <w:bidi w:val="0"/>
        <w:spacing w:line="249" w:lineRule="auto"/>
        <w:jc w:val="both"/>
        <w:rPr>
          <w:rFonts w:ascii="Arial"/>
          <w:sz w:val="21"/>
        </w:rPr>
      </w:pPr>
    </w:p>
    <w:p w14:paraId="14764BB1">
      <w:pPr>
        <w:keepNext w:val="0"/>
        <w:keepLines w:val="0"/>
        <w:pageBreakBefore w:val="0"/>
        <w:kinsoku/>
        <w:wordWrap w:val="0"/>
        <w:overflowPunct/>
        <w:topLinePunct w:val="0"/>
        <w:bidi w:val="0"/>
        <w:spacing w:line="249" w:lineRule="auto"/>
        <w:jc w:val="both"/>
        <w:rPr>
          <w:rFonts w:ascii="Arial"/>
          <w:sz w:val="21"/>
        </w:rPr>
      </w:pPr>
    </w:p>
    <w:p w14:paraId="553570E3">
      <w:pPr>
        <w:keepNext w:val="0"/>
        <w:keepLines w:val="0"/>
        <w:pageBreakBefore w:val="0"/>
        <w:kinsoku/>
        <w:wordWrap w:val="0"/>
        <w:overflowPunct/>
        <w:topLinePunct w:val="0"/>
        <w:bidi w:val="0"/>
        <w:spacing w:line="249" w:lineRule="auto"/>
        <w:jc w:val="both"/>
        <w:rPr>
          <w:rFonts w:ascii="Arial"/>
          <w:sz w:val="21"/>
        </w:rPr>
      </w:pPr>
    </w:p>
    <w:p w14:paraId="731CB9B6">
      <w:pPr>
        <w:keepNext w:val="0"/>
        <w:keepLines w:val="0"/>
        <w:pageBreakBefore w:val="0"/>
        <w:kinsoku/>
        <w:wordWrap w:val="0"/>
        <w:overflowPunct/>
        <w:topLinePunct w:val="0"/>
        <w:bidi w:val="0"/>
        <w:spacing w:line="249" w:lineRule="auto"/>
        <w:jc w:val="both"/>
        <w:rPr>
          <w:rFonts w:ascii="Arial"/>
          <w:sz w:val="21"/>
        </w:rPr>
      </w:pPr>
    </w:p>
    <w:p w14:paraId="27D3E29F">
      <w:pPr>
        <w:keepNext w:val="0"/>
        <w:keepLines w:val="0"/>
        <w:pageBreakBefore w:val="0"/>
        <w:kinsoku/>
        <w:wordWrap w:val="0"/>
        <w:overflowPunct/>
        <w:topLinePunct w:val="0"/>
        <w:bidi w:val="0"/>
        <w:spacing w:line="249" w:lineRule="auto"/>
        <w:jc w:val="both"/>
        <w:rPr>
          <w:rFonts w:ascii="Arial"/>
          <w:sz w:val="21"/>
        </w:rPr>
      </w:pPr>
    </w:p>
    <w:p w14:paraId="78423914">
      <w:pPr>
        <w:keepNext w:val="0"/>
        <w:keepLines w:val="0"/>
        <w:pageBreakBefore w:val="0"/>
        <w:kinsoku/>
        <w:wordWrap w:val="0"/>
        <w:overflowPunct/>
        <w:topLinePunct w:val="0"/>
        <w:bidi w:val="0"/>
        <w:spacing w:line="249" w:lineRule="auto"/>
        <w:jc w:val="both"/>
        <w:rPr>
          <w:rFonts w:ascii="Arial"/>
          <w:sz w:val="21"/>
        </w:rPr>
      </w:pPr>
    </w:p>
    <w:p w14:paraId="0315D9A1">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 xml:space="preserve"> 河南省南阳市中级人民法院物业服务项目</w:t>
      </w:r>
    </w:p>
    <w:p w14:paraId="2F790692">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   豫财磋商采购-2025-260              </w:t>
      </w:r>
    </w:p>
    <w:p w14:paraId="6A9BC991">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河南省南阳市中级人民法院              </w:t>
      </w:r>
    </w:p>
    <w:p w14:paraId="02F5CE66">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 xml:space="preserve">   南阳市公共资源交易中心        </w:t>
      </w:r>
    </w:p>
    <w:p w14:paraId="01360E1B">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u w:val="single"/>
          <w:lang w:val="en-US" w:eastAsia="zh-CN"/>
        </w:rPr>
      </w:pPr>
    </w:p>
    <w:p w14:paraId="40EC4A89">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u w:val="single"/>
          <w:lang w:val="en-US" w:eastAsia="zh-CN"/>
        </w:rPr>
      </w:pPr>
    </w:p>
    <w:p w14:paraId="18C81A73">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u w:val="single"/>
          <w:lang w:val="en-US" w:eastAsia="zh-CN"/>
        </w:rPr>
      </w:pPr>
    </w:p>
    <w:p w14:paraId="33F624ED">
      <w:pPr>
        <w:pStyle w:val="2"/>
        <w:bidi w:val="0"/>
      </w:pPr>
    </w:p>
    <w:p w14:paraId="3C301192">
      <w:pPr>
        <w:pStyle w:val="3"/>
      </w:pPr>
    </w:p>
    <w:p w14:paraId="786C6B9B">
      <w:pPr>
        <w:pStyle w:val="2"/>
        <w:keepNext w:val="0"/>
        <w:keepLines w:val="0"/>
        <w:pageBreakBefore w:val="0"/>
        <w:kinsoku/>
        <w:wordWrap w:val="0"/>
        <w:overflowPunct/>
        <w:topLinePunct w:val="0"/>
        <w:bidi w:val="0"/>
        <w:spacing w:before="117" w:line="220" w:lineRule="auto"/>
        <w:ind w:left="3829"/>
        <w:jc w:val="both"/>
        <w:rPr>
          <w:spacing w:val="-3"/>
          <w:sz w:val="44"/>
          <w:szCs w:val="44"/>
          <w14:textOutline w14:w="2306" w14:cap="flat" w14:cmpd="sng">
            <w14:solidFill>
              <w14:srgbClr w14:val="000000"/>
            </w14:solidFill>
            <w14:prstDash w14:val="solid"/>
            <w14:miter w14:val="0"/>
          </w14:textOutline>
        </w:rPr>
      </w:pPr>
    </w:p>
    <w:p w14:paraId="548B130E">
      <w:pPr>
        <w:pStyle w:val="2"/>
        <w:keepNext w:val="0"/>
        <w:keepLines w:val="0"/>
        <w:pageBreakBefore w:val="0"/>
        <w:kinsoku/>
        <w:wordWrap w:val="0"/>
        <w:overflowPunct/>
        <w:topLinePunct w:val="0"/>
        <w:bidi w:val="0"/>
        <w:spacing w:before="117" w:line="220" w:lineRule="auto"/>
        <w:ind w:left="3829"/>
        <w:jc w:val="both"/>
        <w:rPr>
          <w:spacing w:val="-3"/>
          <w:sz w:val="44"/>
          <w:szCs w:val="44"/>
          <w14:textOutline w14:w="2306" w14:cap="flat" w14:cmpd="sng">
            <w14:solidFill>
              <w14:srgbClr w14:val="000000"/>
            </w14:solidFill>
            <w14:prstDash w14:val="solid"/>
            <w14:miter w14:val="0"/>
          </w14:textOutline>
        </w:rPr>
      </w:pPr>
    </w:p>
    <w:p w14:paraId="67495EF4">
      <w:pPr>
        <w:pStyle w:val="2"/>
        <w:keepNext w:val="0"/>
        <w:keepLines w:val="0"/>
        <w:pageBreakBefore w:val="0"/>
        <w:kinsoku/>
        <w:wordWrap w:val="0"/>
        <w:overflowPunct/>
        <w:topLinePunct w:val="0"/>
        <w:bidi w:val="0"/>
        <w:spacing w:before="117" w:line="360" w:lineRule="auto"/>
        <w:jc w:val="center"/>
        <w:rPr>
          <w:spacing w:val="-3"/>
          <w:sz w:val="44"/>
          <w:szCs w:val="44"/>
          <w14:textOutline w14:w="2306" w14:cap="flat" w14:cmpd="sng">
            <w14:solidFill>
              <w14:srgbClr w14:val="000000"/>
            </w14:solidFill>
            <w14:prstDash w14:val="solid"/>
            <w14:miter w14:val="0"/>
          </w14:textOutline>
        </w:rPr>
        <w:sectPr>
          <w:headerReference r:id="rId5" w:type="default"/>
          <w:pgSz w:w="11907" w:h="16840"/>
          <w:pgMar w:top="1440" w:right="1800" w:bottom="1440" w:left="1800" w:header="878" w:footer="0" w:gutter="0"/>
          <w:pgNumType w:fmt="decimal"/>
          <w:cols w:space="720" w:num="1"/>
        </w:sectPr>
      </w:pPr>
    </w:p>
    <w:p w14:paraId="6F1941E7">
      <w:pPr>
        <w:keepNext w:val="0"/>
        <w:keepLines w:val="0"/>
        <w:pageBreakBefore w:val="0"/>
        <w:kinsoku/>
        <w:wordWrap w:val="0"/>
        <w:overflowPunct/>
        <w:topLinePunct w:val="0"/>
        <w:bidi w:val="0"/>
        <w:spacing w:line="326" w:lineRule="auto"/>
        <w:jc w:val="both"/>
        <w:rPr>
          <w:rFonts w:ascii="Arial"/>
          <w:sz w:val="21"/>
        </w:rPr>
      </w:pPr>
    </w:p>
    <w:sdt>
      <w:sdtPr>
        <w:rPr>
          <w:rFonts w:ascii="宋体" w:hAnsi="宋体" w:eastAsia="宋体" w:cs="宋体"/>
          <w:sz w:val="36"/>
          <w:szCs w:val="36"/>
        </w:rPr>
        <w:id w:val="1"/>
        <w:docPartObj>
          <w:docPartGallery w:val="Table of Contents"/>
          <w:docPartUnique/>
        </w:docPartObj>
      </w:sdtPr>
      <w:sdtEndPr>
        <w:rPr>
          <w:rFonts w:hint="eastAsia" w:ascii="宋体" w:hAnsi="宋体" w:eastAsia="宋体" w:cs="宋体"/>
          <w:sz w:val="28"/>
          <w:szCs w:val="28"/>
        </w:rPr>
      </w:sdtEndPr>
      <w:sdtContent>
        <w:p w14:paraId="567956CC">
          <w:pPr>
            <w:pStyle w:val="2"/>
            <w:keepNext w:val="0"/>
            <w:keepLines w:val="0"/>
            <w:pageBreakBefore w:val="0"/>
            <w:kinsoku/>
            <w:wordWrap w:val="0"/>
            <w:overflowPunct/>
            <w:topLinePunct w:val="0"/>
            <w:bidi w:val="0"/>
            <w:spacing w:before="117" w:line="222" w:lineRule="auto"/>
            <w:ind w:left="3716"/>
            <w:jc w:val="both"/>
            <w:rPr>
              <w:sz w:val="36"/>
              <w:szCs w:val="36"/>
            </w:rPr>
          </w:pPr>
          <w:bookmarkStart w:id="0" w:name="bookmark1"/>
          <w:bookmarkEnd w:id="0"/>
          <w:r>
            <w:rPr>
              <w:rFonts w:hint="eastAsia" w:ascii="宋体" w:hAnsi="宋体" w:eastAsia="宋体" w:cs="宋体"/>
              <w:spacing w:val="-42"/>
              <w:sz w:val="36"/>
              <w:szCs w:val="36"/>
              <w14:textOutline w14:w="2306" w14:cap="flat" w14:cmpd="sng">
                <w14:solidFill>
                  <w14:srgbClr w14:val="000000"/>
                </w14:solidFill>
                <w14:prstDash w14:val="solid"/>
                <w14:miter w14:val="0"/>
              </w14:textOutline>
            </w:rPr>
            <w:t>目</w:t>
          </w:r>
          <w:r>
            <w:rPr>
              <w:rFonts w:hint="eastAsia" w:ascii="宋体" w:hAnsi="宋体" w:eastAsia="宋体" w:cs="宋体"/>
              <w:spacing w:val="-42"/>
              <w:sz w:val="36"/>
              <w:szCs w:val="36"/>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42"/>
              <w:sz w:val="36"/>
              <w:szCs w:val="36"/>
              <w14:textOutline w14:w="2306" w14:cap="flat" w14:cmpd="sng">
                <w14:solidFill>
                  <w14:srgbClr w14:val="000000"/>
                </w14:solidFill>
                <w14:prstDash w14:val="solid"/>
                <w14:miter w14:val="0"/>
              </w14:textOutline>
            </w:rPr>
            <w:t>录</w:t>
          </w:r>
        </w:p>
        <w:p w14:paraId="311F5A11">
          <w:pPr>
            <w:keepNext w:val="0"/>
            <w:keepLines w:val="0"/>
            <w:pageBreakBefore w:val="0"/>
            <w:kinsoku/>
            <w:wordWrap w:val="0"/>
            <w:overflowPunct/>
            <w:topLinePunct w:val="0"/>
            <w:bidi w:val="0"/>
            <w:spacing w:line="286" w:lineRule="auto"/>
            <w:jc w:val="both"/>
            <w:rPr>
              <w:rFonts w:ascii="Arial"/>
              <w:sz w:val="21"/>
            </w:rPr>
          </w:pPr>
        </w:p>
        <w:p w14:paraId="4F0E3C30">
          <w:pPr>
            <w:pStyle w:val="2"/>
            <w:bidi w:val="0"/>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HYPERLINK\l"bookmark1"</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竞争性磋商公告</w:t>
          </w:r>
          <w:r>
            <w:rPr>
              <w:rFonts w:hint="eastAsia" w:ascii="宋体" w:hAnsi="宋体" w:eastAsia="宋体" w:cs="宋体"/>
              <w:sz w:val="28"/>
              <w:szCs w:val="28"/>
            </w:rPr>
            <w:fldChar w:fldCharType="end"/>
          </w:r>
        </w:p>
        <w:p w14:paraId="003E2D43">
          <w:pPr>
            <w:pStyle w:val="2"/>
            <w:bidi w:val="0"/>
            <w:spacing w:line="360" w:lineRule="auto"/>
            <w:rPr>
              <w:rFonts w:hint="eastAsia" w:ascii="宋体" w:hAnsi="宋体" w:eastAsia="宋体" w:cs="宋体"/>
              <w:sz w:val="28"/>
              <w:szCs w:val="28"/>
              <w:lang w:eastAsia="zh-CN"/>
            </w:rPr>
          </w:pPr>
          <w:r>
            <w:rPr>
              <w:rFonts w:hint="eastAsia" w:ascii="宋体" w:hAnsi="宋体" w:eastAsia="宋体" w:cs="宋体"/>
              <w:sz w:val="28"/>
              <w:szCs w:val="28"/>
            </w:rPr>
            <w:t>第二章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采购需求</w:t>
          </w:r>
        </w:p>
        <w:p w14:paraId="04D96E96">
          <w:pPr>
            <w:pStyle w:val="2"/>
            <w:bidi w:val="0"/>
            <w:spacing w:line="360" w:lineRule="auto"/>
            <w:rPr>
              <w:rFonts w:hint="eastAsia" w:ascii="宋体" w:hAnsi="宋体" w:eastAsia="宋体" w:cs="宋体"/>
              <w:sz w:val="28"/>
              <w:szCs w:val="28"/>
              <w:lang w:eastAsia="zh-CN"/>
            </w:rPr>
          </w:pPr>
          <w:r>
            <w:rPr>
              <w:rFonts w:hint="eastAsia" w:ascii="宋体" w:hAnsi="宋体" w:eastAsia="宋体" w:cs="宋体"/>
              <w:sz w:val="28"/>
              <w:szCs w:val="28"/>
            </w:rPr>
            <w:t>第三章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供应商须知</w:t>
          </w:r>
        </w:p>
        <w:p w14:paraId="3074FD92">
          <w:pPr>
            <w:pStyle w:val="2"/>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第四章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w:t>
          </w:r>
          <w:r>
            <w:rPr>
              <w:rFonts w:hint="eastAsia" w:ascii="宋体" w:hAnsi="宋体" w:eastAsia="宋体" w:cs="宋体"/>
              <w:sz w:val="28"/>
              <w:szCs w:val="28"/>
              <w:lang w:val="en-US" w:eastAsia="zh-CN"/>
            </w:rPr>
            <w:t>审</w:t>
          </w:r>
          <w:r>
            <w:rPr>
              <w:rFonts w:hint="eastAsia" w:ascii="宋体" w:hAnsi="宋体" w:eastAsia="宋体" w:cs="宋体"/>
              <w:sz w:val="28"/>
              <w:szCs w:val="28"/>
            </w:rPr>
            <w:t>程序、评审方法和评审标准</w:t>
          </w:r>
        </w:p>
        <w:p w14:paraId="2063A8B7">
          <w:pPr>
            <w:pStyle w:val="2"/>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第五章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政府采购合同（草案）</w:t>
          </w:r>
        </w:p>
        <w:p w14:paraId="056A18BF">
          <w:pPr>
            <w:pStyle w:val="2"/>
            <w:bidi w:val="0"/>
            <w:spacing w:line="360" w:lineRule="auto"/>
            <w:rPr>
              <w:rFonts w:hint="eastAsia" w:ascii="宋体" w:hAnsi="宋体" w:eastAsia="宋体" w:cs="宋体"/>
              <w:sz w:val="28"/>
              <w:szCs w:val="28"/>
            </w:rPr>
          </w:pPr>
          <w:r>
            <w:rPr>
              <w:rFonts w:hint="eastAsia" w:ascii="宋体" w:hAnsi="宋体" w:eastAsia="宋体" w:cs="宋体"/>
              <w:sz w:val="28"/>
              <w:szCs w:val="28"/>
            </w:rPr>
            <w:t>第六章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响应文件格式</w:t>
          </w:r>
        </w:p>
      </w:sdtContent>
    </w:sdt>
    <w:p w14:paraId="6AFCF144">
      <w:pPr>
        <w:keepNext w:val="0"/>
        <w:keepLines w:val="0"/>
        <w:pageBreakBefore w:val="0"/>
        <w:kinsoku/>
        <w:wordWrap w:val="0"/>
        <w:overflowPunct/>
        <w:topLinePunct w:val="0"/>
        <w:bidi w:val="0"/>
        <w:spacing w:line="219" w:lineRule="auto"/>
        <w:jc w:val="both"/>
        <w:rPr>
          <w:rFonts w:ascii="Arial" w:hAnsi="Arial" w:eastAsia="Arial" w:cs="Arial"/>
          <w:sz w:val="24"/>
          <w:szCs w:val="24"/>
        </w:rPr>
      </w:pPr>
    </w:p>
    <w:p w14:paraId="4E3FAFD9">
      <w:pPr>
        <w:bidi w:val="0"/>
        <w:rPr>
          <w:rFonts w:ascii="Arial" w:hAnsi="Arial" w:eastAsia="Arial" w:cs="Arial"/>
          <w:snapToGrid w:val="0"/>
          <w:color w:val="000000"/>
          <w:kern w:val="0"/>
          <w:sz w:val="21"/>
          <w:szCs w:val="21"/>
          <w:lang w:val="en-US" w:eastAsia="en-US" w:bidi="ar-SA"/>
        </w:rPr>
      </w:pPr>
    </w:p>
    <w:p w14:paraId="562A9177">
      <w:pPr>
        <w:bidi w:val="0"/>
        <w:rPr>
          <w:lang w:val="en-US" w:eastAsia="en-US"/>
        </w:rPr>
      </w:pPr>
    </w:p>
    <w:p w14:paraId="4B73306A">
      <w:pPr>
        <w:bidi w:val="0"/>
        <w:rPr>
          <w:lang w:val="en-US" w:eastAsia="en-US"/>
        </w:rPr>
      </w:pPr>
    </w:p>
    <w:p w14:paraId="0168D35F">
      <w:pPr>
        <w:bidi w:val="0"/>
        <w:rPr>
          <w:lang w:val="en-US" w:eastAsia="en-US"/>
        </w:rPr>
      </w:pPr>
    </w:p>
    <w:p w14:paraId="7BD2C8A4">
      <w:pPr>
        <w:pStyle w:val="2"/>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4FA26018">
      <w:pPr>
        <w:pStyle w:val="2"/>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6368F29D">
      <w:pPr>
        <w:pStyle w:val="2"/>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0B4567E0">
      <w:pPr>
        <w:pStyle w:val="2"/>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5890CE27">
      <w:pPr>
        <w:pStyle w:val="2"/>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29CC2AB7">
      <w:pPr>
        <w:pStyle w:val="2"/>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103A9C6E">
      <w:pPr>
        <w:pStyle w:val="2"/>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5D88675F">
      <w:pPr>
        <w:pStyle w:val="2"/>
        <w:keepNext w:val="0"/>
        <w:keepLines w:val="0"/>
        <w:pageBreakBefore w:val="0"/>
        <w:kinsoku/>
        <w:wordWrap w:val="0"/>
        <w:overflowPunct/>
        <w:topLinePunct w:val="0"/>
        <w:bidi w:val="0"/>
        <w:spacing w:before="358" w:line="360" w:lineRule="auto"/>
        <w:jc w:val="both"/>
        <w:rPr>
          <w:spacing w:val="-1"/>
          <w:sz w:val="36"/>
          <w:szCs w:val="36"/>
          <w14:textOutline w14:w="2306" w14:cap="flat" w14:cmpd="sng">
            <w14:solidFill>
              <w14:srgbClr w14:val="000000"/>
            </w14:solidFill>
            <w14:prstDash w14:val="solid"/>
            <w14:miter w14:val="0"/>
          </w14:textOutline>
        </w:rPr>
      </w:pPr>
    </w:p>
    <w:p w14:paraId="3B6B01F0">
      <w:pPr>
        <w:pStyle w:val="2"/>
        <w:keepNext w:val="0"/>
        <w:keepLines w:val="0"/>
        <w:pageBreakBefore w:val="0"/>
        <w:kinsoku/>
        <w:wordWrap w:val="0"/>
        <w:overflowPunct/>
        <w:topLinePunct w:val="0"/>
        <w:bidi w:val="0"/>
        <w:spacing w:before="358" w:line="360" w:lineRule="auto"/>
        <w:jc w:val="center"/>
        <w:rPr>
          <w:rFonts w:ascii="Arial"/>
          <w:sz w:val="21"/>
        </w:rPr>
      </w:pPr>
      <w:r>
        <w:rPr>
          <w:spacing w:val="-1"/>
          <w:sz w:val="36"/>
          <w:szCs w:val="36"/>
          <w14:textOutline w14:w="2306" w14:cap="flat" w14:cmpd="sng">
            <w14:solidFill>
              <w14:srgbClr w14:val="000000"/>
            </w14:solidFill>
            <w14:prstDash w14:val="solid"/>
            <w14:miter w14:val="0"/>
          </w14:textOutline>
        </w:rPr>
        <w:t>第一章</w:t>
      </w:r>
      <w:r>
        <w:rPr>
          <w:rFonts w:hint="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lang w:eastAsia="zh-CN"/>
          <w14:textOutline w14:w="2306" w14:cap="flat" w14:cmpd="sng">
            <w14:solidFill>
              <w14:srgbClr w14:val="000000"/>
            </w14:solidFill>
            <w14:prstDash w14:val="solid"/>
            <w14:miter w14:val="0"/>
          </w14:textOutline>
        </w:rPr>
        <w:t>竞争性磋商公告</w:t>
      </w:r>
    </w:p>
    <w:p w14:paraId="11A8D7E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竞争性磋商</w:t>
      </w:r>
      <w:r>
        <w:rPr>
          <w:spacing w:val="-6"/>
          <w:sz w:val="24"/>
          <w:szCs w:val="24"/>
        </w:rPr>
        <w:t>方式组织采购活动，</w:t>
      </w:r>
      <w:r>
        <w:rPr>
          <w:rFonts w:hint="eastAsia"/>
          <w:spacing w:val="-6"/>
          <w:sz w:val="24"/>
          <w:szCs w:val="24"/>
          <w:lang w:val="en-US" w:eastAsia="zh-CN"/>
        </w:rPr>
        <w:t>欢迎潜在供应商</w:t>
      </w:r>
      <w:r>
        <w:rPr>
          <w:spacing w:val="-6"/>
          <w:sz w:val="24"/>
          <w:szCs w:val="24"/>
        </w:rPr>
        <w:t>参与本项目</w:t>
      </w:r>
      <w:r>
        <w:rPr>
          <w:rFonts w:hint="eastAsia"/>
          <w:spacing w:val="-6"/>
          <w:sz w:val="24"/>
          <w:szCs w:val="24"/>
          <w:lang w:val="en-US" w:eastAsia="zh-CN"/>
        </w:rPr>
        <w:t>磋商</w:t>
      </w:r>
      <w:r>
        <w:rPr>
          <w:spacing w:val="-6"/>
          <w:sz w:val="24"/>
          <w:szCs w:val="24"/>
        </w:rPr>
        <w:t>。</w:t>
      </w:r>
    </w:p>
    <w:p w14:paraId="5894CFC2">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1"/>
        <w:rPr>
          <w:sz w:val="24"/>
          <w:szCs w:val="24"/>
        </w:rPr>
      </w:pPr>
      <w:r>
        <w:rPr>
          <w:spacing w:val="-2"/>
          <w:sz w:val="24"/>
          <w:szCs w:val="24"/>
          <w14:textOutline w14:w="1537" w14:cap="flat" w14:cmpd="sng">
            <w14:solidFill>
              <w14:srgbClr w14:val="000000"/>
            </w14:solidFill>
            <w14:prstDash w14:val="solid"/>
            <w14:miter w14:val="0"/>
          </w14:textOutline>
        </w:rPr>
        <w:t>一、项目基本情况</w:t>
      </w:r>
    </w:p>
    <w:p w14:paraId="5670401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5"/>
          <w:sz w:val="24"/>
          <w:szCs w:val="24"/>
        </w:rPr>
        <w:t>1.项目编号：</w:t>
      </w:r>
      <w:r>
        <w:rPr>
          <w:rFonts w:hint="eastAsia" w:asciiTheme="minorEastAsia" w:hAnsiTheme="minorEastAsia" w:eastAsiaTheme="minorEastAsia" w:cstheme="minorEastAsia"/>
          <w:spacing w:val="-25"/>
          <w:sz w:val="24"/>
          <w:szCs w:val="24"/>
          <w:lang w:val="en-US" w:eastAsia="zh-CN"/>
        </w:rPr>
        <w:t>豫财磋商采购-2025-260</w:t>
      </w:r>
    </w:p>
    <w:p w14:paraId="7054CDD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w:t>
      </w:r>
      <w:r>
        <w:rPr>
          <w:rFonts w:hint="eastAsia" w:asciiTheme="minorEastAsia" w:hAnsiTheme="minorEastAsia" w:eastAsiaTheme="minorEastAsia" w:cstheme="minorEastAsia"/>
          <w:spacing w:val="-25"/>
          <w:sz w:val="24"/>
          <w:szCs w:val="24"/>
          <w:lang w:val="en-US" w:eastAsia="zh-CN"/>
        </w:rPr>
        <w:t>河南省南阳市中级人民法院物业服务项目</w:t>
      </w:r>
    </w:p>
    <w:p w14:paraId="49E96E7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val="en-US" w:eastAsia="zh-CN"/>
        </w:rPr>
        <w:t xml:space="preserve">   397.8</w:t>
      </w:r>
      <w:r>
        <w:rPr>
          <w:rFonts w:hint="eastAsia" w:asciiTheme="minorEastAsia" w:hAnsiTheme="minorEastAsia" w:eastAsiaTheme="minorEastAsia" w:cstheme="minorEastAsia"/>
          <w:spacing w:val="-14"/>
          <w:sz w:val="24"/>
          <w:szCs w:val="24"/>
        </w:rPr>
        <w:t>万元</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三年合计</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项目最高限价</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397.8 </w:t>
      </w:r>
      <w:r>
        <w:rPr>
          <w:rFonts w:hint="eastAsia" w:asciiTheme="minorEastAsia" w:hAnsiTheme="minorEastAsia" w:eastAsiaTheme="minorEastAsia" w:cstheme="minorEastAsia"/>
          <w:spacing w:val="-14"/>
          <w:sz w:val="24"/>
          <w:szCs w:val="24"/>
        </w:rPr>
        <w:t>万元</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三年合计</w:t>
      </w:r>
      <w:r>
        <w:rPr>
          <w:rFonts w:hint="eastAsia" w:asciiTheme="minorEastAsia" w:hAnsiTheme="minorEastAsia" w:eastAsiaTheme="minorEastAsia" w:cstheme="minorEastAsia"/>
          <w:spacing w:val="-14"/>
          <w:sz w:val="24"/>
          <w:szCs w:val="24"/>
          <w:lang w:eastAsia="zh-CN"/>
        </w:rPr>
        <w:t>）</w:t>
      </w:r>
    </w:p>
    <w:p w14:paraId="7CA1D2F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19"/>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2E180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0E75818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14:paraId="1F51B35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14:paraId="41FDF26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万</w:t>
            </w:r>
            <w:r>
              <w:rPr>
                <w:rFonts w:hint="eastAsia" w:asciiTheme="minorEastAsia" w:hAnsiTheme="minorEastAsia" w:eastAsiaTheme="minorEastAsia" w:cstheme="minorEastAsia"/>
                <w:sz w:val="24"/>
                <w:szCs w:val="24"/>
              </w:rPr>
              <w:t>元）</w:t>
            </w:r>
          </w:p>
        </w:tc>
      </w:tr>
      <w:tr w14:paraId="7FD96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top"/>
          </w:tcPr>
          <w:p w14:paraId="18AA9EE1">
            <w:pPr>
              <w:pStyle w:val="20"/>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lang w:val="en-US" w:eastAsia="zh-CN"/>
              </w:rPr>
              <w:t>豫财磋商采购-2025-260</w:t>
            </w:r>
            <w:r>
              <w:rPr>
                <w:rFonts w:hint="eastAsia" w:asciiTheme="minorEastAsia" w:hAnsiTheme="minorEastAsia" w:eastAsiaTheme="minorEastAsia" w:cstheme="minorEastAsia"/>
                <w:spacing w:val="14"/>
                <w:sz w:val="24"/>
                <w:szCs w:val="24"/>
                <w:lang w:val="en-US" w:eastAsia="zh-CN"/>
              </w:rPr>
              <w:t>-</w:t>
            </w:r>
            <w:r>
              <w:rPr>
                <w:rFonts w:hint="eastAsia" w:asciiTheme="minorEastAsia" w:hAnsiTheme="minorEastAsia" w:eastAsiaTheme="minorEastAsia" w:cstheme="minorEastAsia"/>
                <w:spacing w:val="14"/>
                <w:sz w:val="24"/>
                <w:szCs w:val="24"/>
              </w:rPr>
              <w:t>1</w:t>
            </w:r>
          </w:p>
        </w:tc>
        <w:tc>
          <w:tcPr>
            <w:tcW w:w="4215" w:type="dxa"/>
            <w:vAlign w:val="top"/>
          </w:tcPr>
          <w:p w14:paraId="2CC99FB1">
            <w:pPr>
              <w:pStyle w:val="20"/>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3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lang w:val="en-US" w:eastAsia="zh-CN"/>
              </w:rPr>
              <w:t>河南省南阳市中级人民法院物业服务项目</w:t>
            </w:r>
          </w:p>
        </w:tc>
        <w:tc>
          <w:tcPr>
            <w:tcW w:w="2321" w:type="dxa"/>
            <w:vAlign w:val="top"/>
          </w:tcPr>
          <w:p w14:paraId="4C3204E8">
            <w:pPr>
              <w:pStyle w:val="20"/>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397.8</w:t>
            </w:r>
          </w:p>
        </w:tc>
      </w:tr>
    </w:tbl>
    <w:p w14:paraId="7B9223D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left"/>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5.服务要求</w:t>
      </w:r>
    </w:p>
    <w:p w14:paraId="0C5A0A2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left"/>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物业服务总人员不少于34人（含管理人员），负责河南省南阳市中级人民法院物业服务（包括但不限于保洁服务、会务服务、客服中心服务、绿植养护服务），具体物业服务人员以满足服务要求为准。</w:t>
      </w:r>
    </w:p>
    <w:p w14:paraId="502A2B7E">
      <w:pPr>
        <w:pStyle w:val="2"/>
        <w:spacing w:line="360" w:lineRule="auto"/>
        <w:ind w:firstLine="460" w:firstLineChars="200"/>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.合同履行期限：</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三年（</w:t>
      </w:r>
      <w:r>
        <w:rPr>
          <w:rFonts w:hint="eastAsia" w:ascii="宋体" w:hAnsi="宋体" w:eastAsia="宋体" w:cs="宋体"/>
          <w:color w:val="000000" w:themeColor="text1"/>
          <w:spacing w:val="0"/>
          <w:sz w:val="24"/>
          <w:szCs w:val="24"/>
          <w:lang w:val="en-US" w:eastAsia="zh-CN"/>
          <w14:textFill>
            <w14:solidFill>
              <w14:schemeClr w14:val="tx1"/>
            </w14:solidFill>
          </w14:textFill>
        </w:rPr>
        <w:t>合同每年一签</w:t>
      </w:r>
      <w:r>
        <w:rPr>
          <w:rFonts w:hint="eastAsia" w:cs="宋体"/>
          <w:color w:val="000000" w:themeColor="text1"/>
          <w:spacing w:val="0"/>
          <w:sz w:val="24"/>
          <w:szCs w:val="24"/>
          <w:lang w:val="en-US" w:eastAsia="zh-CN"/>
          <w14:textFill>
            <w14:solidFill>
              <w14:schemeClr w14:val="tx1"/>
            </w14:solidFill>
          </w14:textFill>
        </w:rPr>
        <w:t>，</w:t>
      </w:r>
      <w:r>
        <w:rPr>
          <w:rFonts w:hint="eastAsia" w:ascii="宋体" w:hAnsi="宋体" w:eastAsia="宋体" w:cs="宋体"/>
          <w:color w:val="000000" w:themeColor="text1"/>
          <w:spacing w:val="0"/>
          <w:sz w:val="24"/>
          <w:szCs w:val="24"/>
          <w:lang w:val="en-US" w:eastAsia="zh-CN"/>
          <w14:textFill>
            <w14:solidFill>
              <w14:schemeClr w14:val="tx1"/>
            </w14:solidFill>
          </w14:textFill>
        </w:rPr>
        <w:t>经采购人年度考核合格可续签下一年度合同，最多续签两次）</w:t>
      </w:r>
    </w:p>
    <w:p w14:paraId="2AE4D43B">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21B426E4">
      <w:pPr>
        <w:pStyle w:val="2"/>
        <w:keepNext w:val="0"/>
        <w:keepLines w:val="0"/>
        <w:pageBreakBefore w:val="0"/>
        <w:widowControl/>
        <w:kinsoku/>
        <w:wordWrap w:val="0"/>
        <w:overflowPunct/>
        <w:topLinePunct w:val="0"/>
        <w:bidi w:val="0"/>
        <w:spacing w:line="360" w:lineRule="auto"/>
        <w:jc w:val="both"/>
        <w:outlineLvl w:val="1"/>
        <w:rPr>
          <w:spacing w:val="-1"/>
          <w:sz w:val="24"/>
          <w:szCs w:val="24"/>
          <w14:textOutline w14:w="1537" w14:cap="flat" w14:cmpd="sng">
            <w14:solidFill>
              <w14:srgbClr w14:val="000000"/>
            </w14:solidFill>
            <w14:prstDash w14:val="solid"/>
            <w14:miter w14:val="0"/>
          </w14:textOutline>
        </w:rPr>
      </w:pPr>
    </w:p>
    <w:p w14:paraId="7AF32EEC">
      <w:pPr>
        <w:pStyle w:val="2"/>
        <w:keepNext w:val="0"/>
        <w:keepLines w:val="0"/>
        <w:pageBreakBefore w:val="0"/>
        <w:widowControl/>
        <w:kinsoku/>
        <w:wordWrap w:val="0"/>
        <w:overflowPunct/>
        <w:topLinePunct w:val="0"/>
        <w:bidi w:val="0"/>
        <w:spacing w:line="360" w:lineRule="auto"/>
        <w:jc w:val="both"/>
        <w:outlineLvl w:val="1"/>
        <w:rPr>
          <w:sz w:val="24"/>
          <w:szCs w:val="24"/>
        </w:rPr>
      </w:pPr>
      <w:r>
        <w:rPr>
          <w:spacing w:val="-1"/>
          <w:sz w:val="24"/>
          <w:szCs w:val="24"/>
          <w14:textOutline w14:w="1537" w14:cap="flat" w14:cmpd="sng">
            <w14:solidFill>
              <w14:srgbClr w14:val="000000"/>
            </w14:solidFill>
            <w14:prstDash w14:val="solid"/>
            <w14:miter w14:val="0"/>
          </w14:textOutline>
        </w:rPr>
        <w:t>二、申请人的资格要求（须同时满足）</w:t>
      </w:r>
    </w:p>
    <w:p w14:paraId="03322E8F">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173A5FF0">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43BEC7CA">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6591DACF">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02EA3434">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7A122212">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31E46D65">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20262BC1">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8.本项目专门面向中小企业采购，投标人须提交服务机构出具的中小企业声明函；</w:t>
      </w:r>
    </w:p>
    <w:p w14:paraId="09718FE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71FE2B2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0C07E20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14:paraId="4F4AC14B">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14:paraId="02EB330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w:t>
      </w:r>
    </w:p>
    <w:p w14:paraId="768C3D6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lang w:val="en-US" w:eastAsia="zh-CN"/>
        </w:rPr>
        <w:t>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万元或预留</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%份额</w:t>
      </w:r>
      <w:r>
        <w:rPr>
          <w:rFonts w:hint="eastAsia" w:asciiTheme="minorEastAsia" w:hAnsiTheme="minorEastAsia" w:eastAsiaTheme="minorEastAsia" w:cstheme="minorEastAsia"/>
          <w:spacing w:val="-2"/>
          <w:position w:val="17"/>
          <w:sz w:val="24"/>
          <w:szCs w:val="24"/>
        </w:rPr>
        <w:t>。</w:t>
      </w:r>
    </w:p>
    <w:p w14:paraId="72382F1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21279E8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p>
    <w:p w14:paraId="20CBB9D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197CB82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14:paraId="289D94BA">
      <w:pPr>
        <w:keepNext w:val="0"/>
        <w:keepLines w:val="0"/>
        <w:pageBreakBefore w:val="0"/>
        <w:kinsoku/>
        <w:wordWrap w:val="0"/>
        <w:overflowPunct/>
        <w:topLinePunct w:val="0"/>
        <w:bidi w:val="0"/>
        <w:spacing w:line="259" w:lineRule="auto"/>
        <w:ind w:firstLine="472" w:firstLineChars="200"/>
        <w:jc w:val="both"/>
        <w:rPr>
          <w:rFonts w:ascii="Arial"/>
          <w:sz w:val="21"/>
        </w:rPr>
      </w:pP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341A703F">
      <w:pPr>
        <w:keepNext w:val="0"/>
        <w:keepLines w:val="0"/>
        <w:pageBreakBefore w:val="0"/>
        <w:kinsoku/>
        <w:wordWrap w:val="0"/>
        <w:overflowPunct/>
        <w:topLinePunct w:val="0"/>
        <w:bidi w:val="0"/>
        <w:spacing w:line="259" w:lineRule="auto"/>
        <w:jc w:val="both"/>
        <w:rPr>
          <w:rFonts w:ascii="Arial"/>
          <w:sz w:val="21"/>
        </w:rPr>
      </w:pPr>
    </w:p>
    <w:p w14:paraId="60A1200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spacing w:val="-1"/>
          <w:sz w:val="24"/>
          <w:szCs w:val="24"/>
          <w:lang w:val="en-US" w:eastAsia="zh-CN"/>
          <w14:textOutline w14:w="1537" w14:cap="flat" w14:cmpd="sng">
            <w14:solidFill>
              <w14:srgbClr w14:val="000000"/>
            </w14:solidFill>
            <w14:prstDash w14:val="solid"/>
            <w14:miter w14:val="0"/>
          </w14:textOutline>
        </w:rPr>
      </w:pPr>
    </w:p>
    <w:p w14:paraId="51BA6EE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1"/>
          <w:sz w:val="24"/>
          <w:szCs w:val="24"/>
          <w:lang w:val="en-US" w:eastAsia="zh-CN"/>
          <w14:textOutline w14:w="1537" w14:cap="flat" w14:cmpd="sng">
            <w14:solidFill>
              <w14:srgbClr w14:val="000000"/>
            </w14:solidFill>
            <w14:prstDash w14:val="solid"/>
            <w14:miter w14:val="0"/>
          </w14:textOutline>
        </w:rPr>
        <w:t>四</w:t>
      </w:r>
      <w:r>
        <w:rPr>
          <w:spacing w:val="-1"/>
          <w:sz w:val="24"/>
          <w:szCs w:val="24"/>
          <w14:textOutline w14:w="1537" w14:cap="flat" w14:cmpd="sng">
            <w14:solidFill>
              <w14:srgbClr w14:val="000000"/>
            </w14:solidFill>
            <w14:prstDash w14:val="solid"/>
            <w14:miter w14:val="0"/>
          </w14:textOutline>
        </w:rPr>
        <w:t>、获取采购文件</w:t>
      </w:r>
    </w:p>
    <w:p w14:paraId="42B474C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5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14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5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20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4"/>
          <w:sz w:val="24"/>
          <w:szCs w:val="24"/>
        </w:rPr>
        <w:t>每天上午</w:t>
      </w:r>
      <w:r>
        <w:rPr>
          <w:rFonts w:hint="eastAsia" w:asciiTheme="minorEastAsia" w:hAnsiTheme="minorEastAsia" w:eastAsiaTheme="minorEastAsia" w:cstheme="minorEastAsia"/>
          <w:spacing w:val="-13"/>
          <w:sz w:val="24"/>
          <w:szCs w:val="24"/>
          <w:u w:val="single"/>
          <w:lang w:val="en-US" w:eastAsia="zh-CN"/>
        </w:rPr>
        <w:t xml:space="preserve">   0：00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，下午</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23：59  </w:t>
      </w:r>
      <w:r>
        <w:rPr>
          <w:rFonts w:hint="eastAsia" w:asciiTheme="minorEastAsia" w:hAnsiTheme="minorEastAsia" w:eastAsiaTheme="minorEastAsia" w:cstheme="minorEastAsia"/>
          <w:spacing w:val="-14"/>
          <w:sz w:val="24"/>
          <w:szCs w:val="24"/>
        </w:rPr>
        <w:t>（北京时</w:t>
      </w:r>
      <w:r>
        <w:rPr>
          <w:rFonts w:hint="eastAsia" w:asciiTheme="minorEastAsia" w:hAnsiTheme="minorEastAsia" w:eastAsiaTheme="minorEastAsia" w:cstheme="minorEastAsia"/>
          <w:spacing w:val="-15"/>
          <w:sz w:val="24"/>
          <w:szCs w:val="24"/>
        </w:rPr>
        <w:t>间，法定节假日除外）。</w:t>
      </w:r>
    </w:p>
    <w:p w14:paraId="7AF6218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w:t>
      </w:r>
      <w:r>
        <w:rPr>
          <w:rFonts w:hint="eastAsia" w:asciiTheme="minorEastAsia" w:hAnsiTheme="minorEastAsia" w:eastAsiaTheme="minorEastAsia" w:cstheme="minorEastAsia"/>
          <w:sz w:val="24"/>
          <w:szCs w:val="24"/>
          <w:lang w:eastAsia="zh-CN"/>
        </w:rPr>
        <w:t>全国公共资源交易平台（河南省·南阳市）</w:t>
      </w:r>
      <w:r>
        <w:rPr>
          <w:rFonts w:hint="eastAsia" w:asciiTheme="minorEastAsia" w:hAnsiTheme="minorEastAsia" w:eastAsiaTheme="minorEastAsia" w:cstheme="minorEastAsia"/>
          <w:sz w:val="24"/>
          <w:szCs w:val="24"/>
        </w:rPr>
        <w:t>https://ggzyjy.nanyang.gov.cn</w:t>
      </w:r>
    </w:p>
    <w:p w14:paraId="1CCAA8D9">
      <w:pPr>
        <w:keepNext w:val="0"/>
        <w:keepLines w:val="0"/>
        <w:pageBreakBefore w:val="0"/>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登录全国公共资源交易平台（河南省·南阳市）（https://ggzyjy.nanyang.gov.cn），注册后凭办理的企业身份认证锁（CA数字证书）登录会员系统按网上提示下载招标文件(*.nyzf格式)及资料（操作程序详见全国公共资源交易平台（河南省·南阳市）下载专区）</w:t>
      </w:r>
      <w:r>
        <w:rPr>
          <w:rFonts w:hint="eastAsia" w:asciiTheme="minorEastAsia" w:hAnsiTheme="minorEastAsia" w:eastAsiaTheme="minorEastAsia" w:cstheme="minorEastAsia"/>
          <w:snapToGrid w:val="0"/>
          <w:color w:val="000000"/>
          <w:kern w:val="0"/>
          <w:sz w:val="24"/>
          <w:szCs w:val="24"/>
          <w:lang w:val="en-US" w:eastAsia="zh-CN" w:bidi="ar-SA"/>
        </w:rPr>
        <w:t>，电子交易系统技术支持电话：400-998-0000，</w:t>
      </w:r>
      <w:r>
        <w:rPr>
          <w:rFonts w:hint="eastAsia" w:asciiTheme="minorEastAsia" w:hAnsiTheme="minorEastAsia" w:eastAsiaTheme="minorEastAsia" w:cstheme="minorEastAsia"/>
          <w:spacing w:val="-4"/>
          <w:sz w:val="24"/>
          <w:szCs w:val="24"/>
          <w:lang w:eastAsia="zh-CN"/>
        </w:rPr>
        <w:t>CA数字证书技术支持电话：15672779650。</w:t>
      </w:r>
    </w:p>
    <w:p w14:paraId="3406530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14:paraId="31A5AF8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7B544C78">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五、响应文件的制作及上传</w:t>
      </w:r>
    </w:p>
    <w:p w14:paraId="3F8E42F4">
      <w:pPr>
        <w:keepNext w:val="0"/>
        <w:keepLines w:val="0"/>
        <w:pageBreakBefore w:val="0"/>
        <w:shd w:val="clear" w:color="auto" w:fill="FFFFFF"/>
        <w:kinsoku/>
        <w:wordWrap w:val="0"/>
        <w:overflowPunct/>
        <w:topLinePunct w:val="0"/>
        <w:bidi w:val="0"/>
        <w:spacing w:line="360" w:lineRule="auto"/>
        <w:ind w:firstLine="600"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lang w:eastAsia="zh-CN"/>
        </w:rPr>
        <w:t>须</w:t>
      </w:r>
      <w:r>
        <w:rPr>
          <w:rFonts w:hint="eastAsia" w:asciiTheme="minorEastAsia" w:hAnsiTheme="minorEastAsia" w:eastAsiaTheme="minorEastAsia" w:cstheme="minorEastAsia"/>
          <w:spacing w:val="-4"/>
          <w:sz w:val="24"/>
          <w:szCs w:val="24"/>
          <w:lang w:val="en-US" w:eastAsia="zh-CN"/>
        </w:rPr>
        <w:t>上传加密</w:t>
      </w:r>
      <w:r>
        <w:rPr>
          <w:rFonts w:hint="eastAsia" w:asciiTheme="minorEastAsia" w:hAnsiTheme="minorEastAsia" w:eastAsiaTheme="minorEastAsia" w:cstheme="minorEastAsia"/>
          <w:spacing w:val="-4"/>
          <w:sz w:val="24"/>
          <w:szCs w:val="24"/>
          <w:lang w:eastAsia="zh-CN"/>
        </w:rPr>
        <w:t>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文件需要使用投标文件制作工具制作，制作工具及操作手册可在全国公共资源交易平台（河南省·南阳市）“下载专区”中下载。</w:t>
      </w:r>
      <w:r>
        <w:rPr>
          <w:rFonts w:hint="eastAsia" w:asciiTheme="minorEastAsia" w:hAnsiTheme="minorEastAsia" w:eastAsiaTheme="minorEastAsia" w:cstheme="minorEastAsia"/>
          <w:spacing w:val="-4"/>
          <w:sz w:val="24"/>
          <w:szCs w:val="24"/>
          <w:lang w:val="en-US" w:eastAsia="zh-CN"/>
        </w:rPr>
        <w:t>加密</w:t>
      </w:r>
      <w:r>
        <w:rPr>
          <w:rFonts w:hint="eastAsia" w:asciiTheme="minorEastAsia" w:hAnsiTheme="minorEastAsia" w:eastAsiaTheme="minorEastAsia" w:cstheme="minorEastAsia"/>
          <w:spacing w:val="-4"/>
          <w:sz w:val="24"/>
          <w:szCs w:val="24"/>
          <w:lang w:eastAsia="zh-CN"/>
        </w:rPr>
        <w:t>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文件应在</w:t>
      </w:r>
      <w:r>
        <w:rPr>
          <w:rFonts w:hint="eastAsia" w:asciiTheme="minorEastAsia" w:hAnsiTheme="minorEastAsia" w:eastAsiaTheme="minorEastAsia" w:cstheme="minorEastAsia"/>
          <w:spacing w:val="-4"/>
          <w:sz w:val="24"/>
          <w:szCs w:val="24"/>
          <w:lang w:val="en-US" w:eastAsia="zh-CN"/>
        </w:rPr>
        <w:t>竞争性磋商</w:t>
      </w:r>
      <w:r>
        <w:rPr>
          <w:rFonts w:hint="eastAsia" w:asciiTheme="minorEastAsia" w:hAnsiTheme="minorEastAsia" w:eastAsiaTheme="minorEastAsia" w:cstheme="minorEastAsia"/>
          <w:spacing w:val="-4"/>
          <w:sz w:val="24"/>
          <w:szCs w:val="24"/>
          <w:lang w:eastAsia="zh-CN"/>
        </w:rPr>
        <w:t>文件规定的</w:t>
      </w:r>
      <w:r>
        <w:rPr>
          <w:rFonts w:hint="eastAsia" w:asciiTheme="minorEastAsia" w:hAnsiTheme="minorEastAsia" w:eastAsiaTheme="minorEastAsia" w:cstheme="minorEastAsia"/>
          <w:spacing w:val="-4"/>
          <w:sz w:val="24"/>
          <w:szCs w:val="24"/>
          <w:lang w:val="en-US" w:eastAsia="zh-CN"/>
        </w:rPr>
        <w:t>上传</w:t>
      </w:r>
      <w:r>
        <w:rPr>
          <w:rFonts w:hint="eastAsia" w:asciiTheme="minorEastAsia" w:hAnsiTheme="minorEastAsia" w:eastAsiaTheme="minorEastAsia" w:cstheme="minorEastAsia"/>
          <w:spacing w:val="-4"/>
          <w:sz w:val="24"/>
          <w:szCs w:val="24"/>
          <w:lang w:eastAsia="zh-CN"/>
        </w:rPr>
        <w:t>截止时间前到达交易系统。逾期到达交易系统的电子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文件视为放弃本次</w:t>
      </w:r>
      <w:r>
        <w:rPr>
          <w:rFonts w:hint="eastAsia" w:asciiTheme="minorEastAsia" w:hAnsiTheme="minorEastAsia" w:eastAsiaTheme="minorEastAsia" w:cstheme="minorEastAsia"/>
          <w:spacing w:val="-4"/>
          <w:sz w:val="24"/>
          <w:szCs w:val="24"/>
          <w:lang w:val="en-US" w:eastAsia="zh-CN"/>
        </w:rPr>
        <w:t>磋商</w:t>
      </w:r>
      <w:r>
        <w:rPr>
          <w:rFonts w:hint="eastAsia" w:asciiTheme="minorEastAsia" w:hAnsiTheme="minorEastAsia" w:eastAsiaTheme="minorEastAsia" w:cstheme="minorEastAsia"/>
          <w:spacing w:val="-4"/>
          <w:sz w:val="24"/>
          <w:szCs w:val="24"/>
          <w:lang w:eastAsia="zh-CN"/>
        </w:rPr>
        <w:t>。</w:t>
      </w:r>
    </w:p>
    <w:p w14:paraId="4D47C9D4">
      <w:pPr>
        <w:keepNext w:val="0"/>
        <w:keepLines w:val="0"/>
        <w:pageBreakBefore w:val="0"/>
        <w:shd w:val="clear" w:color="auto" w:fill="FFFFFF"/>
        <w:kinsoku/>
        <w:wordWrap w:val="0"/>
        <w:overflowPunct/>
        <w:topLinePunct w:val="0"/>
        <w:bidi w:val="0"/>
        <w:spacing w:line="360" w:lineRule="auto"/>
        <w:ind w:firstLine="464" w:firstLineChars="200"/>
        <w:jc w:val="both"/>
        <w:rPr>
          <w:rFonts w:hint="default"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eastAsia="zh-CN"/>
        </w:rPr>
        <w:t>本项目采用全流程电子化，供应商应在电子响应文件上传截止时间前登录不见面开标大厅，所有准备工作需要自行到位。</w:t>
      </w:r>
      <w:r>
        <w:rPr>
          <w:rFonts w:hint="eastAsia" w:asciiTheme="minorEastAsia" w:hAnsiTheme="minorEastAsia" w:eastAsiaTheme="minorEastAsia" w:cstheme="minorEastAsia"/>
          <w:spacing w:val="-4"/>
          <w:sz w:val="24"/>
          <w:szCs w:val="24"/>
          <w:lang w:val="en-US" w:eastAsia="zh-CN"/>
        </w:rPr>
        <w:t>开启</w:t>
      </w:r>
      <w:r>
        <w:rPr>
          <w:rFonts w:hint="eastAsia" w:asciiTheme="minorEastAsia" w:hAnsiTheme="minorEastAsia" w:eastAsiaTheme="minorEastAsia" w:cstheme="minorEastAsia"/>
          <w:spacing w:val="-4"/>
          <w:sz w:val="24"/>
          <w:szCs w:val="24"/>
          <w:lang w:eastAsia="zh-CN"/>
        </w:rPr>
        <w:t>过程中如遇到紧急事项，可在不见面开标大厅中进行提出异议或文字交流，严重问题可拨打技术支持电话0377-61176137。</w:t>
      </w:r>
      <w:r>
        <w:rPr>
          <w:rFonts w:hint="eastAsia" w:asciiTheme="minorEastAsia" w:hAnsiTheme="minorEastAsia" w:eastAsiaTheme="minorEastAsia" w:cstheme="minorEastAsia"/>
          <w:spacing w:val="-4"/>
          <w:sz w:val="24"/>
          <w:szCs w:val="24"/>
          <w:lang w:val="en-US" w:eastAsia="zh-CN"/>
        </w:rPr>
        <w:t>开启</w:t>
      </w:r>
      <w:r>
        <w:rPr>
          <w:rFonts w:hint="eastAsia" w:asciiTheme="minorEastAsia" w:hAnsiTheme="minorEastAsia" w:eastAsiaTheme="minorEastAsia" w:cstheme="minorEastAsia"/>
          <w:spacing w:val="-4"/>
          <w:sz w:val="24"/>
          <w:szCs w:val="24"/>
          <w:lang w:eastAsia="zh-CN"/>
        </w:rPr>
        <w:t>过程中，如</w:t>
      </w:r>
      <w:r>
        <w:rPr>
          <w:rFonts w:hint="eastAsia" w:asciiTheme="minorEastAsia" w:hAnsiTheme="minorEastAsia" w:eastAsiaTheme="minorEastAsia" w:cstheme="minorEastAsia"/>
          <w:spacing w:val="-4"/>
          <w:sz w:val="24"/>
          <w:szCs w:val="24"/>
          <w:lang w:val="en-US" w:eastAsia="zh-CN"/>
        </w:rPr>
        <w:t>因供应商</w:t>
      </w:r>
      <w:r>
        <w:rPr>
          <w:rFonts w:hint="eastAsia" w:asciiTheme="minorEastAsia" w:hAnsiTheme="minorEastAsia" w:eastAsiaTheme="minorEastAsia" w:cstheme="minorEastAsia"/>
          <w:spacing w:val="-4"/>
          <w:sz w:val="24"/>
          <w:szCs w:val="24"/>
          <w:lang w:eastAsia="zh-CN"/>
        </w:rPr>
        <w:t>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w:t>
      </w:r>
      <w:r>
        <w:rPr>
          <w:rFonts w:hint="eastAsia" w:asciiTheme="minorEastAsia" w:hAnsiTheme="minorEastAsia" w:eastAsiaTheme="minorEastAsia" w:cstheme="minorEastAsia"/>
          <w:spacing w:val="-4"/>
          <w:sz w:val="24"/>
          <w:szCs w:val="24"/>
          <w:lang w:eastAsia="zh-CN"/>
        </w:rPr>
        <w:t>造成无法及时解密的，视为该</w:t>
      </w: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lang w:eastAsia="zh-CN"/>
        </w:rPr>
        <w:t>自动放弃，将被退回</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文件”。电子交易系统技术支持电话：400-998-0000</w:t>
      </w:r>
      <w:r>
        <w:rPr>
          <w:rFonts w:hint="eastAsia" w:asciiTheme="minorEastAsia" w:hAnsiTheme="minorEastAsia" w:eastAsiaTheme="minorEastAsia" w:cstheme="minorEastAsia"/>
          <w:spacing w:val="-4"/>
          <w:sz w:val="24"/>
          <w:szCs w:val="24"/>
          <w:lang w:val="en-US" w:eastAsia="zh-CN"/>
        </w:rPr>
        <w:t>。</w:t>
      </w:r>
    </w:p>
    <w:p w14:paraId="02E08383">
      <w:pPr>
        <w:pStyle w:val="2"/>
        <w:keepNext w:val="0"/>
        <w:keepLines w:val="0"/>
        <w:pageBreakBefore w:val="0"/>
        <w:kinsoku/>
        <w:wordWrap w:val="0"/>
        <w:overflowPunct/>
        <w:topLinePunct w:val="0"/>
        <w:bidi w:val="0"/>
        <w:spacing w:before="79" w:line="222" w:lineRule="auto"/>
        <w:ind w:left="15"/>
        <w:jc w:val="both"/>
        <w:outlineLvl w:val="1"/>
        <w:rPr>
          <w:rFonts w:hint="eastAsia"/>
          <w:spacing w:val="-3"/>
          <w:sz w:val="24"/>
          <w:szCs w:val="24"/>
          <w:lang w:val="en-US" w:eastAsia="zh-CN"/>
          <w14:textOutline w14:w="1537" w14:cap="flat" w14:cmpd="sng">
            <w14:solidFill>
              <w14:srgbClr w14:val="000000"/>
            </w14:solidFill>
            <w14:prstDash w14:val="solid"/>
            <w14:miter w14:val="0"/>
          </w14:textOutline>
        </w:rPr>
      </w:pPr>
    </w:p>
    <w:p w14:paraId="3ACEACEA">
      <w:pPr>
        <w:pStyle w:val="2"/>
        <w:keepNext w:val="0"/>
        <w:keepLines w:val="0"/>
        <w:pageBreakBefore w:val="0"/>
        <w:kinsoku/>
        <w:wordWrap w:val="0"/>
        <w:overflowPunct/>
        <w:topLinePunct w:val="0"/>
        <w:bidi w:val="0"/>
        <w:spacing w:before="79" w:line="222" w:lineRule="auto"/>
        <w:ind w:left="15"/>
        <w:jc w:val="both"/>
        <w:outlineLvl w:val="1"/>
        <w:rPr>
          <w:rFonts w:hint="default" w:eastAsia="宋体"/>
          <w:sz w:val="24"/>
          <w:szCs w:val="24"/>
          <w:lang w:val="en-US" w:eastAsia="zh-CN"/>
        </w:rPr>
      </w:pPr>
      <w:r>
        <w:rPr>
          <w:rFonts w:hint="eastAsia"/>
          <w:spacing w:val="-3"/>
          <w:sz w:val="24"/>
          <w:szCs w:val="24"/>
          <w:lang w:val="en-US" w:eastAsia="zh-CN"/>
          <w14:textOutline w14:w="1537" w14:cap="flat" w14:cmpd="sng">
            <w14:solidFill>
              <w14:srgbClr w14:val="000000"/>
            </w14:solidFill>
            <w14:prstDash w14:val="solid"/>
            <w14:miter w14:val="0"/>
          </w14:textOutline>
        </w:rPr>
        <w:t>六</w:t>
      </w:r>
      <w:r>
        <w:rPr>
          <w:spacing w:val="-3"/>
          <w:sz w:val="24"/>
          <w:szCs w:val="24"/>
          <w14:textOutline w14:w="1537" w14:cap="flat" w14:cmpd="sng">
            <w14:solidFill>
              <w14:srgbClr w14:val="000000"/>
            </w14:solidFill>
            <w14:prstDash w14:val="solid"/>
            <w14:miter w14:val="0"/>
          </w14:textOutline>
        </w:rPr>
        <w:t>、</w:t>
      </w:r>
      <w:r>
        <w:rPr>
          <w:rFonts w:hint="eastAsia"/>
          <w:spacing w:val="-3"/>
          <w:sz w:val="24"/>
          <w:szCs w:val="24"/>
          <w:lang w:val="en-US" w:eastAsia="zh-CN"/>
          <w14:textOutline w14:w="1537" w14:cap="flat" w14:cmpd="sng">
            <w14:solidFill>
              <w14:srgbClr w14:val="000000"/>
            </w14:solidFill>
            <w14:prstDash w14:val="solid"/>
            <w14:miter w14:val="0"/>
          </w14:textOutline>
        </w:rPr>
        <w:t>上传截止时间、</w:t>
      </w:r>
      <w:r>
        <w:rPr>
          <w:spacing w:val="-3"/>
          <w:sz w:val="24"/>
          <w:szCs w:val="24"/>
          <w14:textOutline w14:w="1537" w14:cap="flat" w14:cmpd="sng">
            <w14:solidFill>
              <w14:srgbClr w14:val="000000"/>
            </w14:solidFill>
            <w14:prstDash w14:val="solid"/>
            <w14:miter w14:val="0"/>
          </w14:textOutline>
        </w:rPr>
        <w:t>开启</w:t>
      </w:r>
      <w:r>
        <w:rPr>
          <w:rFonts w:hint="eastAsia"/>
          <w:spacing w:val="-3"/>
          <w:sz w:val="24"/>
          <w:szCs w:val="24"/>
          <w:lang w:val="en-US" w:eastAsia="zh-CN"/>
          <w14:textOutline w14:w="1537" w14:cap="flat" w14:cmpd="sng">
            <w14:solidFill>
              <w14:srgbClr w14:val="000000"/>
            </w14:solidFill>
            <w14:prstDash w14:val="solid"/>
            <w14:miter w14:val="0"/>
          </w14:textOutline>
        </w:rPr>
        <w:t>响应文件时间和地点</w:t>
      </w:r>
    </w:p>
    <w:p w14:paraId="726404A7">
      <w:pPr>
        <w:pStyle w:val="2"/>
        <w:keepNext w:val="0"/>
        <w:keepLines w:val="0"/>
        <w:pageBreakBefore w:val="0"/>
        <w:kinsoku/>
        <w:wordWrap w:val="0"/>
        <w:overflowPunct/>
        <w:topLinePunct w:val="0"/>
        <w:bidi w:val="0"/>
        <w:spacing w:before="181" w:line="220" w:lineRule="auto"/>
        <w:jc w:val="both"/>
        <w:rPr>
          <w:sz w:val="24"/>
          <w:szCs w:val="24"/>
        </w:rPr>
      </w:pPr>
      <w:r>
        <w:rPr>
          <w:spacing w:val="-25"/>
          <w:sz w:val="24"/>
          <w:szCs w:val="24"/>
        </w:rPr>
        <w:t>时间：</w:t>
      </w:r>
      <w:r>
        <w:rPr>
          <w:rFonts w:hint="eastAsia" w:asciiTheme="minorEastAsia" w:hAnsiTheme="minorEastAsia" w:eastAsiaTheme="minorEastAsia" w:cstheme="minorEastAsia"/>
          <w:spacing w:val="-14"/>
          <w:sz w:val="24"/>
          <w:szCs w:val="24"/>
          <w:u w:val="single"/>
          <w:lang w:val="en-US" w:eastAsia="zh-CN"/>
        </w:rPr>
        <w:t xml:space="preserve">  2025  </w:t>
      </w:r>
      <w:r>
        <w:rPr>
          <w:rFonts w:hint="eastAsia" w:asciiTheme="minorEastAsia" w:hAnsiTheme="minorEastAsia" w:eastAsiaTheme="minorEastAsia" w:cstheme="minorEastAsia"/>
          <w:snapToGrid w:val="0"/>
          <w:color w:val="000000"/>
          <w:spacing w:val="-4"/>
          <w:kern w:val="0"/>
          <w:sz w:val="24"/>
          <w:szCs w:val="24"/>
          <w:lang w:val="en-US" w:eastAsia="zh-CN" w:bidi="ar-SA"/>
        </w:rPr>
        <w:t>年</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5  </w:t>
      </w:r>
      <w:r>
        <w:rPr>
          <w:rFonts w:hint="eastAsia" w:asciiTheme="minorEastAsia" w:hAnsiTheme="minorEastAsia" w:eastAsiaTheme="minorEastAsia" w:cstheme="minorEastAsia"/>
          <w:snapToGrid w:val="0"/>
          <w:color w:val="000000"/>
          <w:spacing w:val="-4"/>
          <w:kern w:val="0"/>
          <w:sz w:val="24"/>
          <w:szCs w:val="24"/>
          <w:lang w:val="en-US" w:eastAsia="zh-CN" w:bidi="ar-SA"/>
        </w:rPr>
        <w:t>月</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27   </w:t>
      </w:r>
      <w:r>
        <w:rPr>
          <w:rFonts w:hint="eastAsia" w:asciiTheme="minorEastAsia" w:hAnsiTheme="minorEastAsia" w:eastAsiaTheme="minorEastAsia" w:cstheme="minorEastAsia"/>
          <w:snapToGrid w:val="0"/>
          <w:color w:val="000000"/>
          <w:spacing w:val="-4"/>
          <w:kern w:val="0"/>
          <w:sz w:val="24"/>
          <w:szCs w:val="24"/>
          <w:lang w:val="en-US" w:eastAsia="zh-CN" w:bidi="ar-SA"/>
        </w:rPr>
        <w:t>日</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9  </w:t>
      </w:r>
      <w:r>
        <w:rPr>
          <w:rFonts w:hint="eastAsia" w:asciiTheme="minorEastAsia" w:hAnsiTheme="minorEastAsia" w:eastAsiaTheme="minorEastAsia" w:cstheme="minorEastAsia"/>
          <w:snapToGrid w:val="0"/>
          <w:color w:val="000000"/>
          <w:spacing w:val="-4"/>
          <w:kern w:val="0"/>
          <w:sz w:val="24"/>
          <w:szCs w:val="24"/>
          <w:lang w:val="en-US" w:eastAsia="zh-CN" w:bidi="ar-SA"/>
        </w:rPr>
        <w:t>点</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00   </w:t>
      </w:r>
      <w:r>
        <w:rPr>
          <w:rFonts w:hint="eastAsia" w:asciiTheme="minorEastAsia" w:hAnsiTheme="minorEastAsia" w:eastAsiaTheme="minorEastAsia" w:cstheme="minorEastAsia"/>
          <w:snapToGrid w:val="0"/>
          <w:color w:val="000000"/>
          <w:spacing w:val="-4"/>
          <w:kern w:val="0"/>
          <w:sz w:val="24"/>
          <w:szCs w:val="24"/>
          <w:lang w:val="en-US" w:eastAsia="zh-CN" w:bidi="ar-SA"/>
        </w:rPr>
        <w:t>分</w:t>
      </w:r>
      <w:r>
        <w:rPr>
          <w:spacing w:val="-25"/>
          <w:sz w:val="24"/>
          <w:szCs w:val="24"/>
        </w:rPr>
        <w:t>（北京时间）。</w:t>
      </w:r>
    </w:p>
    <w:p w14:paraId="36B9C56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7"/>
          <w:sz w:val="24"/>
          <w:szCs w:val="24"/>
          <w:lang w:val="en-US" w:eastAsia="zh-CN"/>
        </w:rPr>
      </w:pPr>
    </w:p>
    <w:p w14:paraId="55FAF89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7"/>
          <w:sz w:val="24"/>
          <w:szCs w:val="24"/>
          <w:lang w:val="en-US" w:eastAsia="zh-CN"/>
        </w:rPr>
      </w:pPr>
      <w:r>
        <w:rPr>
          <w:rFonts w:hint="eastAsia" w:asciiTheme="minorEastAsia" w:hAnsiTheme="minorEastAsia" w:eastAsiaTheme="minorEastAsia" w:cstheme="minorEastAsia"/>
          <w:spacing w:val="-17"/>
          <w:sz w:val="24"/>
          <w:szCs w:val="24"/>
          <w:lang w:val="en-US" w:eastAsia="zh-CN"/>
        </w:rPr>
        <w:t>开标方式：不见面开标</w:t>
      </w:r>
    </w:p>
    <w:p w14:paraId="5CB5471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Arial" w:hAnsi="Arial" w:eastAsia="宋体" w:cs="Arial"/>
          <w:sz w:val="24"/>
          <w:szCs w:val="24"/>
          <w:lang w:eastAsia="zh-CN"/>
        </w:rPr>
      </w:pPr>
      <w:r>
        <w:rPr>
          <w:rFonts w:hint="eastAsia" w:asciiTheme="minorEastAsia" w:hAnsiTheme="minorEastAsia" w:eastAsiaTheme="minorEastAsia" w:cstheme="minorEastAsia"/>
          <w:spacing w:val="-17"/>
          <w:sz w:val="24"/>
          <w:szCs w:val="24"/>
        </w:rPr>
        <w:t>地点：</w:t>
      </w:r>
      <w:r>
        <w:rPr>
          <w:rFonts w:hint="eastAsia" w:ascii="宋体" w:hAnsi="宋体" w:eastAsia="宋体" w:cs="宋体"/>
          <w:snapToGrid w:val="0"/>
          <w:color w:val="000000" w:themeColor="text1"/>
          <w:spacing w:val="-17"/>
          <w:kern w:val="0"/>
          <w:sz w:val="24"/>
          <w:szCs w:val="24"/>
          <w:lang w:val="en-US" w:eastAsia="zh-CN" w:bidi="ar-SA"/>
          <w14:textFill>
            <w14:solidFill>
              <w14:schemeClr w14:val="tx1"/>
            </w14:solidFill>
          </w14:textFill>
        </w:rPr>
        <w:t>不见面开标大厅（</w:t>
      </w:r>
      <w:r>
        <w:rPr>
          <w:rFonts w:hint="eastAsia" w:ascii="微软雅黑" w:hAnsi="微软雅黑" w:eastAsia="微软雅黑" w:cs="微软雅黑"/>
          <w:b w:val="0"/>
          <w:i w:val="0"/>
          <w:snapToGrid w:val="0"/>
          <w:color w:val="000000" w:themeColor="text1"/>
          <w:kern w:val="0"/>
          <w:sz w:val="21"/>
          <w:szCs w:val="21"/>
          <w:lang w:val="en-US" w:eastAsia="zh-CN" w:bidi="ar"/>
          <w14:textFill>
            <w14:solidFill>
              <w14:schemeClr w14:val="tx1"/>
            </w14:solidFill>
          </w14:textFill>
        </w:rPr>
        <w:t>https://ggzyjy.nanyang.gov.cn/BidOpening/bidopeninghallaction/hall/login</w:t>
      </w: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w:t>
      </w:r>
      <w:r>
        <w:rPr>
          <w:rFonts w:hint="eastAsia" w:ascii="Arial" w:hAnsi="Arial" w:cs="Arial"/>
          <w:position w:val="5"/>
          <w:sz w:val="24"/>
          <w:szCs w:val="24"/>
          <w:lang w:eastAsia="zh-CN"/>
        </w:rPr>
        <w:t>。</w:t>
      </w:r>
    </w:p>
    <w:p w14:paraId="14F3D842">
      <w:pPr>
        <w:keepNext w:val="0"/>
        <w:keepLines w:val="0"/>
        <w:pageBreakBefore w:val="0"/>
        <w:kinsoku/>
        <w:wordWrap w:val="0"/>
        <w:overflowPunct/>
        <w:topLinePunct w:val="0"/>
        <w:bidi w:val="0"/>
        <w:spacing w:line="269" w:lineRule="auto"/>
        <w:jc w:val="both"/>
        <w:rPr>
          <w:rFonts w:ascii="Arial"/>
          <w:sz w:val="21"/>
        </w:rPr>
      </w:pPr>
    </w:p>
    <w:p w14:paraId="3D2DB298">
      <w:pPr>
        <w:keepNext w:val="0"/>
        <w:keepLines w:val="0"/>
        <w:pageBreakBefore w:val="0"/>
        <w:kinsoku/>
        <w:wordWrap w:val="0"/>
        <w:overflowPunct/>
        <w:topLinePunct w:val="0"/>
        <w:bidi w:val="0"/>
        <w:spacing w:line="269" w:lineRule="auto"/>
        <w:jc w:val="both"/>
        <w:rPr>
          <w:rFonts w:ascii="Arial"/>
          <w:sz w:val="21"/>
        </w:rPr>
      </w:pPr>
    </w:p>
    <w:p w14:paraId="4E5E71A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2"/>
          <w:sz w:val="24"/>
          <w:szCs w:val="24"/>
          <w:lang w:val="en-US" w:eastAsia="zh-CN"/>
          <w14:textOutline w14:w="1537" w14:cap="flat" w14:cmpd="sng">
            <w14:solidFill>
              <w14:srgbClr w14:val="000000"/>
            </w14:solidFill>
            <w14:prstDash w14:val="solid"/>
            <w14:miter w14:val="0"/>
          </w14:textOutline>
        </w:rPr>
        <w:t>七</w:t>
      </w:r>
      <w:r>
        <w:rPr>
          <w:spacing w:val="-2"/>
          <w:sz w:val="24"/>
          <w:szCs w:val="24"/>
          <w14:textOutline w14:w="1537" w14:cap="flat" w14:cmpd="sng">
            <w14:solidFill>
              <w14:srgbClr w14:val="000000"/>
            </w14:solidFill>
            <w14:prstDash w14:val="solid"/>
            <w14:miter w14:val="0"/>
          </w14:textOutline>
        </w:rPr>
        <w:t>、公告期限</w:t>
      </w:r>
    </w:p>
    <w:p w14:paraId="6B51204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5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14  </w:t>
      </w:r>
      <w:r>
        <w:rPr>
          <w:rFonts w:hint="eastAsia" w:asciiTheme="minorEastAsia" w:hAnsiTheme="minorEastAsia" w:eastAsiaTheme="minorEastAsia" w:cstheme="minorEastAsia"/>
          <w:spacing w:val="-13"/>
          <w:sz w:val="24"/>
          <w:szCs w:val="24"/>
        </w:rPr>
        <w:t>日至__</w:t>
      </w:r>
      <w:r>
        <w:rPr>
          <w:rFonts w:hint="eastAsia" w:asciiTheme="minorEastAsia" w:hAnsiTheme="minorEastAsia" w:eastAsiaTheme="minorEastAsia" w:cstheme="minorEastAsia"/>
          <w:spacing w:val="-13"/>
          <w:sz w:val="24"/>
          <w:szCs w:val="24"/>
          <w:lang w:val="en-US" w:eastAsia="zh-CN"/>
        </w:rPr>
        <w:t>2025</w:t>
      </w:r>
      <w:r>
        <w:rPr>
          <w:rFonts w:hint="eastAsia" w:asciiTheme="minorEastAsia" w:hAnsiTheme="minorEastAsia" w:eastAsiaTheme="minorEastAsia" w:cstheme="minorEastAsia"/>
          <w:spacing w:val="-13"/>
          <w:sz w:val="24"/>
          <w:szCs w:val="24"/>
        </w:rPr>
        <w:t>__年</w:t>
      </w:r>
      <w:r>
        <w:rPr>
          <w:rFonts w:hint="eastAsia" w:asciiTheme="minorEastAsia" w:hAnsiTheme="minorEastAsia" w:eastAsiaTheme="minorEastAsia" w:cstheme="minorEastAsia"/>
          <w:spacing w:val="-13"/>
          <w:sz w:val="24"/>
          <w:szCs w:val="24"/>
          <w:u w:val="single"/>
          <w:lang w:val="en-US" w:eastAsia="zh-CN"/>
        </w:rPr>
        <w:t xml:space="preserve">  5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16</w:t>
      </w:r>
      <w:bookmarkStart w:id="3" w:name="_GoBack"/>
      <w:bookmarkEnd w:id="3"/>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14:paraId="7DDFB747">
      <w:pPr>
        <w:keepNext w:val="0"/>
        <w:keepLines w:val="0"/>
        <w:pageBreakBefore w:val="0"/>
        <w:kinsoku/>
        <w:wordWrap w:val="0"/>
        <w:overflowPunct/>
        <w:topLinePunct w:val="0"/>
        <w:bidi w:val="0"/>
        <w:spacing w:line="259" w:lineRule="auto"/>
        <w:jc w:val="both"/>
        <w:rPr>
          <w:rFonts w:ascii="Arial"/>
          <w:sz w:val="21"/>
        </w:rPr>
      </w:pPr>
    </w:p>
    <w:p w14:paraId="7F109EAC">
      <w:pPr>
        <w:keepNext w:val="0"/>
        <w:keepLines w:val="0"/>
        <w:pageBreakBefore w:val="0"/>
        <w:kinsoku/>
        <w:wordWrap w:val="0"/>
        <w:overflowPunct/>
        <w:topLinePunct w:val="0"/>
        <w:bidi w:val="0"/>
        <w:spacing w:line="260" w:lineRule="auto"/>
        <w:jc w:val="both"/>
        <w:rPr>
          <w:rFonts w:ascii="Arial"/>
          <w:sz w:val="21"/>
        </w:rPr>
      </w:pPr>
    </w:p>
    <w:p w14:paraId="3991422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1"/>
          <w:sz w:val="24"/>
          <w:szCs w:val="24"/>
          <w:lang w:val="en-US" w:eastAsia="zh-CN"/>
          <w14:textOutline w14:w="1537" w14:cap="flat" w14:cmpd="sng">
            <w14:solidFill>
              <w14:srgbClr w14:val="000000"/>
            </w14:solidFill>
            <w14:prstDash w14:val="solid"/>
            <w14:miter w14:val="0"/>
          </w14:textOutline>
        </w:rPr>
        <w:t>八</w:t>
      </w:r>
      <w:r>
        <w:rPr>
          <w:spacing w:val="-1"/>
          <w:sz w:val="24"/>
          <w:szCs w:val="24"/>
          <w14:textOutline w14:w="1537" w14:cap="flat" w14:cmpd="sng">
            <w14:solidFill>
              <w14:srgbClr w14:val="000000"/>
            </w14:solidFill>
            <w14:prstDash w14:val="solid"/>
            <w14:miter w14:val="0"/>
          </w14:textOutline>
        </w:rPr>
        <w:t>、其他补充事宜</w:t>
      </w:r>
    </w:p>
    <w:p w14:paraId="7095146E">
      <w:pPr>
        <w:keepNext w:val="0"/>
        <w:keepLines w:val="0"/>
        <w:widowControl/>
        <w:suppressLineNumbers w:val="0"/>
        <w:jc w:val="left"/>
        <w:rPr>
          <w:rFonts w:asciiTheme="minorEastAsia" w:hAnsiTheme="minorEastAsia" w:eastAsiaTheme="minorEastAsia" w:cstheme="minorEastAsia"/>
          <w:spacing w:val="-4"/>
          <w:position w:val="16"/>
          <w:sz w:val="24"/>
          <w:szCs w:val="24"/>
          <w:lang w:eastAsia="zh-CN"/>
        </w:rPr>
      </w:pPr>
      <w:r>
        <w:rPr>
          <w:rFonts w:hint="eastAsia" w:ascii="宋体" w:hAnsi="宋体" w:eastAsia="宋体" w:cs="宋体"/>
          <w:snapToGrid w:val="0"/>
          <w:color w:val="000000"/>
          <w:kern w:val="0"/>
          <w:sz w:val="24"/>
          <w:szCs w:val="24"/>
          <w:lang w:val="en-US" w:eastAsia="zh-CN" w:bidi="ar"/>
        </w:rPr>
        <w:t>本次招标公告在河南省政府采购网、南阳市公共资源交易中心网发布。</w:t>
      </w:r>
    </w:p>
    <w:p w14:paraId="25D8ED4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14:paraId="2218B1C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采购提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6BC8528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6B35DF8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名称：河南省南阳市中级人民法院</w:t>
      </w:r>
    </w:p>
    <w:p w14:paraId="1C3DE85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地址：南阳市城乡一体化示范区新店乡白羽西路666号</w:t>
      </w:r>
    </w:p>
    <w:p w14:paraId="620BDB9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联系人：王先生</w:t>
      </w:r>
    </w:p>
    <w:p w14:paraId="7E87BBE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spacing w:val="-15"/>
          <w:sz w:val="24"/>
          <w:szCs w:val="24"/>
        </w:rPr>
        <w:t>联系方式：0377-61661629</w:t>
      </w:r>
    </w:p>
    <w:p w14:paraId="21EAA3D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4"/>
          <w:sz w:val="24"/>
          <w:szCs w:val="24"/>
        </w:rPr>
      </w:pPr>
    </w:p>
    <w:p w14:paraId="0A643EE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28602A9D">
      <w:pPr>
        <w:pStyle w:val="2"/>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eastAsia="zh-CN"/>
        </w:rPr>
        <w:t>南阳市公共资源交易中心</w:t>
      </w:r>
    </w:p>
    <w:p w14:paraId="5679DAB9">
      <w:pPr>
        <w:pStyle w:val="2"/>
        <w:kinsoku/>
        <w:wordWrap w:val="0"/>
        <w:spacing w:line="360" w:lineRule="auto"/>
        <w:jc w:val="both"/>
        <w:rPr>
          <w:rFonts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r>
        <w:rPr>
          <w:rFonts w:hint="eastAsia" w:asciiTheme="minorEastAsia" w:hAnsiTheme="minorEastAsia" w:eastAsiaTheme="minorEastAsia" w:cstheme="minorEastAsia"/>
          <w:sz w:val="24"/>
          <w:szCs w:val="24"/>
          <w:lang w:eastAsia="zh-CN"/>
        </w:rPr>
        <w:t>南阳市范蠡东路与南都路交叉口市民服务中心中区3号楼5楼</w:t>
      </w:r>
    </w:p>
    <w:p w14:paraId="70A1C13F">
      <w:pPr>
        <w:pStyle w:val="2"/>
        <w:kinsoku/>
        <w:wordWrap w:val="0"/>
        <w:spacing w:line="360" w:lineRule="auto"/>
        <w:jc w:val="both"/>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eastAsia="zh-CN"/>
        </w:rPr>
        <w:t>联系人：</w:t>
      </w:r>
      <w:r>
        <w:rPr>
          <w:rFonts w:hint="eastAsia" w:asciiTheme="minorEastAsia" w:hAnsiTheme="minorEastAsia" w:eastAsiaTheme="minorEastAsia" w:cstheme="minorEastAsia"/>
          <w:spacing w:val="-15"/>
          <w:sz w:val="24"/>
          <w:szCs w:val="24"/>
          <w:lang w:val="en-US" w:eastAsia="zh-CN"/>
        </w:rPr>
        <w:t>潘先生</w:t>
      </w:r>
    </w:p>
    <w:p w14:paraId="5CFA6906">
      <w:pPr>
        <w:pStyle w:val="2"/>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eastAsia="zh-CN"/>
        </w:rPr>
        <w:t>0377-61176178</w:t>
      </w:r>
    </w:p>
    <w:p w14:paraId="1A9E7EF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14:paraId="24CC280C">
      <w:pPr>
        <w:pStyle w:val="2"/>
        <w:keepNext w:val="0"/>
        <w:keepLines w:val="0"/>
        <w:pageBreakBefore w:val="0"/>
        <w:widowControl/>
        <w:numPr>
          <w:ilvl w:val="0"/>
          <w:numId w:val="1"/>
        </w:numPr>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网址：</w:t>
      </w:r>
      <w:r>
        <w:rPr>
          <w:rFonts w:hint="eastAsia" w:asciiTheme="minorEastAsia" w:hAnsiTheme="minorEastAsia" w:eastAsiaTheme="minorEastAsia" w:cstheme="minorEastAsia"/>
          <w:spacing w:val="-15"/>
          <w:sz w:val="24"/>
          <w:szCs w:val="24"/>
          <w:lang w:val="en-US" w:eastAsia="zh-CN"/>
        </w:rPr>
        <w:t>https://ggzyjy.nanyang.gov.cn   E-mail:</w:t>
      </w:r>
      <w:r>
        <w:rPr>
          <w:rFonts w:hint="eastAsia" w:asciiTheme="minorEastAsia" w:hAnsiTheme="minorEastAsia" w:eastAsiaTheme="minorEastAsia" w:cstheme="minorEastAsia"/>
          <w:spacing w:val="-15"/>
          <w:sz w:val="24"/>
          <w:szCs w:val="24"/>
          <w:lang w:eastAsia="zh-CN"/>
        </w:rPr>
        <w:t xml:space="preserve">nyszfcgzx@126.com </w:t>
      </w:r>
    </w:p>
    <w:p w14:paraId="49DD7A83">
      <w:pPr>
        <w:numPr>
          <w:ilvl w:val="0"/>
          <w:numId w:val="0"/>
        </w:numPr>
        <w:kinsoku w:val="0"/>
        <w:autoSpaceDE w:val="0"/>
        <w:autoSpaceDN w:val="0"/>
        <w:adjustRightInd w:val="0"/>
        <w:snapToGrid w:val="0"/>
        <w:spacing w:line="240" w:lineRule="auto"/>
        <w:jc w:val="left"/>
        <w:textAlignment w:val="baseline"/>
        <w:rPr>
          <w:rFonts w:hint="default"/>
          <w:lang w:val="en-US" w:eastAsia="zh-CN"/>
        </w:rPr>
      </w:pPr>
    </w:p>
    <w:p w14:paraId="75C31428">
      <w:pPr>
        <w:pStyle w:val="4"/>
        <w:rPr>
          <w:rFonts w:hint="default"/>
          <w:lang w:val="en-US" w:eastAsia="zh-CN"/>
        </w:rPr>
      </w:pPr>
    </w:p>
    <w:p w14:paraId="0ED02031">
      <w:pPr>
        <w:pStyle w:val="2"/>
        <w:spacing w:line="360" w:lineRule="auto"/>
        <w:ind w:firstLine="5250" w:firstLineChars="2500"/>
        <w:outlineLvl w:val="0"/>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南阳市公共资源交易中心</w:t>
      </w:r>
    </w:p>
    <w:p w14:paraId="6A8F6D4A">
      <w:pPr>
        <w:pStyle w:val="2"/>
        <w:spacing w:line="360" w:lineRule="auto"/>
        <w:ind w:firstLine="5778" w:firstLineChars="2700"/>
        <w:outlineLvl w:val="1"/>
        <w:rPr>
          <w:rFonts w:asciiTheme="minorEastAsia" w:hAnsiTheme="minorEastAsia" w:eastAsiaTheme="minorEastAsia" w:cstheme="minorEastAsia"/>
          <w:spacing w:val="-15"/>
          <w:sz w:val="24"/>
          <w:szCs w:val="24"/>
          <w:lang w:eastAsia="zh-CN"/>
        </w:rPr>
      </w:pPr>
      <w:bookmarkStart w:id="1" w:name="_Toc3159"/>
      <w:bookmarkStart w:id="2" w:name="_Toc7916"/>
      <w:r>
        <w:rPr>
          <w:rFonts w:hint="eastAsia" w:asciiTheme="minorEastAsia" w:hAnsiTheme="minorEastAsia" w:eastAsiaTheme="minorEastAsia" w:cstheme="minorEastAsia"/>
          <w:spacing w:val="-13"/>
          <w:sz w:val="24"/>
          <w:szCs w:val="24"/>
          <w:lang w:eastAsia="zh-CN"/>
        </w:rPr>
        <w:t>202</w:t>
      </w: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lang w:eastAsia="zh-CN"/>
        </w:rPr>
        <w:t>年</w:t>
      </w:r>
      <w:r>
        <w:rPr>
          <w:rFonts w:hint="eastAsia" w:asciiTheme="minorEastAsia" w:hAnsiTheme="minorEastAsia" w:eastAsiaTheme="minorEastAsia" w:cstheme="minorEastAsia"/>
          <w:spacing w:val="-13"/>
          <w:sz w:val="24"/>
          <w:szCs w:val="24"/>
          <w:lang w:val="en-US" w:eastAsia="zh-CN"/>
        </w:rPr>
        <w:t xml:space="preserve"> 5 </w:t>
      </w:r>
      <w:r>
        <w:rPr>
          <w:rFonts w:hint="eastAsia" w:asciiTheme="minorEastAsia" w:hAnsiTheme="minorEastAsia" w:eastAsiaTheme="minorEastAsia" w:cstheme="minorEastAsia"/>
          <w:spacing w:val="-13"/>
          <w:sz w:val="24"/>
          <w:szCs w:val="24"/>
          <w:lang w:eastAsia="zh-CN"/>
        </w:rPr>
        <w:t>月</w:t>
      </w:r>
      <w:r>
        <w:rPr>
          <w:rFonts w:hint="eastAsia" w:asciiTheme="minorEastAsia" w:hAnsiTheme="minorEastAsia" w:eastAsiaTheme="minorEastAsia" w:cstheme="minorEastAsia"/>
          <w:spacing w:val="-13"/>
          <w:sz w:val="24"/>
          <w:szCs w:val="24"/>
          <w:lang w:val="en-US" w:eastAsia="zh-CN"/>
        </w:rPr>
        <w:t xml:space="preserve"> 13 </w:t>
      </w:r>
      <w:r>
        <w:rPr>
          <w:rFonts w:hint="eastAsia" w:asciiTheme="minorEastAsia" w:hAnsiTheme="minorEastAsia" w:eastAsiaTheme="minorEastAsia" w:cstheme="minorEastAsia"/>
          <w:spacing w:val="-13"/>
          <w:sz w:val="24"/>
          <w:szCs w:val="24"/>
          <w:lang w:eastAsia="zh-CN"/>
        </w:rPr>
        <w:t xml:space="preserve"> 日</w:t>
      </w:r>
      <w:bookmarkEnd w:id="1"/>
      <w:bookmarkEnd w:id="2"/>
    </w:p>
    <w:p w14:paraId="5440F70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B9E42CA">
      <w:pPr>
        <w:pStyle w:val="3"/>
        <w:rPr>
          <w:rFonts w:hint="eastAsia"/>
        </w:rPr>
      </w:pPr>
    </w:p>
    <w:p w14:paraId="3A4F889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0C89639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730039E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14:paraId="4519BF4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1.服务内容及数量</w:t>
      </w:r>
    </w:p>
    <w:p w14:paraId="4DFC3D71">
      <w:pPr>
        <w:ind w:firstLine="476" w:firstLineChars="200"/>
        <w:rPr>
          <w:rFonts w:hint="default" w:eastAsiaTheme="minorEastAsia"/>
          <w:lang w:val="en-US" w:eastAsia="zh-CN"/>
        </w:rPr>
      </w:pPr>
      <w:r>
        <w:rPr>
          <w:rFonts w:hint="eastAsia" w:asciiTheme="minorEastAsia" w:hAnsiTheme="minorEastAsia" w:eastAsiaTheme="minorEastAsia" w:cstheme="minorEastAsia"/>
          <w:spacing w:val="-1"/>
          <w:sz w:val="24"/>
          <w:szCs w:val="24"/>
          <w:lang w:val="en-US" w:eastAsia="zh-CN"/>
        </w:rPr>
        <w:t>1.1基本服务要求</w:t>
      </w:r>
    </w:p>
    <w:p w14:paraId="4BFEC699">
      <w:pPr>
        <w:rPr>
          <w:rFonts w:hint="eastAsia"/>
        </w:rPr>
      </w:pPr>
    </w:p>
    <w:tbl>
      <w:tblPr>
        <w:tblStyle w:val="15"/>
        <w:tblW w:w="4778" w:type="pct"/>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185"/>
        <w:gridCol w:w="6153"/>
      </w:tblGrid>
      <w:tr w14:paraId="7939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noWrap w:val="0"/>
            <w:vAlign w:val="center"/>
          </w:tcPr>
          <w:p w14:paraId="3113E92D">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序号</w:t>
            </w:r>
          </w:p>
        </w:tc>
        <w:tc>
          <w:tcPr>
            <w:tcW w:w="1185" w:type="dxa"/>
            <w:noWrap w:val="0"/>
            <w:vAlign w:val="center"/>
          </w:tcPr>
          <w:p w14:paraId="5EE237DE">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服务内容</w:t>
            </w:r>
          </w:p>
        </w:tc>
        <w:tc>
          <w:tcPr>
            <w:tcW w:w="6153" w:type="dxa"/>
            <w:noWrap w:val="0"/>
            <w:vAlign w:val="center"/>
          </w:tcPr>
          <w:p w14:paraId="1979BBE9">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服务标准</w:t>
            </w:r>
          </w:p>
        </w:tc>
      </w:tr>
      <w:tr w14:paraId="7306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1C5EA86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1185" w:type="dxa"/>
            <w:vMerge w:val="restart"/>
            <w:noWrap w:val="0"/>
            <w:vAlign w:val="center"/>
          </w:tcPr>
          <w:p w14:paraId="010249E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目标与责任</w:t>
            </w:r>
          </w:p>
        </w:tc>
        <w:tc>
          <w:tcPr>
            <w:tcW w:w="6153" w:type="dxa"/>
            <w:noWrap w:val="0"/>
            <w:vAlign w:val="center"/>
          </w:tcPr>
          <w:p w14:paraId="17FCD0E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（1）结合采购人要求及物业服务实际情况，制定年度管理目标，明确责任分工，并制定服务整体方案。</w:t>
            </w:r>
          </w:p>
        </w:tc>
      </w:tr>
      <w:tr w14:paraId="420C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1D64FB4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215DB75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60F4E1A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（2）制定服务措施，确保各项措施完事人、合理、具有创新性。</w:t>
            </w:r>
          </w:p>
        </w:tc>
      </w:tr>
      <w:tr w14:paraId="2392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09C8236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p>
        </w:tc>
        <w:tc>
          <w:tcPr>
            <w:tcW w:w="1185" w:type="dxa"/>
            <w:vMerge w:val="restart"/>
            <w:noWrap w:val="0"/>
            <w:vAlign w:val="center"/>
          </w:tcPr>
          <w:p w14:paraId="25FA281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服务人员要求</w:t>
            </w:r>
          </w:p>
        </w:tc>
        <w:tc>
          <w:tcPr>
            <w:tcW w:w="6153" w:type="dxa"/>
            <w:noWrap w:val="0"/>
            <w:vAlign w:val="center"/>
          </w:tcPr>
          <w:p w14:paraId="1068C96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（1）每季度至少开展1次岗位技能、职业素质、服务知识、客户文化、绿色节能环保等教育培训，并进行适当形式的考核。</w:t>
            </w:r>
          </w:p>
        </w:tc>
      </w:tr>
      <w:tr w14:paraId="6B89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5DC64A28">
            <w:pPr>
              <w:widowControl w:val="0"/>
              <w:bidi w:val="0"/>
              <w:jc w:val="center"/>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380513C6">
            <w:pPr>
              <w:widowControl w:val="0"/>
              <w:bidi w:val="0"/>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1324552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（2）根据采购人要求对服务人员进行从业资格审查，审查结果向采购人报备。</w:t>
            </w:r>
          </w:p>
        </w:tc>
      </w:tr>
      <w:tr w14:paraId="72AF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577DFEA5">
            <w:pPr>
              <w:widowControl w:val="0"/>
              <w:bidi w:val="0"/>
              <w:jc w:val="center"/>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54F9FBC1">
            <w:pPr>
              <w:widowControl w:val="0"/>
              <w:bidi w:val="0"/>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6F05D22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（3）</w:t>
            </w:r>
            <w:r>
              <w:rPr>
                <w:rFonts w:hint="eastAsia" w:ascii="仿宋_GB2312" w:hAnsi="仿宋_GB2312" w:eastAsia="仿宋_GB2312" w:cs="仿宋_GB2312"/>
                <w:bCs/>
                <w:color w:val="auto"/>
                <w:sz w:val="24"/>
                <w:szCs w:val="24"/>
                <w:highlight w:val="none"/>
                <w:lang w:val="en-US" w:eastAsia="zh-CN"/>
              </w:rPr>
              <w:t>服务人员的年龄、学历、工作经验及资格条件应当与所在岗位能力要求相匹配，到岗前应当经过必要的岗前培训以达到岗位能力要求，国家、行业规定应当取得职业资格证书或特种作业证书的，应当按规定持证上岗。</w:t>
            </w:r>
          </w:p>
        </w:tc>
      </w:tr>
      <w:tr w14:paraId="7E37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381F0688">
            <w:pPr>
              <w:widowControl w:val="0"/>
              <w:bidi w:val="0"/>
              <w:jc w:val="center"/>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307E6791">
            <w:pPr>
              <w:widowControl w:val="0"/>
              <w:bidi w:val="0"/>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7AEEDB2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（4）</w:t>
            </w:r>
            <w:r>
              <w:rPr>
                <w:rFonts w:hint="eastAsia" w:ascii="仿宋_GB2312" w:hAnsi="仿宋_GB2312" w:eastAsia="仿宋_GB2312" w:cs="仿宋_GB2312"/>
                <w:bCs/>
                <w:color w:val="auto"/>
                <w:sz w:val="24"/>
                <w:szCs w:val="24"/>
                <w:highlight w:val="none"/>
                <w:lang w:val="en-US" w:eastAsia="zh-CN"/>
              </w:rPr>
              <w:t>如采购人认为服务人员不适应岗位要求或存在其他影响工作的，可要求供应商进行调换。如因供应商原因对服务人员进行调换，应当经采购人同意。本项目服务人员不得在其他项目兼职。</w:t>
            </w:r>
          </w:p>
        </w:tc>
      </w:tr>
      <w:tr w14:paraId="6334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241512B4">
            <w:pPr>
              <w:widowControl w:val="0"/>
              <w:bidi w:val="0"/>
              <w:jc w:val="center"/>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5F28F994">
            <w:pPr>
              <w:widowControl w:val="0"/>
              <w:bidi w:val="0"/>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24B5B88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（5）着装分类统一，佩戴标识。仪容整洁、姿态端正、举止文明。用语文明礼貌，态度温和耐心。</w:t>
            </w:r>
          </w:p>
        </w:tc>
      </w:tr>
      <w:tr w14:paraId="7CA0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1BB20C8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p>
        </w:tc>
        <w:tc>
          <w:tcPr>
            <w:tcW w:w="1185" w:type="dxa"/>
            <w:vMerge w:val="restart"/>
            <w:noWrap w:val="0"/>
            <w:vAlign w:val="center"/>
          </w:tcPr>
          <w:p w14:paraId="7E7E15C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保密和思想政治教育</w:t>
            </w:r>
          </w:p>
        </w:tc>
        <w:tc>
          <w:tcPr>
            <w:tcW w:w="6153" w:type="dxa"/>
            <w:noWrap w:val="0"/>
            <w:vAlign w:val="center"/>
          </w:tcPr>
          <w:p w14:paraId="01A9F57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（1）建立保密管理制度。制度内容应当包括但不限于：①明确重点要害岗位保密职责。②对涉密工作岗位的保密要求。</w:t>
            </w:r>
          </w:p>
        </w:tc>
      </w:tr>
      <w:tr w14:paraId="0352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1E08F260">
            <w:pPr>
              <w:widowControl w:val="0"/>
              <w:bidi w:val="0"/>
              <w:jc w:val="center"/>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4E9D17D5">
            <w:pPr>
              <w:widowControl w:val="0"/>
              <w:bidi w:val="0"/>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67A7FDE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（2）根据采购人要求与涉密工作岗位的服务人员签订保密协议。保密协议应当向采购人报备。</w:t>
            </w:r>
          </w:p>
        </w:tc>
      </w:tr>
      <w:tr w14:paraId="7294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63F3FB1B">
            <w:pPr>
              <w:widowControl w:val="0"/>
              <w:bidi w:val="0"/>
              <w:jc w:val="center"/>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4A108F18">
            <w:pPr>
              <w:widowControl w:val="0"/>
              <w:bidi w:val="0"/>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508023F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 xml:space="preserve"> （3）每季度至少开展1次对服务人员进行保密、思想政治教育的培训，提高服务人员保密意识和思想政治意识。新入职员工应当接受保密、思想政治教育培训，进行必要的人员经历审查，合格后签订保密协议方可上岗。</w:t>
            </w:r>
          </w:p>
        </w:tc>
      </w:tr>
      <w:tr w14:paraId="7895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65202E87">
            <w:pPr>
              <w:widowControl w:val="0"/>
              <w:bidi w:val="0"/>
              <w:jc w:val="center"/>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6CEADA52">
            <w:pPr>
              <w:widowControl w:val="0"/>
              <w:bidi w:val="0"/>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0F198F3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（4）发现服务人员违法违规或重大过失，及时报告采购人，并采取必要补救措施。</w:t>
            </w:r>
          </w:p>
        </w:tc>
      </w:tr>
      <w:tr w14:paraId="46CB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2CA31AA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1185" w:type="dxa"/>
            <w:vMerge w:val="restart"/>
            <w:noWrap w:val="0"/>
            <w:vAlign w:val="center"/>
          </w:tcPr>
          <w:p w14:paraId="37DBAD7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档案管理</w:t>
            </w:r>
          </w:p>
        </w:tc>
        <w:tc>
          <w:tcPr>
            <w:tcW w:w="6153" w:type="dxa"/>
            <w:noWrap w:val="0"/>
            <w:vAlign w:val="center"/>
          </w:tcPr>
          <w:p w14:paraId="6598FB1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（1）建立物业信息档案，准确、及时地对文件资料和服务记录进行归档保存，并确保其物理安全。</w:t>
            </w:r>
          </w:p>
        </w:tc>
      </w:tr>
      <w:tr w14:paraId="2679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14745FC1">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310ABF16">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6C99D60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档案和记录齐全，包括但不限于：①采购人建议与投诉等。教育培训和考核记录。保密、思想政治教育培训记录。②保洁服务：工作日志、清洁检查表、用品清单、客户反馈表等。③绿化服务：绿化总平面图、清洁整改记录、消杀记录等。④客服服务：接听记录、处置记录、回访记录等。⑤其他：客户信息、财务明细、合同协议、信报信息登记等。</w:t>
            </w:r>
          </w:p>
        </w:tc>
      </w:tr>
      <w:tr w14:paraId="4A81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67A6BC7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66167FC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7D2276E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（3）遵守采购人的信息、档案资料保密要求，未经许可，不得将建筑物平面图等资料转作其他用途或向其他单位、个人提供。</w:t>
            </w:r>
          </w:p>
        </w:tc>
      </w:tr>
      <w:tr w14:paraId="0C45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668A6EA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3595360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745D54C3">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（4）履约结束后，相关资料交还采购人，采购人按政府采购相关规定存档。</w:t>
            </w:r>
          </w:p>
        </w:tc>
      </w:tr>
      <w:tr w14:paraId="6962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6A48E8E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c>
          <w:tcPr>
            <w:tcW w:w="1185" w:type="dxa"/>
            <w:vMerge w:val="restart"/>
            <w:noWrap w:val="0"/>
            <w:vAlign w:val="center"/>
          </w:tcPr>
          <w:p w14:paraId="319AA67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服务改进</w:t>
            </w:r>
          </w:p>
          <w:p w14:paraId="445D2C7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05A73827">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rPr>
              <w:t>（1）明确负责人，定期对物业服务过程进行自查，结合反馈意见与评价结果采取改进措施，持续提升管理与服务水平。</w:t>
            </w:r>
          </w:p>
        </w:tc>
      </w:tr>
      <w:tr w14:paraId="1576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0E70667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4384A13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496E96E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（2）对不合格服务进行控制，对不合格服务的原因进行识别和分析，及时采取纠正措施，消除不合格的原因，防止不合格再发生。</w:t>
            </w:r>
          </w:p>
        </w:tc>
      </w:tr>
      <w:tr w14:paraId="203FB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5633A42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40E1B14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5283825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（3）需整改问题及时整改完成。</w:t>
            </w:r>
          </w:p>
        </w:tc>
      </w:tr>
      <w:tr w14:paraId="7A84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064C38D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w:t>
            </w:r>
          </w:p>
        </w:tc>
        <w:tc>
          <w:tcPr>
            <w:tcW w:w="1185" w:type="dxa"/>
            <w:vMerge w:val="restart"/>
            <w:noWrap w:val="0"/>
            <w:vAlign w:val="center"/>
          </w:tcPr>
          <w:p w14:paraId="2342351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重大活动后勤保障</w:t>
            </w:r>
          </w:p>
        </w:tc>
        <w:tc>
          <w:tcPr>
            <w:tcW w:w="6153" w:type="dxa"/>
            <w:noWrap w:val="0"/>
            <w:vAlign w:val="center"/>
          </w:tcPr>
          <w:p w14:paraId="27336BB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（1）制订流程。配合采购人制订重大活动后勤保障工作流程，需对任务进行详细了解，并根据工作安排制定详细的后勤保障计划。</w:t>
            </w:r>
          </w:p>
        </w:tc>
      </w:tr>
      <w:tr w14:paraId="50C6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64CD7B8E">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4A98E8A0">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1924B1F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（2）实施保障。按计划在关键区域和重点部位进行部署，确保任务顺利进行，以礼貌、专业的态度对待来宾，展现良好形象。</w:t>
            </w:r>
          </w:p>
        </w:tc>
      </w:tr>
      <w:tr w14:paraId="21C9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363B964A">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49EA781D">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11410D5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（3）收尾工作。对现场进行检查，做好清理工作。</w:t>
            </w:r>
          </w:p>
        </w:tc>
      </w:tr>
      <w:tr w14:paraId="439B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64738C7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7</w:t>
            </w:r>
          </w:p>
        </w:tc>
        <w:tc>
          <w:tcPr>
            <w:tcW w:w="1185" w:type="dxa"/>
            <w:vMerge w:val="restart"/>
            <w:noWrap w:val="0"/>
            <w:vAlign w:val="center"/>
          </w:tcPr>
          <w:p w14:paraId="36A9CB3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应急保障预案</w:t>
            </w:r>
          </w:p>
        </w:tc>
        <w:tc>
          <w:tcPr>
            <w:tcW w:w="6153" w:type="dxa"/>
            <w:noWrap w:val="0"/>
            <w:vAlign w:val="center"/>
          </w:tcPr>
          <w:p w14:paraId="2F60A15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w:t>
            </w:r>
            <w:r>
              <w:rPr>
                <w:rFonts w:hint="eastAsia" w:ascii="仿宋_GB2312" w:hAnsi="仿宋_GB2312" w:eastAsia="仿宋_GB2312" w:cs="仿宋_GB2312"/>
                <w:color w:val="auto"/>
                <w:sz w:val="24"/>
                <w:szCs w:val="24"/>
                <w:highlight w:val="none"/>
                <w:u w:val="none"/>
                <w:lang w:val="en-US" w:eastAsia="zh-CN"/>
              </w:rPr>
              <w:t>重点区域及安全隐患排查。结合项目的实际情况，对重点部位及危险隐患进行排查，并建立清单/台账；应当对危险隐患进行风险分析，制定相应措施进行控制或整改并定期监控；随着设施设备、服务内容的变化，及时更新清单/台账，使风险隐患始终处于受控状态。</w:t>
            </w:r>
          </w:p>
        </w:tc>
      </w:tr>
      <w:tr w14:paraId="6B44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69AE24D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color w:val="auto"/>
                <w:kern w:val="0"/>
                <w:sz w:val="24"/>
                <w:szCs w:val="24"/>
                <w:highlight w:val="none"/>
                <w:lang w:val="en-US" w:eastAsia="zh-CN"/>
              </w:rPr>
            </w:pPr>
          </w:p>
        </w:tc>
        <w:tc>
          <w:tcPr>
            <w:tcW w:w="1185" w:type="dxa"/>
            <w:vMerge w:val="continue"/>
            <w:noWrap w:val="0"/>
            <w:vAlign w:val="center"/>
          </w:tcPr>
          <w:p w14:paraId="6CF5683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仿宋_GB2312" w:hAnsi="仿宋_GB2312" w:eastAsia="仿宋_GB2312" w:cs="仿宋_GB2312"/>
                <w:color w:val="auto"/>
                <w:kern w:val="0"/>
                <w:sz w:val="24"/>
                <w:szCs w:val="24"/>
                <w:highlight w:val="none"/>
                <w:lang w:val="en-US" w:eastAsia="zh-CN"/>
              </w:rPr>
            </w:pPr>
          </w:p>
        </w:tc>
        <w:tc>
          <w:tcPr>
            <w:tcW w:w="6153" w:type="dxa"/>
            <w:noWrap w:val="0"/>
            <w:vAlign w:val="center"/>
          </w:tcPr>
          <w:p w14:paraId="1EE5386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w:t>
            </w:r>
            <w:r>
              <w:rPr>
                <w:rFonts w:hint="eastAsia" w:ascii="仿宋_GB2312" w:hAnsi="仿宋_GB2312" w:eastAsia="仿宋_GB2312" w:cs="仿宋_GB2312"/>
                <w:color w:val="auto"/>
                <w:sz w:val="24"/>
                <w:szCs w:val="24"/>
                <w:highlight w:val="none"/>
                <w:u w:val="none"/>
                <w:lang w:val="en-US" w:eastAsia="zh-CN"/>
              </w:rPr>
              <w:t>应急预案的建立。根据办公楼隐患排查的结果和实际情况，制定专项预案，包括但不限于：停水停电应急预案、恶劣天气应对应急预案等。</w:t>
            </w:r>
          </w:p>
        </w:tc>
      </w:tr>
      <w:tr w14:paraId="7F89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693F87D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color w:val="auto"/>
                <w:kern w:val="0"/>
                <w:sz w:val="24"/>
                <w:szCs w:val="24"/>
                <w:highlight w:val="none"/>
                <w:lang w:val="en-US" w:eastAsia="zh-CN"/>
              </w:rPr>
            </w:pPr>
          </w:p>
        </w:tc>
        <w:tc>
          <w:tcPr>
            <w:tcW w:w="1185" w:type="dxa"/>
            <w:vMerge w:val="continue"/>
            <w:noWrap w:val="0"/>
            <w:vAlign w:val="center"/>
          </w:tcPr>
          <w:p w14:paraId="7A89948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仿宋_GB2312" w:hAnsi="仿宋_GB2312" w:eastAsia="仿宋_GB2312" w:cs="仿宋_GB2312"/>
                <w:color w:val="auto"/>
                <w:kern w:val="0"/>
                <w:sz w:val="24"/>
                <w:szCs w:val="24"/>
                <w:highlight w:val="none"/>
                <w:lang w:val="en-US" w:eastAsia="zh-CN"/>
              </w:rPr>
            </w:pPr>
          </w:p>
        </w:tc>
        <w:tc>
          <w:tcPr>
            <w:tcW w:w="6153" w:type="dxa"/>
            <w:noWrap w:val="0"/>
            <w:vAlign w:val="center"/>
          </w:tcPr>
          <w:p w14:paraId="57BB77A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（3）</w:t>
            </w:r>
            <w:r>
              <w:rPr>
                <w:rFonts w:hint="eastAsia" w:ascii="仿宋_GB2312" w:hAnsi="仿宋_GB2312" w:eastAsia="仿宋_GB2312" w:cs="仿宋_GB2312"/>
                <w:color w:val="auto"/>
                <w:sz w:val="24"/>
                <w:szCs w:val="24"/>
                <w:highlight w:val="none"/>
                <w:u w:val="none"/>
                <w:lang w:val="en-US" w:eastAsia="zh-CN"/>
              </w:rPr>
              <w:t>应急预案的培训和演练。应急预案定期培训和演练，组织相关岗位每半年至少开展一次专项应急预案演练；留存培训及演练记录和影像资料，并对预案进行评价，确保与实际情况相结合。</w:t>
            </w:r>
          </w:p>
        </w:tc>
      </w:tr>
      <w:tr w14:paraId="14C0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16A73A7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color w:val="auto"/>
                <w:kern w:val="0"/>
                <w:sz w:val="24"/>
                <w:szCs w:val="24"/>
                <w:highlight w:val="none"/>
                <w:lang w:val="en-US" w:eastAsia="zh-CN"/>
              </w:rPr>
            </w:pPr>
          </w:p>
        </w:tc>
        <w:tc>
          <w:tcPr>
            <w:tcW w:w="1185" w:type="dxa"/>
            <w:vMerge w:val="continue"/>
            <w:noWrap w:val="0"/>
            <w:vAlign w:val="center"/>
          </w:tcPr>
          <w:p w14:paraId="686A0FA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51AC092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（4）</w:t>
            </w:r>
            <w:r>
              <w:rPr>
                <w:rFonts w:hint="eastAsia" w:ascii="仿宋_GB2312" w:hAnsi="仿宋_GB2312" w:eastAsia="仿宋_GB2312" w:cs="仿宋_GB2312"/>
                <w:color w:val="auto"/>
                <w:sz w:val="24"/>
                <w:szCs w:val="24"/>
                <w:highlight w:val="none"/>
                <w:u w:val="none"/>
                <w:lang w:val="en-US" w:eastAsia="zh-CN"/>
              </w:rPr>
              <w:t>应急物资的管理。对应急物资采用清单和台账式管理，并由专人定期对应急物资进行盘点检查，如有应急物资不足，及时通知采购人购置齐全，确保能够随时正常使用。</w:t>
            </w:r>
          </w:p>
        </w:tc>
      </w:tr>
      <w:tr w14:paraId="16FC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4AD621F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8</w:t>
            </w:r>
          </w:p>
        </w:tc>
        <w:tc>
          <w:tcPr>
            <w:tcW w:w="1185" w:type="dxa"/>
            <w:vMerge w:val="restart"/>
            <w:noWrap w:val="0"/>
            <w:vAlign w:val="center"/>
          </w:tcPr>
          <w:p w14:paraId="521F9C1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服务方案及工作制度</w:t>
            </w:r>
          </w:p>
        </w:tc>
        <w:tc>
          <w:tcPr>
            <w:tcW w:w="6153" w:type="dxa"/>
            <w:noWrap w:val="0"/>
            <w:vAlign w:val="center"/>
          </w:tcPr>
          <w:p w14:paraId="40FC22D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 w:val="0"/>
                <w:bCs w:val="0"/>
                <w:color w:val="auto"/>
                <w:kern w:val="0"/>
                <w:sz w:val="24"/>
                <w:szCs w:val="24"/>
                <w:highlight w:val="none"/>
                <w:lang w:val="en-US" w:eastAsia="zh-CN"/>
              </w:rPr>
              <w:t>（1）制定工作制度，</w:t>
            </w:r>
            <w:r>
              <w:rPr>
                <w:rFonts w:hint="eastAsia" w:ascii="仿宋_GB2312" w:hAnsi="仿宋_GB2312" w:eastAsia="仿宋_GB2312" w:cs="仿宋_GB2312"/>
                <w:bCs/>
                <w:color w:val="auto"/>
                <w:sz w:val="24"/>
                <w:szCs w:val="24"/>
                <w:highlight w:val="none"/>
                <w:lang w:eastAsia="zh-CN"/>
              </w:rPr>
              <w:t>主要</w:t>
            </w:r>
            <w:r>
              <w:rPr>
                <w:rFonts w:hint="eastAsia" w:ascii="仿宋_GB2312" w:hAnsi="仿宋_GB2312" w:eastAsia="仿宋_GB2312" w:cs="仿宋_GB2312"/>
                <w:bCs/>
                <w:color w:val="auto"/>
                <w:sz w:val="24"/>
                <w:szCs w:val="24"/>
                <w:highlight w:val="none"/>
              </w:rPr>
              <w:t>包括：</w:t>
            </w:r>
            <w:r>
              <w:rPr>
                <w:rFonts w:hint="eastAsia" w:ascii="仿宋_GB2312" w:hAnsi="仿宋_GB2312" w:eastAsia="仿宋_GB2312" w:cs="仿宋_GB2312"/>
                <w:bCs/>
                <w:color w:val="auto"/>
                <w:sz w:val="24"/>
                <w:szCs w:val="24"/>
                <w:highlight w:val="none"/>
                <w:lang w:val="en-US" w:eastAsia="zh-CN"/>
              </w:rPr>
              <w:t>人员录用制度、</w:t>
            </w:r>
            <w:r>
              <w:rPr>
                <w:rFonts w:hint="eastAsia" w:ascii="仿宋_GB2312" w:hAnsi="仿宋_GB2312" w:eastAsia="仿宋_GB2312" w:cs="仿宋_GB2312"/>
                <w:b w:val="0"/>
                <w:bCs w:val="0"/>
                <w:color w:val="auto"/>
                <w:kern w:val="0"/>
                <w:sz w:val="24"/>
                <w:szCs w:val="24"/>
                <w:highlight w:val="none"/>
                <w:lang w:val="en-US" w:eastAsia="zh-CN"/>
              </w:rPr>
              <w:t>档案管理制度、</w:t>
            </w:r>
            <w:r>
              <w:rPr>
                <w:rFonts w:hint="eastAsia" w:ascii="仿宋_GB2312" w:hAnsi="仿宋_GB2312" w:eastAsia="仿宋_GB2312" w:cs="仿宋_GB2312"/>
                <w:bCs/>
                <w:color w:val="auto"/>
                <w:sz w:val="24"/>
                <w:szCs w:val="24"/>
                <w:highlight w:val="none"/>
              </w:rPr>
              <w:t>物业服务管理制度</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lang w:val="en-US" w:eastAsia="zh-CN"/>
              </w:rPr>
              <w:t>上下班签到（退）制度、</w:t>
            </w:r>
            <w:r>
              <w:rPr>
                <w:rFonts w:hint="eastAsia" w:ascii="仿宋_GB2312" w:hAnsi="仿宋_GB2312" w:eastAsia="仿宋_GB2312" w:cs="仿宋_GB2312"/>
                <w:b w:val="0"/>
                <w:bCs w:val="0"/>
                <w:color w:val="auto"/>
                <w:kern w:val="0"/>
                <w:sz w:val="24"/>
                <w:szCs w:val="24"/>
                <w:highlight w:val="none"/>
                <w:lang w:val="en-US" w:eastAsia="zh-CN"/>
              </w:rPr>
              <w:t>公用设施设备相关管理制度等</w:t>
            </w:r>
            <w:r>
              <w:rPr>
                <w:rFonts w:hint="eastAsia" w:ascii="仿宋_GB2312" w:hAnsi="仿宋_GB2312" w:eastAsia="仿宋_GB2312" w:cs="仿宋_GB2312"/>
                <w:bCs/>
                <w:color w:val="auto"/>
                <w:sz w:val="24"/>
                <w:szCs w:val="24"/>
                <w:highlight w:val="none"/>
                <w:lang w:eastAsia="zh-CN"/>
              </w:rPr>
              <w:t>。</w:t>
            </w:r>
          </w:p>
        </w:tc>
      </w:tr>
      <w:tr w14:paraId="693C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2A4A15D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47DAEE0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04F90278">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（2）制定</w:t>
            </w:r>
            <w:r>
              <w:rPr>
                <w:rFonts w:hint="eastAsia" w:ascii="仿宋_GB2312" w:hAnsi="仿宋_GB2312" w:eastAsia="仿宋_GB2312" w:cs="仿宋_GB2312"/>
                <w:bCs/>
                <w:color w:val="auto"/>
                <w:sz w:val="24"/>
                <w:szCs w:val="24"/>
                <w:highlight w:val="none"/>
              </w:rPr>
              <w:t>项目实施方案</w:t>
            </w:r>
            <w:r>
              <w:rPr>
                <w:rFonts w:hint="eastAsia" w:ascii="仿宋_GB2312" w:hAnsi="仿宋_GB2312" w:eastAsia="仿宋_GB2312" w:cs="仿宋_GB2312"/>
                <w:bCs/>
                <w:color w:val="auto"/>
                <w:sz w:val="24"/>
                <w:szCs w:val="24"/>
                <w:highlight w:val="none"/>
                <w:lang w:eastAsia="zh-CN"/>
              </w:rPr>
              <w:t>，主要</w:t>
            </w:r>
            <w:r>
              <w:rPr>
                <w:rFonts w:hint="eastAsia" w:ascii="仿宋_GB2312" w:hAnsi="仿宋_GB2312" w:eastAsia="仿宋_GB2312" w:cs="仿宋_GB2312"/>
                <w:bCs/>
                <w:color w:val="auto"/>
                <w:sz w:val="24"/>
                <w:szCs w:val="24"/>
                <w:highlight w:val="none"/>
              </w:rPr>
              <w:t>包括：</w:t>
            </w:r>
            <w:r>
              <w:rPr>
                <w:rFonts w:hint="eastAsia" w:ascii="仿宋_GB2312" w:hAnsi="仿宋_GB2312" w:eastAsia="仿宋_GB2312" w:cs="仿宋_GB2312"/>
                <w:bCs/>
                <w:color w:val="auto"/>
                <w:sz w:val="24"/>
                <w:szCs w:val="24"/>
                <w:highlight w:val="none"/>
                <w:lang w:val="en-US" w:eastAsia="zh-CN"/>
              </w:rPr>
              <w:t>交接</w:t>
            </w:r>
            <w:r>
              <w:rPr>
                <w:rFonts w:hint="eastAsia" w:ascii="仿宋_GB2312" w:hAnsi="仿宋_GB2312" w:eastAsia="仿宋_GB2312" w:cs="仿宋_GB2312"/>
                <w:bCs/>
                <w:color w:val="auto"/>
                <w:sz w:val="24"/>
                <w:szCs w:val="24"/>
                <w:highlight w:val="none"/>
              </w:rPr>
              <w:t>方案、人员培训方案、人员稳定性方案、保密方案</w:t>
            </w:r>
            <w:r>
              <w:rPr>
                <w:rFonts w:hint="eastAsia" w:ascii="仿宋_GB2312" w:hAnsi="仿宋_GB2312" w:eastAsia="仿宋_GB2312" w:cs="仿宋_GB2312"/>
                <w:bCs/>
                <w:color w:val="auto"/>
                <w:sz w:val="24"/>
                <w:szCs w:val="24"/>
                <w:highlight w:val="none"/>
                <w:lang w:eastAsia="zh-CN"/>
              </w:rPr>
              <w:t>等</w:t>
            </w:r>
            <w:r>
              <w:rPr>
                <w:rFonts w:hint="eastAsia" w:ascii="仿宋_GB2312" w:hAnsi="仿宋_GB2312" w:eastAsia="仿宋_GB2312" w:cs="仿宋_GB2312"/>
                <w:bCs/>
                <w:color w:val="auto"/>
                <w:sz w:val="24"/>
                <w:szCs w:val="24"/>
                <w:highlight w:val="none"/>
              </w:rPr>
              <w:t>。</w:t>
            </w:r>
          </w:p>
        </w:tc>
      </w:tr>
      <w:tr w14:paraId="4214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5469BCA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5E83035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742B048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（3）制定</w:t>
            </w:r>
            <w:r>
              <w:rPr>
                <w:rFonts w:hint="eastAsia" w:ascii="仿宋_GB2312" w:hAnsi="仿宋_GB2312" w:eastAsia="仿宋_GB2312" w:cs="仿宋_GB2312"/>
                <w:bCs/>
                <w:color w:val="auto"/>
                <w:sz w:val="24"/>
                <w:szCs w:val="24"/>
                <w:highlight w:val="none"/>
              </w:rPr>
              <w:t>物业服务方案</w:t>
            </w:r>
            <w:r>
              <w:rPr>
                <w:rFonts w:hint="eastAsia" w:ascii="仿宋_GB2312" w:hAnsi="仿宋_GB2312" w:eastAsia="仿宋_GB2312" w:cs="仿宋_GB2312"/>
                <w:bCs/>
                <w:color w:val="auto"/>
                <w:sz w:val="24"/>
                <w:szCs w:val="24"/>
                <w:highlight w:val="none"/>
                <w:lang w:eastAsia="zh-CN"/>
              </w:rPr>
              <w:t>，主要</w:t>
            </w:r>
            <w:r>
              <w:rPr>
                <w:rFonts w:hint="eastAsia" w:ascii="仿宋_GB2312" w:hAnsi="仿宋_GB2312" w:eastAsia="仿宋_GB2312" w:cs="仿宋_GB2312"/>
                <w:bCs/>
                <w:color w:val="auto"/>
                <w:sz w:val="24"/>
                <w:szCs w:val="24"/>
                <w:highlight w:val="none"/>
              </w:rPr>
              <w:t>包括：绿化</w:t>
            </w:r>
            <w:r>
              <w:rPr>
                <w:rFonts w:hint="eastAsia" w:ascii="仿宋_GB2312" w:hAnsi="仿宋_GB2312" w:eastAsia="仿宋_GB2312" w:cs="仿宋_GB2312"/>
                <w:bCs/>
                <w:color w:val="auto"/>
                <w:sz w:val="24"/>
                <w:szCs w:val="24"/>
                <w:highlight w:val="none"/>
                <w:lang w:val="en-US" w:eastAsia="zh-CN"/>
              </w:rPr>
              <w:t>服务</w:t>
            </w:r>
            <w:r>
              <w:rPr>
                <w:rFonts w:hint="eastAsia" w:ascii="仿宋_GB2312" w:hAnsi="仿宋_GB2312" w:eastAsia="仿宋_GB2312" w:cs="仿宋_GB2312"/>
                <w:bCs/>
                <w:color w:val="auto"/>
                <w:sz w:val="24"/>
                <w:szCs w:val="24"/>
                <w:highlight w:val="none"/>
              </w:rPr>
              <w:t>方案</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rPr>
              <w:t>保洁服务方案、</w:t>
            </w:r>
            <w:r>
              <w:rPr>
                <w:rFonts w:hint="eastAsia" w:ascii="仿宋_GB2312" w:hAnsi="仿宋_GB2312" w:eastAsia="仿宋_GB2312" w:cs="仿宋_GB2312"/>
                <w:bCs/>
                <w:color w:val="auto"/>
                <w:sz w:val="24"/>
                <w:szCs w:val="24"/>
                <w:highlight w:val="none"/>
                <w:lang w:val="en-US" w:eastAsia="zh-CN"/>
              </w:rPr>
              <w:t>客服</w:t>
            </w:r>
            <w:r>
              <w:rPr>
                <w:rFonts w:hint="eastAsia" w:ascii="仿宋_GB2312" w:hAnsi="仿宋_GB2312" w:eastAsia="仿宋_GB2312" w:cs="仿宋_GB2312"/>
                <w:bCs/>
                <w:color w:val="auto"/>
                <w:sz w:val="24"/>
                <w:szCs w:val="24"/>
                <w:highlight w:val="none"/>
              </w:rPr>
              <w:t>服务方案、会议服务方案</w:t>
            </w:r>
            <w:r>
              <w:rPr>
                <w:rFonts w:hint="eastAsia" w:ascii="仿宋_GB2312" w:hAnsi="仿宋_GB2312" w:eastAsia="仿宋_GB2312" w:cs="仿宋_GB2312"/>
                <w:bCs/>
                <w:color w:val="auto"/>
                <w:sz w:val="24"/>
                <w:szCs w:val="24"/>
                <w:highlight w:val="none"/>
                <w:lang w:val="en-US" w:eastAsia="zh-CN"/>
              </w:rPr>
              <w:t>等</w:t>
            </w:r>
            <w:r>
              <w:rPr>
                <w:rFonts w:hint="eastAsia" w:ascii="仿宋_GB2312" w:hAnsi="仿宋_GB2312" w:eastAsia="仿宋_GB2312" w:cs="仿宋_GB2312"/>
                <w:bCs/>
                <w:color w:val="auto"/>
                <w:sz w:val="24"/>
                <w:szCs w:val="24"/>
                <w:highlight w:val="none"/>
              </w:rPr>
              <w:t>。</w:t>
            </w:r>
          </w:p>
        </w:tc>
      </w:tr>
      <w:tr w14:paraId="10CB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5111111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9</w:t>
            </w:r>
          </w:p>
        </w:tc>
        <w:tc>
          <w:tcPr>
            <w:tcW w:w="1185" w:type="dxa"/>
            <w:vMerge w:val="restart"/>
            <w:noWrap w:val="0"/>
            <w:vAlign w:val="center"/>
          </w:tcPr>
          <w:p w14:paraId="6187A73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信报服务</w:t>
            </w:r>
          </w:p>
        </w:tc>
        <w:tc>
          <w:tcPr>
            <w:tcW w:w="6153" w:type="dxa"/>
            <w:noWrap w:val="0"/>
            <w:vAlign w:val="center"/>
          </w:tcPr>
          <w:p w14:paraId="7CB7B1E7">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rPr>
              <w:t>（1）对邮件、包裹、报纸和挂号信等进行正确分理、安全检查和防疫卫生检查。</w:t>
            </w:r>
          </w:p>
        </w:tc>
      </w:tr>
      <w:tr w14:paraId="3CB8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5F96111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6F3602F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3729DBC2">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rPr>
              <w:t>（2）及时投送或通知收件人领取。</w:t>
            </w:r>
          </w:p>
        </w:tc>
      </w:tr>
      <w:tr w14:paraId="4607A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42558EB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7DFE5E6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4917D9E3">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rPr>
              <w:t>（3）</w:t>
            </w:r>
            <w:r>
              <w:rPr>
                <w:rFonts w:hint="eastAsia" w:ascii="仿宋_GB2312" w:hAnsi="仿宋_GB2312" w:eastAsia="仿宋_GB2312" w:cs="仿宋_GB2312"/>
                <w:color w:val="auto"/>
                <w:sz w:val="24"/>
                <w:szCs w:val="24"/>
                <w:highlight w:val="none"/>
                <w:u w:val="none"/>
              </w:rPr>
              <w:t>大件物品出入</w:t>
            </w:r>
            <w:r>
              <w:rPr>
                <w:rFonts w:hint="eastAsia" w:ascii="仿宋_GB2312" w:hAnsi="仿宋_GB2312" w:eastAsia="仿宋_GB2312" w:cs="仿宋_GB2312"/>
                <w:color w:val="auto"/>
                <w:sz w:val="24"/>
                <w:szCs w:val="24"/>
                <w:highlight w:val="none"/>
                <w:u w:val="none"/>
                <w:lang w:val="en-US" w:eastAsia="zh-CN"/>
              </w:rPr>
              <w:t>向采购人报告，待采购人确认无误后放行</w:t>
            </w:r>
            <w:r>
              <w:rPr>
                <w:rFonts w:hint="eastAsia" w:ascii="仿宋_GB2312" w:hAnsi="仿宋_GB2312" w:eastAsia="仿宋_GB2312" w:cs="仿宋_GB2312"/>
                <w:color w:val="auto"/>
                <w:sz w:val="24"/>
                <w:szCs w:val="24"/>
                <w:highlight w:val="none"/>
                <w:u w:val="none"/>
                <w:lang w:eastAsia="zh-CN"/>
              </w:rPr>
              <w:t>。</w:t>
            </w:r>
          </w:p>
        </w:tc>
      </w:tr>
      <w:tr w14:paraId="5D19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7A08769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w:t>
            </w:r>
          </w:p>
        </w:tc>
        <w:tc>
          <w:tcPr>
            <w:tcW w:w="1185" w:type="dxa"/>
            <w:vMerge w:val="restart"/>
            <w:noWrap w:val="0"/>
            <w:vAlign w:val="center"/>
          </w:tcPr>
          <w:p w14:paraId="22CB3CF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服务热线及紧急维修</w:t>
            </w:r>
          </w:p>
        </w:tc>
        <w:tc>
          <w:tcPr>
            <w:tcW w:w="6153" w:type="dxa"/>
            <w:noWrap w:val="0"/>
            <w:vAlign w:val="center"/>
          </w:tcPr>
          <w:p w14:paraId="0852918E">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（1）设置24小时报修服务热线。</w:t>
            </w:r>
          </w:p>
        </w:tc>
      </w:tr>
      <w:tr w14:paraId="7A28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1D401BB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7320F89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15129156">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w:t>
            </w:r>
            <w:r>
              <w:rPr>
                <w:rFonts w:hint="eastAsia" w:ascii="仿宋_GB2312" w:hAnsi="仿宋_GB2312" w:eastAsia="仿宋_GB2312" w:cs="仿宋_GB2312"/>
                <w:color w:val="auto"/>
                <w:sz w:val="24"/>
                <w:szCs w:val="24"/>
                <w:highlight w:val="none"/>
                <w:u w:val="none"/>
                <w:lang w:val="en-US" w:eastAsia="zh-CN"/>
              </w:rPr>
              <w:t>紧急维修应当3分钟内通知各运维人员，15分钟内相关负责人应当到达现场，配合运维人员跟踪修复。</w:t>
            </w:r>
          </w:p>
        </w:tc>
      </w:tr>
    </w:tbl>
    <w:p w14:paraId="2E63DEDF">
      <w:pPr>
        <w:pStyle w:val="5"/>
        <w:bidi w:val="0"/>
        <w:rPr>
          <w:rFonts w:hint="eastAsia" w:ascii="仿宋_GB2312" w:hAnsi="仿宋_GB2312" w:eastAsia="仿宋_GB2312" w:cs="仿宋_GB2312"/>
          <w:sz w:val="24"/>
          <w:szCs w:val="24"/>
          <w:highlight w:val="none"/>
          <w:lang w:val="en-US" w:eastAsia="zh-CN"/>
        </w:rPr>
      </w:pPr>
    </w:p>
    <w:p w14:paraId="171C8768">
      <w:pPr>
        <w:pStyle w:val="5"/>
        <w:bidi w:val="0"/>
        <w:rPr>
          <w:rFonts w:hint="eastAsia" w:ascii="仿宋_GB2312" w:hAnsi="仿宋_GB2312" w:eastAsia="仿宋_GB2312" w:cs="仿宋_GB2312"/>
          <w:sz w:val="24"/>
          <w:szCs w:val="24"/>
          <w:highlight w:val="none"/>
          <w:lang w:val="en-US" w:eastAsia="zh-CN"/>
        </w:rPr>
      </w:pPr>
    </w:p>
    <w:p w14:paraId="1B476AB5">
      <w:pPr>
        <w:pStyle w:val="5"/>
        <w:bidi w:val="0"/>
        <w:rPr>
          <w:rFonts w:hint="eastAsia" w:ascii="仿宋_GB2312" w:hAnsi="仿宋_GB2312" w:eastAsia="仿宋_GB2312" w:cs="仿宋_GB2312"/>
          <w:sz w:val="24"/>
          <w:szCs w:val="24"/>
          <w:highlight w:val="none"/>
          <w:lang w:val="en-US" w:eastAsia="zh-CN"/>
        </w:rPr>
      </w:pPr>
    </w:p>
    <w:p w14:paraId="17893012">
      <w:pPr>
        <w:pStyle w:val="5"/>
        <w:bidi w:val="0"/>
        <w:rPr>
          <w:rFonts w:hint="eastAsia" w:ascii="仿宋_GB2312" w:hAnsi="仿宋_GB2312" w:eastAsia="仿宋_GB2312" w:cs="仿宋_GB2312"/>
          <w:sz w:val="24"/>
          <w:szCs w:val="24"/>
          <w:highlight w:val="none"/>
          <w:lang w:val="en-US" w:eastAsia="zh-CN"/>
        </w:rPr>
      </w:pPr>
    </w:p>
    <w:p w14:paraId="094182E4">
      <w:pPr>
        <w:pStyle w:val="5"/>
        <w:bidi w:val="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1.2保洁服务</w:t>
      </w:r>
    </w:p>
    <w:tbl>
      <w:tblPr>
        <w:tblStyle w:val="15"/>
        <w:tblW w:w="4797" w:type="pct"/>
        <w:tblInd w:w="5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
        <w:gridCol w:w="1974"/>
        <w:gridCol w:w="5839"/>
      </w:tblGrid>
      <w:tr w14:paraId="01B5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noWrap w:val="0"/>
            <w:vAlign w:val="center"/>
          </w:tcPr>
          <w:p w14:paraId="1A3FA864">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序号</w:t>
            </w:r>
          </w:p>
        </w:tc>
        <w:tc>
          <w:tcPr>
            <w:tcW w:w="3372" w:type="dxa"/>
            <w:noWrap w:val="0"/>
            <w:vAlign w:val="center"/>
          </w:tcPr>
          <w:p w14:paraId="28CBD4A5">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服务内容</w:t>
            </w:r>
          </w:p>
        </w:tc>
        <w:tc>
          <w:tcPr>
            <w:tcW w:w="9974" w:type="dxa"/>
            <w:noWrap w:val="0"/>
            <w:vAlign w:val="center"/>
          </w:tcPr>
          <w:p w14:paraId="78AE8E0C">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服务标准</w:t>
            </w:r>
          </w:p>
        </w:tc>
      </w:tr>
      <w:tr w14:paraId="5FCD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restart"/>
            <w:noWrap w:val="0"/>
            <w:vAlign w:val="center"/>
          </w:tcPr>
          <w:p w14:paraId="72B0888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3372" w:type="dxa"/>
            <w:vMerge w:val="restart"/>
            <w:noWrap w:val="0"/>
            <w:vAlign w:val="center"/>
          </w:tcPr>
          <w:p w14:paraId="0D74501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基本要求</w:t>
            </w:r>
          </w:p>
        </w:tc>
        <w:tc>
          <w:tcPr>
            <w:tcW w:w="9974" w:type="dxa"/>
            <w:noWrap w:val="0"/>
            <w:vAlign w:val="center"/>
          </w:tcPr>
          <w:p w14:paraId="4E7A90C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（1）建立保洁服务的工作制度及工作计划，并按照执行。</w:t>
            </w:r>
          </w:p>
        </w:tc>
      </w:tr>
      <w:tr w14:paraId="2670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71F0C87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46A6485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p>
        </w:tc>
        <w:tc>
          <w:tcPr>
            <w:tcW w:w="9974" w:type="dxa"/>
            <w:noWrap w:val="0"/>
            <w:vAlign w:val="center"/>
          </w:tcPr>
          <w:p w14:paraId="7F277FC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（2）做好保洁服务工作记录，记录填写规范、保存完好。</w:t>
            </w:r>
          </w:p>
        </w:tc>
      </w:tr>
      <w:tr w14:paraId="2AC1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2801074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664750A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p>
        </w:tc>
        <w:tc>
          <w:tcPr>
            <w:tcW w:w="9974" w:type="dxa"/>
            <w:noWrap w:val="0"/>
            <w:vAlign w:val="center"/>
          </w:tcPr>
          <w:p w14:paraId="3B37260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（3）作业时采取安全防护措施，防止对作业人员或他人造成伤害。</w:t>
            </w:r>
          </w:p>
        </w:tc>
      </w:tr>
      <w:tr w14:paraId="3E5C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7391A79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5CD902A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4BDD87E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（4）保洁人员作业进出门禁时，应当及时关门，防止当事人或其他人员尾随进入办公区域。</w:t>
            </w:r>
          </w:p>
        </w:tc>
      </w:tr>
      <w:tr w14:paraId="2E2A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623" w:type="dxa"/>
            <w:vMerge w:val="restart"/>
            <w:noWrap w:val="0"/>
            <w:vAlign w:val="center"/>
          </w:tcPr>
          <w:p w14:paraId="381CCD7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p>
        </w:tc>
        <w:tc>
          <w:tcPr>
            <w:tcW w:w="3372" w:type="dxa"/>
            <w:vMerge w:val="restart"/>
            <w:noWrap w:val="0"/>
            <w:vAlign w:val="center"/>
          </w:tcPr>
          <w:p w14:paraId="3B72F16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办公用房区域保洁</w:t>
            </w:r>
          </w:p>
        </w:tc>
        <w:tc>
          <w:tcPr>
            <w:tcW w:w="9974" w:type="dxa"/>
            <w:noWrap w:val="0"/>
            <w:vAlign w:val="center"/>
          </w:tcPr>
          <w:p w14:paraId="71F4D0C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（1）大厅、楼内公共通道：</w:t>
            </w:r>
          </w:p>
          <w:p w14:paraId="5038015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 xml:space="preserve"> ①公共通道保持干净，无异味、无杂物、无积水，每日至少开展1次清洁作业。</w:t>
            </w:r>
          </w:p>
          <w:p w14:paraId="44EB60B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 xml:space="preserve"> ②门窗玻璃干净无尘，透光性好，每周至少开展1次清洁作业。</w:t>
            </w:r>
          </w:p>
          <w:p w14:paraId="340FD54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 xml:space="preserve"> ③指示牌干净，无污渍，每日至少开展1次清洁作业。</w:t>
            </w:r>
          </w:p>
        </w:tc>
      </w:tr>
      <w:tr w14:paraId="4BBC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23" w:type="dxa"/>
            <w:vMerge w:val="continue"/>
            <w:noWrap w:val="0"/>
            <w:vAlign w:val="center"/>
          </w:tcPr>
          <w:p w14:paraId="157D8B5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7BF85F1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5A120E0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（2）电器、消防等设施设备：</w:t>
            </w:r>
          </w:p>
          <w:p w14:paraId="4048A58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 xml:space="preserve"> ①配电箱、设备机房、会议室音视频设备、消防栓及开关插座等保持表面干净，无尘无污迹，每月至少开展1次清洁作业。</w:t>
            </w:r>
          </w:p>
          <w:p w14:paraId="0321B18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 xml:space="preserve"> ②监控摄像头、门禁系统等表面光亮，无尘、无斑点，每月至少开展1次清洁作业。</w:t>
            </w:r>
          </w:p>
        </w:tc>
      </w:tr>
      <w:tr w14:paraId="0711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0C16E91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12978C4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57C8104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（3）楼梯及楼梯间保持干净、无异味、无杂物、无积水，每日至少开展1次清洁作业。</w:t>
            </w:r>
          </w:p>
        </w:tc>
      </w:tr>
      <w:tr w14:paraId="41FBC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598A244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7DD22A4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59FF939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（4）开水间保持干净、无异味、无杂物、无积水，每日至少开展1次清洁作业。</w:t>
            </w:r>
          </w:p>
        </w:tc>
      </w:tr>
      <w:tr w14:paraId="65CC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39C8286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3602515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75890DB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（5）作业工具间：</w:t>
            </w:r>
          </w:p>
          <w:p w14:paraId="4485FE9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 xml:space="preserve"> ①保持干净，无异味、无杂物、无积水，每日至少开展1次清洁作业。</w:t>
            </w:r>
          </w:p>
          <w:p w14:paraId="56954D4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 xml:space="preserve"> ②作业工具摆放整齐有序，表面干净无渍，每日消毒。</w:t>
            </w:r>
          </w:p>
        </w:tc>
      </w:tr>
      <w:tr w14:paraId="3AEF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23" w:type="dxa"/>
            <w:vMerge w:val="continue"/>
            <w:noWrap w:val="0"/>
            <w:vAlign w:val="center"/>
          </w:tcPr>
          <w:p w14:paraId="09477D8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01EEF1F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53D2B98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（6）公共卫生间：</w:t>
            </w:r>
          </w:p>
          <w:p w14:paraId="3E2E90E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 xml:space="preserve"> ①保持干净，无异味，垃圾无溢出，每日至少开展1次清洁作业。</w:t>
            </w:r>
          </w:p>
          <w:p w14:paraId="5C9BDC0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 xml:space="preserve"> ②及时补充厕纸等必要用品。</w:t>
            </w:r>
          </w:p>
        </w:tc>
      </w:tr>
      <w:tr w14:paraId="0CBB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623" w:type="dxa"/>
            <w:vMerge w:val="continue"/>
            <w:noWrap w:val="0"/>
            <w:vAlign w:val="center"/>
          </w:tcPr>
          <w:p w14:paraId="72FDBE4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7F460EF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486BFE6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（7）电梯轿厢：</w:t>
            </w:r>
          </w:p>
          <w:p w14:paraId="2B9C3D2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315" w:firstLine="0" w:firstLineChars="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①保持干净，无污渍、无粘贴物、无异味，每日至少开展1次清洁作业。</w:t>
            </w:r>
          </w:p>
          <w:p w14:paraId="1D9EB50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315" w:firstLine="0" w:firstLineChars="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②灯具、操作指示板明亮。</w:t>
            </w:r>
          </w:p>
        </w:tc>
      </w:tr>
      <w:tr w14:paraId="2878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6C5EB41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5A1982D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242C976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（8）平台、屋顶、天沟保持干净，有杂物及时清扫，每月至少开展1次清洁作业。</w:t>
            </w:r>
          </w:p>
        </w:tc>
      </w:tr>
      <w:tr w14:paraId="7CC0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04DA4D6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0EF5150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714281F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（9）</w:t>
            </w:r>
            <w:r>
              <w:rPr>
                <w:rFonts w:hint="eastAsia" w:ascii="仿宋_GB2312" w:hAnsi="仿宋_GB2312" w:eastAsia="仿宋_GB2312" w:cs="仿宋_GB2312"/>
                <w:color w:val="auto"/>
                <w:sz w:val="24"/>
                <w:szCs w:val="24"/>
                <w:highlight w:val="none"/>
                <w:u w:val="none"/>
                <w:lang w:val="en-US" w:eastAsia="zh-CN"/>
              </w:rPr>
              <w:t>石材地面、内墙做好养护工作</w:t>
            </w:r>
            <w:r>
              <w:rPr>
                <w:rFonts w:hint="eastAsia" w:ascii="仿宋_GB2312" w:hAnsi="仿宋_GB2312" w:eastAsia="仿宋_GB2312" w:cs="仿宋_GB2312"/>
                <w:b w:val="0"/>
                <w:bCs w:val="0"/>
                <w:color w:val="auto"/>
                <w:kern w:val="0"/>
                <w:sz w:val="24"/>
                <w:szCs w:val="24"/>
                <w:highlight w:val="none"/>
                <w:lang w:val="en-US" w:eastAsia="zh-CN"/>
              </w:rPr>
              <w:t>，每季度开展1次清洁作业。（各类材质地面、内墙服务管理标准详见3.4.1）</w:t>
            </w:r>
          </w:p>
        </w:tc>
      </w:tr>
      <w:tr w14:paraId="0B56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23" w:type="dxa"/>
            <w:vMerge w:val="continue"/>
            <w:noWrap w:val="0"/>
            <w:vAlign w:val="center"/>
          </w:tcPr>
          <w:p w14:paraId="6F6444E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0401A3D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53A767B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（10）</w:t>
            </w:r>
            <w:r>
              <w:rPr>
                <w:rFonts w:hint="eastAsia" w:ascii="仿宋_GB2312" w:hAnsi="仿宋_GB2312" w:eastAsia="仿宋_GB2312" w:cs="仿宋_GB2312"/>
                <w:color w:val="auto"/>
                <w:sz w:val="24"/>
                <w:szCs w:val="24"/>
                <w:highlight w:val="none"/>
                <w:u w:val="none"/>
                <w:lang w:val="en-US" w:eastAsia="zh-CN"/>
              </w:rPr>
              <w:t>地毯干净、无油渍、无污渍、无褪色</w:t>
            </w:r>
            <w:r>
              <w:rPr>
                <w:rFonts w:hint="eastAsia" w:ascii="仿宋_GB2312" w:hAnsi="仿宋_GB2312" w:eastAsia="仿宋_GB2312" w:cs="仿宋_GB2312"/>
                <w:b w:val="0"/>
                <w:bCs w:val="0"/>
                <w:color w:val="auto"/>
                <w:kern w:val="0"/>
                <w:sz w:val="24"/>
                <w:szCs w:val="24"/>
                <w:highlight w:val="none"/>
                <w:lang w:val="en-US" w:eastAsia="zh-CN"/>
              </w:rPr>
              <w:t>，每月至少开展1次清洁作业。</w:t>
            </w:r>
          </w:p>
        </w:tc>
      </w:tr>
      <w:tr w14:paraId="2F08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restart"/>
            <w:noWrap w:val="0"/>
            <w:vAlign w:val="center"/>
          </w:tcPr>
          <w:p w14:paraId="331A24F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p>
        </w:tc>
        <w:tc>
          <w:tcPr>
            <w:tcW w:w="3372" w:type="dxa"/>
            <w:vMerge w:val="restart"/>
            <w:noWrap w:val="0"/>
            <w:vAlign w:val="center"/>
          </w:tcPr>
          <w:p w14:paraId="12F54A7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公共场地区域保洁</w:t>
            </w:r>
          </w:p>
        </w:tc>
        <w:tc>
          <w:tcPr>
            <w:tcW w:w="9974" w:type="dxa"/>
            <w:noWrap w:val="0"/>
            <w:vAlign w:val="center"/>
          </w:tcPr>
          <w:p w14:paraId="49BC123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bCs w:val="0"/>
                <w:color w:val="auto"/>
                <w:kern w:val="0"/>
                <w:sz w:val="24"/>
                <w:szCs w:val="24"/>
                <w:highlight w:val="none"/>
                <w:lang w:val="en-US" w:eastAsia="zh-CN"/>
              </w:rPr>
              <w:t>（1）每日清扫道路地面、停车场等公共区域2次，保持干净、无杂物、无积水。</w:t>
            </w:r>
          </w:p>
        </w:tc>
      </w:tr>
      <w:tr w14:paraId="3A2E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14A77AF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rPr>
            </w:pPr>
          </w:p>
        </w:tc>
        <w:tc>
          <w:tcPr>
            <w:tcW w:w="3372" w:type="dxa"/>
            <w:vMerge w:val="continue"/>
            <w:noWrap w:val="0"/>
            <w:vAlign w:val="center"/>
          </w:tcPr>
          <w:p w14:paraId="7E25067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7DC418D3">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bCs w:val="0"/>
                <w:color w:val="auto"/>
                <w:kern w:val="0"/>
                <w:sz w:val="24"/>
                <w:szCs w:val="24"/>
                <w:highlight w:val="none"/>
                <w:lang w:val="en-US" w:eastAsia="zh-CN"/>
              </w:rPr>
              <w:t>（2）雪、冰冻等恶劣天气时及时清扫积水、积雪，并采取安全防护措施。</w:t>
            </w:r>
          </w:p>
        </w:tc>
      </w:tr>
      <w:tr w14:paraId="3658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5E5FD14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rPr>
            </w:pPr>
          </w:p>
        </w:tc>
        <w:tc>
          <w:tcPr>
            <w:tcW w:w="3372" w:type="dxa"/>
            <w:vMerge w:val="continue"/>
            <w:noWrap w:val="0"/>
            <w:vAlign w:val="center"/>
          </w:tcPr>
          <w:p w14:paraId="1FC486C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1656963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bCs w:val="0"/>
                <w:color w:val="auto"/>
                <w:kern w:val="0"/>
                <w:sz w:val="24"/>
                <w:szCs w:val="24"/>
                <w:highlight w:val="none"/>
                <w:lang w:val="en-US" w:eastAsia="zh-CN"/>
              </w:rPr>
              <w:t>（3）各种路标、宣传栏等保持干净，每月至少开展1次清洁作业。</w:t>
            </w:r>
          </w:p>
        </w:tc>
      </w:tr>
      <w:tr w14:paraId="1F20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68E2435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rPr>
            </w:pPr>
          </w:p>
        </w:tc>
        <w:tc>
          <w:tcPr>
            <w:tcW w:w="3372" w:type="dxa"/>
            <w:vMerge w:val="continue"/>
            <w:noWrap w:val="0"/>
            <w:vAlign w:val="center"/>
          </w:tcPr>
          <w:p w14:paraId="11EDD88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49CED80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bCs w:val="0"/>
                <w:color w:val="auto"/>
                <w:kern w:val="0"/>
                <w:sz w:val="24"/>
                <w:szCs w:val="24"/>
                <w:highlight w:val="none"/>
                <w:lang w:val="en-US" w:eastAsia="zh-CN"/>
              </w:rPr>
              <w:t>（4）清洁室外照明设备，每月至少开展1次清洁作业。</w:t>
            </w:r>
          </w:p>
        </w:tc>
      </w:tr>
      <w:tr w14:paraId="67B3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50F8B07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rPr>
            </w:pPr>
          </w:p>
        </w:tc>
        <w:tc>
          <w:tcPr>
            <w:tcW w:w="3372" w:type="dxa"/>
            <w:vMerge w:val="continue"/>
            <w:noWrap w:val="0"/>
            <w:vAlign w:val="center"/>
          </w:tcPr>
          <w:p w14:paraId="55FA818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2A4120C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bCs w:val="0"/>
                <w:color w:val="auto"/>
                <w:kern w:val="0"/>
                <w:sz w:val="24"/>
                <w:szCs w:val="24"/>
                <w:highlight w:val="none"/>
                <w:lang w:val="en-US" w:eastAsia="zh-CN"/>
              </w:rPr>
              <w:t>（5）绿地内无杂物、无改变用途和破坏、践踏、占用现象，每天至少开展1次巡查。</w:t>
            </w:r>
          </w:p>
        </w:tc>
      </w:tr>
      <w:tr w14:paraId="748C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23" w:type="dxa"/>
            <w:vMerge w:val="continue"/>
            <w:noWrap w:val="0"/>
            <w:vAlign w:val="center"/>
          </w:tcPr>
          <w:p w14:paraId="09207E2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rPr>
            </w:pPr>
          </w:p>
        </w:tc>
        <w:tc>
          <w:tcPr>
            <w:tcW w:w="3372" w:type="dxa"/>
            <w:vMerge w:val="continue"/>
            <w:noWrap w:val="0"/>
            <w:vAlign w:val="center"/>
          </w:tcPr>
          <w:p w14:paraId="329E93D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2B550014">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 xml:space="preserve"> （6）</w:t>
            </w:r>
            <w:r>
              <w:rPr>
                <w:rFonts w:hint="eastAsia" w:ascii="仿宋_GB2312" w:hAnsi="仿宋_GB2312" w:eastAsia="仿宋_GB2312" w:cs="仿宋_GB2312"/>
                <w:sz w:val="24"/>
                <w:szCs w:val="24"/>
                <w:highlight w:val="none"/>
              </w:rPr>
              <w:t>办公区外立面</w:t>
            </w:r>
            <w:r>
              <w:rPr>
                <w:rFonts w:hint="eastAsia" w:ascii="仿宋_GB2312" w:hAnsi="仿宋_GB2312" w:eastAsia="仿宋_GB2312" w:cs="仿宋_GB2312"/>
                <w:color w:val="auto"/>
                <w:sz w:val="24"/>
                <w:szCs w:val="24"/>
                <w:highlight w:val="none"/>
                <w:u w:val="none"/>
                <w:lang w:val="en-US" w:eastAsia="zh-CN"/>
              </w:rPr>
              <w:t>定期</w:t>
            </w:r>
            <w:r>
              <w:rPr>
                <w:rFonts w:hint="eastAsia" w:ascii="仿宋_GB2312" w:hAnsi="仿宋_GB2312" w:eastAsia="仿宋_GB2312" w:cs="仿宋_GB2312"/>
                <w:sz w:val="24"/>
                <w:szCs w:val="24"/>
                <w:highlight w:val="none"/>
              </w:rPr>
              <w:t>清洗、</w:t>
            </w:r>
            <w:r>
              <w:rPr>
                <w:rFonts w:hint="eastAsia" w:ascii="仿宋_GB2312" w:hAnsi="仿宋_GB2312" w:eastAsia="仿宋_GB2312" w:cs="仿宋_GB2312"/>
                <w:sz w:val="24"/>
                <w:szCs w:val="24"/>
                <w:highlight w:val="none"/>
                <w:lang w:val="en-US" w:eastAsia="zh-CN"/>
              </w:rPr>
              <w:t>2层以下</w:t>
            </w:r>
            <w:r>
              <w:rPr>
                <w:rFonts w:hint="eastAsia" w:ascii="仿宋_GB2312" w:hAnsi="仿宋_GB2312" w:eastAsia="仿宋_GB2312" w:cs="仿宋_GB2312"/>
                <w:sz w:val="24"/>
                <w:szCs w:val="24"/>
                <w:highlight w:val="none"/>
              </w:rPr>
              <w:t>外窗玻璃擦拭</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每年</w:t>
            </w:r>
            <w:r>
              <w:rPr>
                <w:rFonts w:hint="eastAsia" w:ascii="仿宋_GB2312" w:hAnsi="仿宋_GB2312" w:eastAsia="仿宋_GB2312" w:cs="仿宋_GB2312"/>
                <w:b w:val="0"/>
                <w:bCs w:val="0"/>
                <w:color w:val="auto"/>
                <w:kern w:val="0"/>
                <w:sz w:val="24"/>
                <w:szCs w:val="24"/>
                <w:highlight w:val="none"/>
                <w:lang w:val="en-US" w:eastAsia="zh-CN"/>
              </w:rPr>
              <w:t>至少开展</w:t>
            </w:r>
            <w:r>
              <w:rPr>
                <w:rFonts w:hint="eastAsia" w:ascii="仿宋_GB2312" w:hAnsi="仿宋_GB2312" w:eastAsia="仿宋_GB2312" w:cs="仿宋_GB2312"/>
                <w:sz w:val="24"/>
                <w:szCs w:val="24"/>
                <w:highlight w:val="none"/>
                <w:lang w:val="en-US" w:eastAsia="zh-CN"/>
              </w:rPr>
              <w:t>1次清洗。</w:t>
            </w:r>
            <w:r>
              <w:rPr>
                <w:rFonts w:hint="eastAsia" w:ascii="仿宋_GB2312" w:hAnsi="仿宋_GB2312" w:eastAsia="仿宋_GB2312" w:cs="仿宋_GB2312"/>
                <w:b w:val="0"/>
                <w:bCs w:val="0"/>
                <w:color w:val="auto"/>
                <w:kern w:val="0"/>
                <w:sz w:val="24"/>
                <w:szCs w:val="24"/>
                <w:highlight w:val="none"/>
                <w:lang w:val="en-US" w:eastAsia="zh-CN"/>
              </w:rPr>
              <w:t>（各类材质外立面服务标准详见3.4.1）</w:t>
            </w:r>
          </w:p>
        </w:tc>
      </w:tr>
      <w:tr w14:paraId="49A6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restart"/>
            <w:noWrap w:val="0"/>
            <w:vAlign w:val="center"/>
          </w:tcPr>
          <w:p w14:paraId="081A705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3372" w:type="dxa"/>
            <w:vMerge w:val="restart"/>
            <w:noWrap w:val="0"/>
            <w:vAlign w:val="center"/>
          </w:tcPr>
          <w:p w14:paraId="04708AA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垃圾处理</w:t>
            </w:r>
          </w:p>
        </w:tc>
        <w:tc>
          <w:tcPr>
            <w:tcW w:w="9974" w:type="dxa"/>
            <w:noWrap w:val="0"/>
            <w:vAlign w:val="center"/>
          </w:tcPr>
          <w:p w14:paraId="5323948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（1）在指定位置摆放分类垃圾桶，并在显著处张贴垃圾分类标识。分类垃圾桶和垃圾分类标识根据所在城市的要求设置。</w:t>
            </w:r>
          </w:p>
        </w:tc>
      </w:tr>
      <w:tr w14:paraId="6ED6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0A8BB6B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761F593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60B6696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（2）桶身表面干净无污渍，每日开展至少1次清洁作业。</w:t>
            </w:r>
          </w:p>
        </w:tc>
      </w:tr>
      <w:tr w14:paraId="52BC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4476FEE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00A329F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114D095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（3）垃圾中转房保持整洁，无明显异味，每日至少开展1次清洁作业。</w:t>
            </w:r>
          </w:p>
        </w:tc>
      </w:tr>
      <w:tr w14:paraId="5871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422CD2B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4B16BE6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1BB9EFD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（4）</w:t>
            </w:r>
            <w:r>
              <w:rPr>
                <w:rFonts w:hint="eastAsia" w:ascii="仿宋_GB2312" w:hAnsi="仿宋_GB2312" w:eastAsia="仿宋_GB2312" w:cs="仿宋_GB2312"/>
                <w:color w:val="auto"/>
                <w:sz w:val="24"/>
                <w:szCs w:val="24"/>
                <w:highlight w:val="none"/>
                <w:u w:val="none"/>
                <w:lang w:val="en-US" w:eastAsia="zh-CN"/>
              </w:rPr>
              <w:t>每个工作日内要对楼层产生的垃圾，进行清理分类，并运至垃圾集中堆放点。</w:t>
            </w:r>
          </w:p>
        </w:tc>
      </w:tr>
      <w:tr w14:paraId="4322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2A42EA3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5B58786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78C7C49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（5）垃圾装袋，日产日清。</w:t>
            </w:r>
          </w:p>
        </w:tc>
      </w:tr>
      <w:tr w14:paraId="6257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17F16E3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0C7D6FD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26B0346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（6）建立垃圾清运台账，交由规范的渠道回收处理。</w:t>
            </w:r>
          </w:p>
        </w:tc>
      </w:tr>
      <w:tr w14:paraId="44EB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53EF9F6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22AA725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35A154B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（7）</w:t>
            </w:r>
            <w:r>
              <w:rPr>
                <w:rFonts w:hint="eastAsia" w:ascii="仿宋_GB2312" w:hAnsi="仿宋_GB2312" w:eastAsia="仿宋_GB2312" w:cs="仿宋_GB2312"/>
                <w:color w:val="auto"/>
                <w:sz w:val="24"/>
                <w:szCs w:val="24"/>
                <w:highlight w:val="none"/>
                <w:u w:val="none"/>
                <w:lang w:val="en-US" w:eastAsia="zh-CN"/>
              </w:rPr>
              <w:t>做好垃圾分类管理的宣传工作，督促并引导全员参与垃圾分类投放。</w:t>
            </w:r>
          </w:p>
        </w:tc>
      </w:tr>
      <w:tr w14:paraId="14442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23" w:type="dxa"/>
            <w:vMerge w:val="continue"/>
            <w:noWrap w:val="0"/>
            <w:vAlign w:val="center"/>
          </w:tcPr>
          <w:p w14:paraId="539AF0E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115EE61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096EA41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（8）</w:t>
            </w:r>
            <w:r>
              <w:rPr>
                <w:rFonts w:hint="eastAsia" w:ascii="仿宋_GB2312" w:hAnsi="仿宋_GB2312" w:eastAsia="仿宋_GB2312" w:cs="仿宋_GB2312"/>
                <w:color w:val="auto"/>
                <w:sz w:val="24"/>
                <w:szCs w:val="24"/>
                <w:highlight w:val="none"/>
                <w:u w:val="none"/>
                <w:lang w:val="en-US" w:eastAsia="zh-CN"/>
              </w:rPr>
              <w:t>垃圾分类投放管理工作的执行标准，按</w:t>
            </w:r>
            <w:r>
              <w:rPr>
                <w:rFonts w:hint="eastAsia" w:ascii="仿宋_GB2312" w:hAnsi="仿宋_GB2312" w:eastAsia="仿宋_GB2312" w:cs="仿宋_GB2312"/>
                <w:b w:val="0"/>
                <w:bCs w:val="0"/>
                <w:color w:val="auto"/>
                <w:kern w:val="0"/>
                <w:sz w:val="24"/>
                <w:szCs w:val="24"/>
                <w:highlight w:val="none"/>
                <w:lang w:val="en-US" w:eastAsia="zh-CN"/>
              </w:rPr>
              <w:t>所在城市</w:t>
            </w:r>
            <w:r>
              <w:rPr>
                <w:rFonts w:hint="eastAsia" w:ascii="仿宋_GB2312" w:hAnsi="仿宋_GB2312" w:eastAsia="仿宋_GB2312" w:cs="仿宋_GB2312"/>
                <w:color w:val="auto"/>
                <w:sz w:val="24"/>
                <w:szCs w:val="24"/>
                <w:highlight w:val="none"/>
                <w:u w:val="none"/>
                <w:lang w:val="en-US" w:eastAsia="zh-CN"/>
              </w:rPr>
              <w:t>的要求执行。</w:t>
            </w:r>
          </w:p>
        </w:tc>
      </w:tr>
      <w:tr w14:paraId="2891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23" w:type="dxa"/>
            <w:vMerge w:val="restart"/>
            <w:noWrap w:val="0"/>
            <w:vAlign w:val="center"/>
          </w:tcPr>
          <w:p w14:paraId="6DBF22F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c>
          <w:tcPr>
            <w:tcW w:w="3372" w:type="dxa"/>
            <w:vMerge w:val="restart"/>
            <w:noWrap w:val="0"/>
            <w:vAlign w:val="center"/>
          </w:tcPr>
          <w:p w14:paraId="33E80AE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卫生消毒</w:t>
            </w:r>
          </w:p>
        </w:tc>
        <w:tc>
          <w:tcPr>
            <w:tcW w:w="9974" w:type="dxa"/>
            <w:noWrap w:val="0"/>
            <w:vAlign w:val="center"/>
          </w:tcPr>
          <w:p w14:paraId="7375850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（1）办公用房区域、公共场所区域和周围环境预防性卫生消毒，</w:t>
            </w:r>
            <w:r>
              <w:rPr>
                <w:rFonts w:hint="eastAsia" w:ascii="仿宋_GB2312" w:hAnsi="仿宋_GB2312" w:eastAsia="仿宋_GB2312" w:cs="仿宋_GB2312"/>
                <w:color w:val="auto"/>
                <w:sz w:val="24"/>
                <w:szCs w:val="24"/>
                <w:highlight w:val="none"/>
                <w:u w:val="none"/>
                <w:lang w:val="en-US" w:eastAsia="zh-CN"/>
              </w:rPr>
              <w:t>消毒后及时通风，每周</w:t>
            </w:r>
            <w:r>
              <w:rPr>
                <w:rFonts w:hint="eastAsia" w:ascii="仿宋_GB2312" w:hAnsi="仿宋_GB2312" w:eastAsia="仿宋_GB2312" w:cs="仿宋_GB2312"/>
                <w:b w:val="0"/>
                <w:bCs w:val="0"/>
                <w:color w:val="auto"/>
                <w:kern w:val="0"/>
                <w:sz w:val="24"/>
                <w:szCs w:val="24"/>
                <w:highlight w:val="none"/>
                <w:lang w:val="en-US" w:eastAsia="zh-CN"/>
              </w:rPr>
              <w:t>至少开展</w:t>
            </w:r>
            <w:r>
              <w:rPr>
                <w:rFonts w:hint="eastAsia" w:ascii="仿宋_GB2312" w:hAnsi="仿宋_GB2312" w:eastAsia="仿宋_GB2312" w:cs="仿宋_GB2312"/>
                <w:color w:val="auto"/>
                <w:sz w:val="24"/>
                <w:szCs w:val="24"/>
                <w:highlight w:val="none"/>
                <w:u w:val="none"/>
                <w:lang w:val="en-US" w:eastAsia="zh-CN"/>
              </w:rPr>
              <w:t>1次作业。</w:t>
            </w:r>
          </w:p>
        </w:tc>
      </w:tr>
      <w:tr w14:paraId="65BC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23" w:type="dxa"/>
            <w:vMerge w:val="continue"/>
            <w:noWrap w:val="0"/>
            <w:vAlign w:val="center"/>
          </w:tcPr>
          <w:p w14:paraId="1BD68E0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632FC94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3271602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（2）采取综合措施消灭老鼠、蟑螂，控制室内外蚊虫孳生，达到基本无蝇</w:t>
            </w:r>
            <w:r>
              <w:rPr>
                <w:rFonts w:hint="eastAsia" w:ascii="仿宋_GB2312" w:hAnsi="仿宋_GB2312" w:eastAsia="仿宋_GB2312" w:cs="仿宋_GB2312"/>
                <w:color w:val="auto"/>
                <w:sz w:val="24"/>
                <w:szCs w:val="24"/>
                <w:highlight w:val="none"/>
                <w:u w:val="none"/>
                <w:lang w:val="en-US" w:eastAsia="zh-CN"/>
              </w:rPr>
              <w:t>，每季度</w:t>
            </w:r>
            <w:r>
              <w:rPr>
                <w:rFonts w:hint="eastAsia" w:ascii="仿宋_GB2312" w:hAnsi="仿宋_GB2312" w:eastAsia="仿宋_GB2312" w:cs="仿宋_GB2312"/>
                <w:b w:val="0"/>
                <w:bCs w:val="0"/>
                <w:color w:val="auto"/>
                <w:kern w:val="0"/>
                <w:sz w:val="24"/>
                <w:szCs w:val="24"/>
                <w:highlight w:val="none"/>
                <w:lang w:val="en-US" w:eastAsia="zh-CN"/>
              </w:rPr>
              <w:t>至少开展</w:t>
            </w:r>
            <w:r>
              <w:rPr>
                <w:rFonts w:hint="eastAsia" w:ascii="仿宋_GB2312" w:hAnsi="仿宋_GB2312" w:eastAsia="仿宋_GB2312" w:cs="仿宋_GB2312"/>
                <w:color w:val="auto"/>
                <w:sz w:val="24"/>
                <w:szCs w:val="24"/>
                <w:highlight w:val="none"/>
                <w:u w:val="none"/>
                <w:lang w:val="en-US" w:eastAsia="zh-CN"/>
              </w:rPr>
              <w:t>1次作业。</w:t>
            </w:r>
          </w:p>
        </w:tc>
      </w:tr>
      <w:tr w14:paraId="69DE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23" w:type="dxa"/>
            <w:vMerge w:val="continue"/>
            <w:noWrap w:val="0"/>
            <w:vAlign w:val="center"/>
          </w:tcPr>
          <w:p w14:paraId="2FE8946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1F746CC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35A4ADD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（3）发生公共卫生事件时，邀请专业单位开展消毒、检测等工作。</w:t>
            </w:r>
          </w:p>
        </w:tc>
      </w:tr>
    </w:tbl>
    <w:p w14:paraId="4BA623C5">
      <w:pPr>
        <w:pStyle w:val="5"/>
        <w:bidi w:val="0"/>
        <w:rPr>
          <w:rFonts w:hint="eastAsia" w:ascii="仿宋_GB2312" w:hAnsi="仿宋_GB2312" w:eastAsia="仿宋_GB2312" w:cs="仿宋_GB2312"/>
          <w:sz w:val="24"/>
          <w:szCs w:val="24"/>
          <w:highlight w:val="none"/>
          <w:lang w:val="en-US" w:eastAsia="zh-CN"/>
        </w:rPr>
      </w:pPr>
    </w:p>
    <w:p w14:paraId="1B8E18B8">
      <w:pPr>
        <w:pStyle w:val="5"/>
        <w:bidi w:val="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1.3具体清洁要求</w:t>
      </w:r>
    </w:p>
    <w:tbl>
      <w:tblPr>
        <w:tblStyle w:val="15"/>
        <w:tblW w:w="4774" w:type="pct"/>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1918"/>
        <w:gridCol w:w="5687"/>
      </w:tblGrid>
      <w:tr w14:paraId="26BD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noWrap w:val="0"/>
            <w:vAlign w:val="center"/>
          </w:tcPr>
          <w:p w14:paraId="37FB92C8">
            <w:pPr>
              <w:widowControl w:val="0"/>
              <w:jc w:val="center"/>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序号</w:t>
            </w:r>
          </w:p>
        </w:tc>
        <w:tc>
          <w:tcPr>
            <w:tcW w:w="3361" w:type="dxa"/>
            <w:noWrap w:val="0"/>
            <w:vAlign w:val="center"/>
          </w:tcPr>
          <w:p w14:paraId="051F424B">
            <w:pPr>
              <w:widowControl w:val="0"/>
              <w:jc w:val="center"/>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材质</w:t>
            </w:r>
          </w:p>
        </w:tc>
        <w:tc>
          <w:tcPr>
            <w:tcW w:w="9935" w:type="dxa"/>
            <w:noWrap w:val="0"/>
            <w:vAlign w:val="center"/>
          </w:tcPr>
          <w:p w14:paraId="17BE959E">
            <w:pPr>
              <w:widowControl w:val="0"/>
              <w:jc w:val="center"/>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清洁要求</w:t>
            </w:r>
          </w:p>
        </w:tc>
      </w:tr>
      <w:tr w14:paraId="461A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restart"/>
            <w:noWrap w:val="0"/>
            <w:vAlign w:val="center"/>
          </w:tcPr>
          <w:p w14:paraId="7C97E341">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w:t>
            </w:r>
          </w:p>
        </w:tc>
        <w:tc>
          <w:tcPr>
            <w:tcW w:w="3361" w:type="dxa"/>
            <w:vMerge w:val="restart"/>
            <w:noWrap w:val="0"/>
            <w:vAlign w:val="center"/>
          </w:tcPr>
          <w:p w14:paraId="4881ACF5">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环氧地坪地面</w:t>
            </w:r>
          </w:p>
        </w:tc>
        <w:tc>
          <w:tcPr>
            <w:tcW w:w="9935" w:type="dxa"/>
            <w:noWrap w:val="0"/>
            <w:vAlign w:val="center"/>
          </w:tcPr>
          <w:p w14:paraId="5BF86418">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w:t>
            </w:r>
            <w:r>
              <w:rPr>
                <w:rFonts w:hint="eastAsia" w:ascii="仿宋_GB2312" w:hAnsi="仿宋_GB2312" w:eastAsia="仿宋_GB2312" w:cs="仿宋_GB2312"/>
                <w:sz w:val="24"/>
                <w:szCs w:val="24"/>
                <w:highlight w:val="none"/>
                <w:vertAlign w:val="baseline"/>
                <w:lang w:val="en-US" w:eastAsia="zh-CN"/>
              </w:rPr>
              <w:t>清理垃圾：清理地面上的垃圾和杂物。</w:t>
            </w:r>
          </w:p>
        </w:tc>
      </w:tr>
      <w:tr w14:paraId="6DAE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continue"/>
            <w:noWrap w:val="0"/>
            <w:vAlign w:val="center"/>
          </w:tcPr>
          <w:p w14:paraId="7B9C223D">
            <w:pPr>
              <w:widowControl w:val="0"/>
              <w:jc w:val="center"/>
              <w:rPr>
                <w:rFonts w:hint="eastAsia" w:ascii="仿宋_GB2312" w:hAnsi="仿宋_GB2312" w:eastAsia="仿宋_GB2312" w:cs="仿宋_GB2312"/>
                <w:sz w:val="24"/>
                <w:szCs w:val="24"/>
                <w:highlight w:val="none"/>
                <w:vertAlign w:val="baseline"/>
                <w:lang w:val="en-US" w:eastAsia="zh-CN"/>
              </w:rPr>
            </w:pPr>
          </w:p>
        </w:tc>
        <w:tc>
          <w:tcPr>
            <w:tcW w:w="3361" w:type="dxa"/>
            <w:vMerge w:val="continue"/>
            <w:noWrap w:val="0"/>
            <w:vAlign w:val="center"/>
          </w:tcPr>
          <w:p w14:paraId="34BBC0E4">
            <w:pPr>
              <w:widowControl w:val="0"/>
              <w:jc w:val="both"/>
              <w:rPr>
                <w:rFonts w:hint="eastAsia" w:ascii="仿宋_GB2312" w:hAnsi="仿宋_GB2312" w:eastAsia="仿宋_GB2312" w:cs="仿宋_GB2312"/>
                <w:sz w:val="24"/>
                <w:szCs w:val="24"/>
                <w:highlight w:val="none"/>
                <w:vertAlign w:val="baseline"/>
                <w:lang w:val="en-US" w:eastAsia="zh-CN"/>
              </w:rPr>
            </w:pPr>
          </w:p>
        </w:tc>
        <w:tc>
          <w:tcPr>
            <w:tcW w:w="9935" w:type="dxa"/>
            <w:noWrap w:val="0"/>
            <w:vAlign w:val="center"/>
          </w:tcPr>
          <w:p w14:paraId="673301C5">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w:t>
            </w:r>
            <w:r>
              <w:rPr>
                <w:rFonts w:hint="eastAsia" w:ascii="仿宋_GB2312" w:hAnsi="仿宋_GB2312" w:eastAsia="仿宋_GB2312" w:cs="仿宋_GB2312"/>
                <w:sz w:val="24"/>
                <w:szCs w:val="24"/>
                <w:highlight w:val="none"/>
                <w:vertAlign w:val="baseline"/>
                <w:lang w:val="en-US" w:eastAsia="zh-CN"/>
              </w:rPr>
              <w:t>清洗地面：用专业的清洁剂或去污剂清洗地面。清洁剂和去污剂的选取要根据污垢的性质而定。环氧地坪一般使用弱酸性或弱碱性的清洁剂，避免使用酸性或碱性强的清洁剂。</w:t>
            </w:r>
          </w:p>
        </w:tc>
      </w:tr>
      <w:tr w14:paraId="4D4E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continue"/>
            <w:noWrap w:val="0"/>
            <w:vAlign w:val="center"/>
          </w:tcPr>
          <w:p w14:paraId="23BACFB9">
            <w:pPr>
              <w:widowControl w:val="0"/>
              <w:jc w:val="center"/>
              <w:rPr>
                <w:rFonts w:hint="eastAsia" w:ascii="仿宋_GB2312" w:hAnsi="仿宋_GB2312" w:eastAsia="仿宋_GB2312" w:cs="仿宋_GB2312"/>
                <w:sz w:val="24"/>
                <w:szCs w:val="24"/>
                <w:highlight w:val="none"/>
                <w:vertAlign w:val="baseline"/>
                <w:lang w:val="en-US" w:eastAsia="zh-CN"/>
              </w:rPr>
            </w:pPr>
          </w:p>
        </w:tc>
        <w:tc>
          <w:tcPr>
            <w:tcW w:w="3361" w:type="dxa"/>
            <w:vMerge w:val="continue"/>
            <w:noWrap w:val="0"/>
            <w:vAlign w:val="center"/>
          </w:tcPr>
          <w:p w14:paraId="54CC0B4C">
            <w:pPr>
              <w:widowControl w:val="0"/>
              <w:jc w:val="both"/>
              <w:rPr>
                <w:rFonts w:hint="eastAsia" w:ascii="仿宋_GB2312" w:hAnsi="仿宋_GB2312" w:eastAsia="仿宋_GB2312" w:cs="仿宋_GB2312"/>
                <w:sz w:val="24"/>
                <w:szCs w:val="24"/>
                <w:highlight w:val="none"/>
                <w:vertAlign w:val="baseline"/>
                <w:lang w:val="en-US" w:eastAsia="zh-CN"/>
              </w:rPr>
            </w:pPr>
          </w:p>
        </w:tc>
        <w:tc>
          <w:tcPr>
            <w:tcW w:w="9935" w:type="dxa"/>
            <w:noWrap w:val="0"/>
            <w:vAlign w:val="center"/>
          </w:tcPr>
          <w:p w14:paraId="7D07D1C1">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（3）</w:t>
            </w:r>
            <w:r>
              <w:rPr>
                <w:rFonts w:hint="eastAsia" w:ascii="仿宋_GB2312" w:hAnsi="仿宋_GB2312" w:eastAsia="仿宋_GB2312" w:cs="仿宋_GB2312"/>
                <w:sz w:val="24"/>
                <w:szCs w:val="24"/>
                <w:highlight w:val="none"/>
                <w:vertAlign w:val="baseline"/>
                <w:lang w:val="en-US" w:eastAsia="zh-CN"/>
              </w:rPr>
              <w:t>滚刷或颗粒机进行深层清洗：对于顽固沉积物，需要使用滚刷或颗粒机进行深层清洗。</w:t>
            </w:r>
          </w:p>
        </w:tc>
      </w:tr>
      <w:tr w14:paraId="36DA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continue"/>
            <w:noWrap w:val="0"/>
            <w:vAlign w:val="center"/>
          </w:tcPr>
          <w:p w14:paraId="76417C05">
            <w:pPr>
              <w:widowControl w:val="0"/>
              <w:jc w:val="center"/>
              <w:rPr>
                <w:rFonts w:hint="eastAsia" w:ascii="仿宋_GB2312" w:hAnsi="仿宋_GB2312" w:eastAsia="仿宋_GB2312" w:cs="仿宋_GB2312"/>
                <w:sz w:val="24"/>
                <w:szCs w:val="24"/>
                <w:highlight w:val="none"/>
                <w:vertAlign w:val="baseline"/>
                <w:lang w:val="en-US" w:eastAsia="zh-CN"/>
              </w:rPr>
            </w:pPr>
          </w:p>
        </w:tc>
        <w:tc>
          <w:tcPr>
            <w:tcW w:w="3361" w:type="dxa"/>
            <w:vMerge w:val="continue"/>
            <w:noWrap w:val="0"/>
            <w:vAlign w:val="center"/>
          </w:tcPr>
          <w:p w14:paraId="31216B21">
            <w:pPr>
              <w:widowControl w:val="0"/>
              <w:jc w:val="both"/>
              <w:rPr>
                <w:rFonts w:hint="eastAsia" w:ascii="仿宋_GB2312" w:hAnsi="仿宋_GB2312" w:eastAsia="仿宋_GB2312" w:cs="仿宋_GB2312"/>
                <w:sz w:val="24"/>
                <w:szCs w:val="24"/>
                <w:highlight w:val="none"/>
                <w:vertAlign w:val="baseline"/>
                <w:lang w:val="en-US" w:eastAsia="zh-CN"/>
              </w:rPr>
            </w:pPr>
          </w:p>
        </w:tc>
        <w:tc>
          <w:tcPr>
            <w:tcW w:w="9935" w:type="dxa"/>
            <w:noWrap w:val="0"/>
            <w:vAlign w:val="center"/>
          </w:tcPr>
          <w:p w14:paraId="15BA2925">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（4）</w:t>
            </w:r>
            <w:r>
              <w:rPr>
                <w:rFonts w:hint="eastAsia" w:ascii="仿宋_GB2312" w:hAnsi="仿宋_GB2312" w:eastAsia="仿宋_GB2312" w:cs="仿宋_GB2312"/>
                <w:sz w:val="24"/>
                <w:szCs w:val="24"/>
                <w:highlight w:val="none"/>
                <w:vertAlign w:val="baseline"/>
                <w:lang w:val="en-US" w:eastAsia="zh-CN"/>
              </w:rPr>
              <w:t>浸泡：将清洁剂或去污剂浸泡在环氧地坪上，加强去除污渍的效果。</w:t>
            </w:r>
          </w:p>
        </w:tc>
      </w:tr>
      <w:tr w14:paraId="1F16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continue"/>
            <w:noWrap w:val="0"/>
            <w:vAlign w:val="center"/>
          </w:tcPr>
          <w:p w14:paraId="50C24482">
            <w:pPr>
              <w:widowControl w:val="0"/>
              <w:jc w:val="center"/>
              <w:rPr>
                <w:rFonts w:hint="eastAsia" w:ascii="仿宋_GB2312" w:hAnsi="仿宋_GB2312" w:eastAsia="仿宋_GB2312" w:cs="仿宋_GB2312"/>
                <w:sz w:val="24"/>
                <w:szCs w:val="24"/>
                <w:highlight w:val="none"/>
                <w:vertAlign w:val="baseline"/>
                <w:lang w:val="en-US" w:eastAsia="zh-CN"/>
              </w:rPr>
            </w:pPr>
          </w:p>
        </w:tc>
        <w:tc>
          <w:tcPr>
            <w:tcW w:w="3361" w:type="dxa"/>
            <w:vMerge w:val="continue"/>
            <w:noWrap w:val="0"/>
            <w:vAlign w:val="center"/>
          </w:tcPr>
          <w:p w14:paraId="44C3EF1A">
            <w:pPr>
              <w:widowControl w:val="0"/>
              <w:jc w:val="both"/>
              <w:rPr>
                <w:rFonts w:hint="eastAsia" w:ascii="仿宋_GB2312" w:hAnsi="仿宋_GB2312" w:eastAsia="仿宋_GB2312" w:cs="仿宋_GB2312"/>
                <w:sz w:val="24"/>
                <w:szCs w:val="24"/>
                <w:highlight w:val="none"/>
                <w:vertAlign w:val="baseline"/>
                <w:lang w:val="en-US" w:eastAsia="zh-CN"/>
              </w:rPr>
            </w:pPr>
          </w:p>
        </w:tc>
        <w:tc>
          <w:tcPr>
            <w:tcW w:w="9935" w:type="dxa"/>
            <w:noWrap w:val="0"/>
            <w:vAlign w:val="center"/>
          </w:tcPr>
          <w:p w14:paraId="47EFC7C6">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（5）</w:t>
            </w:r>
            <w:r>
              <w:rPr>
                <w:rFonts w:hint="eastAsia" w:ascii="仿宋_GB2312" w:hAnsi="仿宋_GB2312" w:eastAsia="仿宋_GB2312" w:cs="仿宋_GB2312"/>
                <w:sz w:val="24"/>
                <w:szCs w:val="24"/>
                <w:highlight w:val="none"/>
                <w:vertAlign w:val="baseline"/>
                <w:lang w:val="en-US" w:eastAsia="zh-CN"/>
              </w:rPr>
              <w:t>冲洗：用清水将地面冲洗干净，以去除残留的清洁剂或去污剂。</w:t>
            </w:r>
          </w:p>
        </w:tc>
      </w:tr>
      <w:tr w14:paraId="26A0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restart"/>
            <w:noWrap w:val="0"/>
            <w:vAlign w:val="center"/>
          </w:tcPr>
          <w:p w14:paraId="3335A13C">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w:t>
            </w:r>
          </w:p>
        </w:tc>
        <w:tc>
          <w:tcPr>
            <w:tcW w:w="3361" w:type="dxa"/>
            <w:vMerge w:val="restart"/>
            <w:noWrap w:val="0"/>
            <w:vAlign w:val="center"/>
          </w:tcPr>
          <w:p w14:paraId="606A0621">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耐磨漆地面</w:t>
            </w:r>
          </w:p>
        </w:tc>
        <w:tc>
          <w:tcPr>
            <w:tcW w:w="9935" w:type="dxa"/>
            <w:noWrap w:val="0"/>
            <w:vAlign w:val="center"/>
          </w:tcPr>
          <w:p w14:paraId="5623033F">
            <w:pPr>
              <w:widowControl w:val="0"/>
              <w:ind w:firstLine="240" w:firstLineChars="10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bCs w:val="0"/>
                <w:color w:val="auto"/>
                <w:kern w:val="0"/>
                <w:sz w:val="24"/>
                <w:szCs w:val="24"/>
                <w:highlight w:val="none"/>
                <w:lang w:val="en-US" w:eastAsia="zh-CN"/>
              </w:rPr>
              <w:t>（1）</w:t>
            </w:r>
            <w:r>
              <w:rPr>
                <w:rFonts w:hint="eastAsia" w:ascii="仿宋_GB2312" w:hAnsi="仿宋_GB2312" w:eastAsia="仿宋_GB2312" w:cs="仿宋_GB2312"/>
                <w:sz w:val="24"/>
                <w:szCs w:val="24"/>
                <w:highlight w:val="none"/>
              </w:rPr>
              <w:t>日常清洁：使用软质拖把或地板清洁机，配合清水和中性清洁剂进行清洁。避免使用酸性或碱性清洁剂，以免损坏地面表面。定期清理地面上的污渍和杂物，保持地面干净整洁。</w:t>
            </w:r>
          </w:p>
        </w:tc>
      </w:tr>
      <w:tr w14:paraId="5AA5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continue"/>
            <w:noWrap w:val="0"/>
            <w:vAlign w:val="center"/>
          </w:tcPr>
          <w:p w14:paraId="1895C658">
            <w:pPr>
              <w:widowControl w:val="0"/>
              <w:jc w:val="center"/>
              <w:rPr>
                <w:rFonts w:hint="eastAsia" w:ascii="仿宋_GB2312" w:hAnsi="仿宋_GB2312" w:eastAsia="仿宋_GB2312" w:cs="仿宋_GB2312"/>
                <w:sz w:val="24"/>
                <w:szCs w:val="24"/>
                <w:highlight w:val="none"/>
                <w:vertAlign w:val="baseline"/>
                <w:lang w:val="en-US" w:eastAsia="zh-CN"/>
              </w:rPr>
            </w:pPr>
          </w:p>
        </w:tc>
        <w:tc>
          <w:tcPr>
            <w:tcW w:w="3361" w:type="dxa"/>
            <w:vMerge w:val="continue"/>
            <w:noWrap w:val="0"/>
            <w:vAlign w:val="center"/>
          </w:tcPr>
          <w:p w14:paraId="4E145365">
            <w:pPr>
              <w:widowControl w:val="0"/>
              <w:jc w:val="both"/>
              <w:rPr>
                <w:rFonts w:hint="eastAsia" w:ascii="仿宋_GB2312" w:hAnsi="仿宋_GB2312" w:eastAsia="仿宋_GB2312" w:cs="仿宋_GB2312"/>
                <w:sz w:val="24"/>
                <w:szCs w:val="24"/>
                <w:highlight w:val="none"/>
                <w:vertAlign w:val="baseline"/>
                <w:lang w:val="en-US" w:eastAsia="zh-CN"/>
              </w:rPr>
            </w:pPr>
          </w:p>
        </w:tc>
        <w:tc>
          <w:tcPr>
            <w:tcW w:w="9935" w:type="dxa"/>
            <w:noWrap w:val="0"/>
            <w:vAlign w:val="center"/>
          </w:tcPr>
          <w:p w14:paraId="206D63B9">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w:t>
            </w:r>
            <w:r>
              <w:rPr>
                <w:rFonts w:hint="eastAsia" w:ascii="仿宋_GB2312" w:hAnsi="仿宋_GB2312" w:eastAsia="仿宋_GB2312" w:cs="仿宋_GB2312"/>
                <w:sz w:val="24"/>
                <w:szCs w:val="24"/>
                <w:highlight w:val="none"/>
              </w:rPr>
              <w:t>打蜡：为了增加耐磨地面的光亮度和耐磨性，可以进行打蜡处理。使用适合聚氨酯地面的蜡进行均匀涂抹，待蜡干燥后使用抛光机或拖把清理地面，使其变得光滑而有光泽。</w:t>
            </w:r>
          </w:p>
        </w:tc>
      </w:tr>
      <w:tr w14:paraId="525B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restart"/>
            <w:noWrap w:val="0"/>
            <w:vAlign w:val="center"/>
          </w:tcPr>
          <w:p w14:paraId="1024DF34">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w:t>
            </w:r>
          </w:p>
        </w:tc>
        <w:tc>
          <w:tcPr>
            <w:tcW w:w="3361" w:type="dxa"/>
            <w:vMerge w:val="restart"/>
            <w:noWrap w:val="0"/>
            <w:vAlign w:val="center"/>
          </w:tcPr>
          <w:p w14:paraId="27AEBBB4">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瓷砖地面</w:t>
            </w:r>
          </w:p>
        </w:tc>
        <w:tc>
          <w:tcPr>
            <w:tcW w:w="9935" w:type="dxa"/>
            <w:noWrap w:val="0"/>
            <w:vAlign w:val="center"/>
          </w:tcPr>
          <w:p w14:paraId="5ED95F9B">
            <w:pPr>
              <w:widowControl w:val="0"/>
              <w:ind w:firstLine="240" w:firstLineChars="10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w:t>
            </w:r>
            <w:r>
              <w:rPr>
                <w:rFonts w:hint="eastAsia" w:ascii="仿宋_GB2312" w:hAnsi="仿宋_GB2312" w:eastAsia="仿宋_GB2312" w:cs="仿宋_GB2312"/>
                <w:sz w:val="24"/>
                <w:szCs w:val="24"/>
                <w:highlight w:val="none"/>
              </w:rPr>
              <w:t>日常清洁：</w:t>
            </w:r>
            <w:r>
              <w:rPr>
                <w:rFonts w:hint="eastAsia" w:ascii="仿宋_GB2312" w:hAnsi="仿宋_GB2312" w:eastAsia="仿宋_GB2312" w:cs="仿宋_GB2312"/>
                <w:sz w:val="24"/>
                <w:szCs w:val="24"/>
                <w:highlight w:val="none"/>
                <w:lang w:val="en-US" w:eastAsia="zh-CN"/>
              </w:rPr>
              <w:t>推尘，保持地面干净无杂物。</w:t>
            </w:r>
          </w:p>
        </w:tc>
      </w:tr>
      <w:tr w14:paraId="384A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continue"/>
            <w:noWrap w:val="0"/>
            <w:vAlign w:val="center"/>
          </w:tcPr>
          <w:p w14:paraId="1236CD90">
            <w:pPr>
              <w:widowControl w:val="0"/>
              <w:jc w:val="center"/>
              <w:rPr>
                <w:rFonts w:hint="eastAsia" w:ascii="仿宋_GB2312" w:hAnsi="仿宋_GB2312" w:eastAsia="仿宋_GB2312" w:cs="仿宋_GB2312"/>
                <w:sz w:val="24"/>
                <w:szCs w:val="24"/>
                <w:highlight w:val="none"/>
                <w:vertAlign w:val="baseline"/>
                <w:lang w:val="en-US" w:eastAsia="zh-CN"/>
              </w:rPr>
            </w:pPr>
          </w:p>
        </w:tc>
        <w:tc>
          <w:tcPr>
            <w:tcW w:w="3361" w:type="dxa"/>
            <w:vMerge w:val="continue"/>
            <w:noWrap w:val="0"/>
            <w:vAlign w:val="center"/>
          </w:tcPr>
          <w:p w14:paraId="2EA25C65">
            <w:pPr>
              <w:widowControl w:val="0"/>
              <w:jc w:val="both"/>
              <w:rPr>
                <w:rFonts w:hint="eastAsia" w:ascii="仿宋_GB2312" w:hAnsi="仿宋_GB2312" w:eastAsia="仿宋_GB2312" w:cs="仿宋_GB2312"/>
                <w:sz w:val="24"/>
                <w:szCs w:val="24"/>
                <w:highlight w:val="none"/>
                <w:vertAlign w:val="baseline"/>
                <w:lang w:val="en-US" w:eastAsia="zh-CN"/>
              </w:rPr>
            </w:pPr>
          </w:p>
        </w:tc>
        <w:tc>
          <w:tcPr>
            <w:tcW w:w="9935" w:type="dxa"/>
            <w:noWrap w:val="0"/>
            <w:vAlign w:val="center"/>
          </w:tcPr>
          <w:p w14:paraId="67B81087">
            <w:pPr>
              <w:widowControl w:val="0"/>
              <w:ind w:firstLine="240" w:firstLineChars="10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w:t>
            </w:r>
            <w:r>
              <w:rPr>
                <w:rFonts w:hint="eastAsia" w:ascii="仿宋_GB2312" w:hAnsi="仿宋_GB2312" w:eastAsia="仿宋_GB2312" w:cs="仿宋_GB2312"/>
                <w:sz w:val="24"/>
                <w:szCs w:val="24"/>
                <w:highlight w:val="none"/>
                <w:lang w:val="en-US" w:eastAsia="zh-CN"/>
              </w:rPr>
              <w:t>深度清洁：使用洗洁精或肥皂水清理。</w:t>
            </w:r>
          </w:p>
        </w:tc>
      </w:tr>
      <w:tr w14:paraId="6F54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restart"/>
            <w:noWrap w:val="0"/>
            <w:vAlign w:val="center"/>
          </w:tcPr>
          <w:p w14:paraId="2EC967D7">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4</w:t>
            </w:r>
          </w:p>
        </w:tc>
        <w:tc>
          <w:tcPr>
            <w:tcW w:w="3361" w:type="dxa"/>
            <w:vMerge w:val="restart"/>
            <w:noWrap w:val="0"/>
            <w:vAlign w:val="center"/>
          </w:tcPr>
          <w:p w14:paraId="620B860B">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石材地面</w:t>
            </w:r>
          </w:p>
        </w:tc>
        <w:tc>
          <w:tcPr>
            <w:tcW w:w="9935" w:type="dxa"/>
            <w:noWrap w:val="0"/>
            <w:vAlign w:val="center"/>
          </w:tcPr>
          <w:p w14:paraId="0C991D0C">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w:t>
            </w:r>
            <w:r>
              <w:rPr>
                <w:rFonts w:hint="eastAsia" w:ascii="仿宋_GB2312" w:hAnsi="仿宋_GB2312" w:eastAsia="仿宋_GB2312" w:cs="仿宋_GB2312"/>
                <w:sz w:val="24"/>
                <w:szCs w:val="24"/>
                <w:highlight w:val="none"/>
                <w:vertAlign w:val="baseline"/>
                <w:lang w:val="en-US" w:eastAsia="zh-CN"/>
              </w:rPr>
              <w:t>根据各区域的人流量及大理石的实际磨损程度制定大理石的晶面保养计划。</w:t>
            </w:r>
          </w:p>
        </w:tc>
      </w:tr>
      <w:tr w14:paraId="5B19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continue"/>
            <w:noWrap w:val="0"/>
            <w:vAlign w:val="center"/>
          </w:tcPr>
          <w:p w14:paraId="4B51EF20">
            <w:pPr>
              <w:widowControl w:val="0"/>
              <w:jc w:val="center"/>
              <w:rPr>
                <w:rFonts w:hint="eastAsia" w:ascii="仿宋_GB2312" w:hAnsi="仿宋_GB2312" w:eastAsia="仿宋_GB2312" w:cs="仿宋_GB2312"/>
                <w:sz w:val="24"/>
                <w:szCs w:val="24"/>
                <w:highlight w:val="none"/>
                <w:vertAlign w:val="baseline"/>
                <w:lang w:val="en-US" w:eastAsia="zh-CN"/>
              </w:rPr>
            </w:pPr>
          </w:p>
        </w:tc>
        <w:tc>
          <w:tcPr>
            <w:tcW w:w="3361" w:type="dxa"/>
            <w:vMerge w:val="continue"/>
            <w:noWrap w:val="0"/>
            <w:vAlign w:val="center"/>
          </w:tcPr>
          <w:p w14:paraId="53D38C80">
            <w:pPr>
              <w:widowControl w:val="0"/>
              <w:jc w:val="both"/>
              <w:rPr>
                <w:rFonts w:hint="eastAsia" w:ascii="仿宋_GB2312" w:hAnsi="仿宋_GB2312" w:eastAsia="仿宋_GB2312" w:cs="仿宋_GB2312"/>
                <w:sz w:val="24"/>
                <w:szCs w:val="24"/>
                <w:highlight w:val="none"/>
                <w:vertAlign w:val="baseline"/>
                <w:lang w:val="en-US" w:eastAsia="zh-CN"/>
              </w:rPr>
            </w:pPr>
          </w:p>
        </w:tc>
        <w:tc>
          <w:tcPr>
            <w:tcW w:w="9935" w:type="dxa"/>
            <w:noWrap w:val="0"/>
            <w:vAlign w:val="center"/>
          </w:tcPr>
          <w:p w14:paraId="44A7F4EB">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（2）启动晶面机，使用中性清洁剂清洁，避免使用强酸或强碱清洁剂，定期进行基础维护。</w:t>
            </w:r>
          </w:p>
        </w:tc>
      </w:tr>
      <w:tr w14:paraId="3DDC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restart"/>
            <w:noWrap w:val="0"/>
            <w:vAlign w:val="center"/>
          </w:tcPr>
          <w:p w14:paraId="7A4DAEB7">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5</w:t>
            </w:r>
          </w:p>
        </w:tc>
        <w:tc>
          <w:tcPr>
            <w:tcW w:w="3361" w:type="dxa"/>
            <w:vMerge w:val="restart"/>
            <w:noWrap w:val="0"/>
            <w:vAlign w:val="center"/>
          </w:tcPr>
          <w:p w14:paraId="712719D7">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水磨石地面</w:t>
            </w:r>
          </w:p>
        </w:tc>
        <w:tc>
          <w:tcPr>
            <w:tcW w:w="9935" w:type="dxa"/>
            <w:noWrap w:val="0"/>
            <w:vAlign w:val="center"/>
          </w:tcPr>
          <w:p w14:paraId="63C8B9C2">
            <w:pPr>
              <w:widowControl w:val="0"/>
              <w:ind w:firstLine="240" w:firstLineChars="10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w:t>
            </w:r>
            <w:r>
              <w:rPr>
                <w:rFonts w:hint="eastAsia" w:ascii="仿宋_GB2312" w:hAnsi="仿宋_GB2312" w:eastAsia="仿宋_GB2312" w:cs="仿宋_GB2312"/>
                <w:sz w:val="24"/>
                <w:szCs w:val="24"/>
                <w:highlight w:val="none"/>
              </w:rPr>
              <w:t>日常清洁：</w:t>
            </w:r>
            <w:r>
              <w:rPr>
                <w:rFonts w:hint="eastAsia" w:ascii="仿宋_GB2312" w:hAnsi="仿宋_GB2312" w:eastAsia="仿宋_GB2312" w:cs="仿宋_GB2312"/>
                <w:sz w:val="24"/>
                <w:szCs w:val="24"/>
                <w:highlight w:val="none"/>
                <w:lang w:val="en-US" w:eastAsia="zh-CN"/>
              </w:rPr>
              <w:t>推尘，保持地面干净无杂物。</w:t>
            </w:r>
          </w:p>
        </w:tc>
      </w:tr>
      <w:tr w14:paraId="752E9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continue"/>
            <w:noWrap w:val="0"/>
            <w:vAlign w:val="center"/>
          </w:tcPr>
          <w:p w14:paraId="715F6800">
            <w:pPr>
              <w:widowControl w:val="0"/>
              <w:jc w:val="center"/>
              <w:rPr>
                <w:rFonts w:hint="eastAsia" w:ascii="仿宋_GB2312" w:hAnsi="仿宋_GB2312" w:eastAsia="仿宋_GB2312" w:cs="仿宋_GB2312"/>
                <w:sz w:val="24"/>
                <w:szCs w:val="24"/>
                <w:highlight w:val="none"/>
                <w:vertAlign w:val="baseline"/>
                <w:lang w:val="en-US" w:eastAsia="zh-CN"/>
              </w:rPr>
            </w:pPr>
          </w:p>
        </w:tc>
        <w:tc>
          <w:tcPr>
            <w:tcW w:w="3361" w:type="dxa"/>
            <w:vMerge w:val="continue"/>
            <w:noWrap w:val="0"/>
            <w:vAlign w:val="center"/>
          </w:tcPr>
          <w:p w14:paraId="237551B5">
            <w:pPr>
              <w:widowControl w:val="0"/>
              <w:jc w:val="both"/>
              <w:rPr>
                <w:rFonts w:hint="eastAsia" w:ascii="仿宋_GB2312" w:hAnsi="仿宋_GB2312" w:eastAsia="仿宋_GB2312" w:cs="仿宋_GB2312"/>
                <w:sz w:val="24"/>
                <w:szCs w:val="24"/>
                <w:highlight w:val="none"/>
                <w:vertAlign w:val="baseline"/>
                <w:lang w:val="en-US" w:eastAsia="zh-CN"/>
              </w:rPr>
            </w:pPr>
          </w:p>
        </w:tc>
        <w:tc>
          <w:tcPr>
            <w:tcW w:w="9935" w:type="dxa"/>
            <w:noWrap w:val="0"/>
            <w:vAlign w:val="center"/>
          </w:tcPr>
          <w:p w14:paraId="196A3FA3">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w:t>
            </w:r>
            <w:r>
              <w:rPr>
                <w:rFonts w:hint="eastAsia" w:ascii="仿宋_GB2312" w:hAnsi="仿宋_GB2312" w:eastAsia="仿宋_GB2312" w:cs="仿宋_GB2312"/>
                <w:sz w:val="24"/>
                <w:szCs w:val="24"/>
                <w:highlight w:val="none"/>
                <w:lang w:val="en-US" w:eastAsia="zh-CN"/>
              </w:rPr>
              <w:t>深度清洁：使用洗洁精或肥皂水清理。</w:t>
            </w:r>
          </w:p>
        </w:tc>
      </w:tr>
      <w:tr w14:paraId="5DD6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restart"/>
            <w:noWrap w:val="0"/>
            <w:vAlign w:val="center"/>
          </w:tcPr>
          <w:p w14:paraId="2F289637">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6</w:t>
            </w:r>
          </w:p>
        </w:tc>
        <w:tc>
          <w:tcPr>
            <w:tcW w:w="3361" w:type="dxa"/>
            <w:vMerge w:val="restart"/>
            <w:noWrap w:val="0"/>
            <w:vAlign w:val="center"/>
          </w:tcPr>
          <w:p w14:paraId="6C7BC6C5">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地胶板地面</w:t>
            </w:r>
          </w:p>
        </w:tc>
        <w:tc>
          <w:tcPr>
            <w:tcW w:w="9935" w:type="dxa"/>
            <w:noWrap w:val="0"/>
            <w:vAlign w:val="center"/>
          </w:tcPr>
          <w:p w14:paraId="11B3B75A">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color w:val="auto"/>
                <w:kern w:val="0"/>
                <w:sz w:val="24"/>
                <w:szCs w:val="24"/>
                <w:highlight w:val="none"/>
                <w:lang w:val="en-US" w:eastAsia="zh-CN"/>
              </w:rPr>
              <w:sym w:font="Wingdings 2" w:char="00A3"/>
            </w:r>
            <w:r>
              <w:rPr>
                <w:rFonts w:hint="eastAsia" w:ascii="仿宋_GB2312" w:hAnsi="仿宋_GB2312" w:eastAsia="仿宋_GB2312" w:cs="仿宋_GB2312"/>
                <w:b w:val="0"/>
                <w:bCs w:val="0"/>
                <w:color w:val="auto"/>
                <w:kern w:val="0"/>
                <w:sz w:val="24"/>
                <w:szCs w:val="24"/>
                <w:highlight w:val="none"/>
                <w:lang w:val="en-US" w:eastAsia="zh-CN"/>
              </w:rPr>
              <w:t xml:space="preserve"> （1）</w:t>
            </w:r>
            <w:r>
              <w:rPr>
                <w:rFonts w:hint="eastAsia" w:ascii="仿宋_GB2312" w:hAnsi="仿宋_GB2312" w:eastAsia="仿宋_GB2312" w:cs="仿宋_GB2312"/>
                <w:sz w:val="24"/>
                <w:szCs w:val="24"/>
                <w:highlight w:val="none"/>
                <w:vertAlign w:val="baseline"/>
                <w:lang w:val="en-US" w:eastAsia="zh-CN"/>
              </w:rPr>
              <w:t>定期保养。使用中性清洁剂清洁，避免使用强酸或强碱清洁剂，定期进行基础维护。</w:t>
            </w:r>
          </w:p>
        </w:tc>
      </w:tr>
      <w:tr w14:paraId="7A2CB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continue"/>
            <w:noWrap w:val="0"/>
            <w:vAlign w:val="center"/>
          </w:tcPr>
          <w:p w14:paraId="04CF18B5">
            <w:pPr>
              <w:widowControl w:val="0"/>
              <w:jc w:val="center"/>
              <w:rPr>
                <w:rFonts w:hint="eastAsia" w:ascii="仿宋_GB2312" w:hAnsi="仿宋_GB2312" w:eastAsia="仿宋_GB2312" w:cs="仿宋_GB2312"/>
                <w:sz w:val="24"/>
                <w:szCs w:val="24"/>
                <w:highlight w:val="none"/>
                <w:vertAlign w:val="baseline"/>
                <w:lang w:val="en-US" w:eastAsia="zh-CN"/>
              </w:rPr>
            </w:pPr>
          </w:p>
        </w:tc>
        <w:tc>
          <w:tcPr>
            <w:tcW w:w="3361" w:type="dxa"/>
            <w:vMerge w:val="continue"/>
            <w:noWrap w:val="0"/>
            <w:vAlign w:val="center"/>
          </w:tcPr>
          <w:p w14:paraId="7C764000">
            <w:pPr>
              <w:widowControl w:val="0"/>
              <w:jc w:val="both"/>
              <w:rPr>
                <w:rFonts w:hint="eastAsia" w:ascii="仿宋_GB2312" w:hAnsi="仿宋_GB2312" w:eastAsia="仿宋_GB2312" w:cs="仿宋_GB2312"/>
                <w:sz w:val="24"/>
                <w:szCs w:val="24"/>
                <w:highlight w:val="none"/>
                <w:vertAlign w:val="baseline"/>
                <w:lang w:val="en-US" w:eastAsia="zh-CN"/>
              </w:rPr>
            </w:pPr>
          </w:p>
        </w:tc>
        <w:tc>
          <w:tcPr>
            <w:tcW w:w="9935" w:type="dxa"/>
            <w:noWrap w:val="0"/>
            <w:vAlign w:val="center"/>
          </w:tcPr>
          <w:p w14:paraId="5D9B0FB0">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w:t>
            </w:r>
            <w:r>
              <w:rPr>
                <w:rFonts w:hint="eastAsia" w:ascii="仿宋_GB2312" w:hAnsi="仿宋_GB2312" w:eastAsia="仿宋_GB2312" w:cs="仿宋_GB2312"/>
                <w:sz w:val="24"/>
                <w:szCs w:val="24"/>
                <w:highlight w:val="none"/>
                <w:vertAlign w:val="baseline"/>
                <w:lang w:val="en-US" w:eastAsia="zh-CN"/>
              </w:rPr>
              <w:t>日常维护。使用湿润的拖把清洁，污染严重时局部清洁，每月对地胶板地面进行打蜡处理。</w:t>
            </w:r>
          </w:p>
        </w:tc>
      </w:tr>
      <w:tr w14:paraId="4BED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restart"/>
            <w:noWrap w:val="0"/>
            <w:vAlign w:val="center"/>
          </w:tcPr>
          <w:p w14:paraId="08497C63">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7</w:t>
            </w:r>
          </w:p>
        </w:tc>
        <w:tc>
          <w:tcPr>
            <w:tcW w:w="3361" w:type="dxa"/>
            <w:vMerge w:val="restart"/>
            <w:noWrap w:val="0"/>
            <w:vAlign w:val="center"/>
          </w:tcPr>
          <w:p w14:paraId="5B781294">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地板地面</w:t>
            </w:r>
          </w:p>
        </w:tc>
        <w:tc>
          <w:tcPr>
            <w:tcW w:w="9935" w:type="dxa"/>
            <w:noWrap w:val="0"/>
            <w:vAlign w:val="center"/>
          </w:tcPr>
          <w:p w14:paraId="7B6646A1">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w:t>
            </w:r>
            <w:r>
              <w:rPr>
                <w:rFonts w:hint="eastAsia" w:ascii="仿宋_GB2312" w:hAnsi="仿宋_GB2312" w:eastAsia="仿宋_GB2312" w:cs="仿宋_GB2312"/>
                <w:sz w:val="24"/>
                <w:szCs w:val="24"/>
                <w:highlight w:val="none"/>
                <w:vertAlign w:val="baseline"/>
                <w:lang w:val="en-US" w:eastAsia="zh-CN"/>
              </w:rPr>
              <w:t>定期保养。使用中性清洁剂清洁，避免使用强酸或强碱清洁剂，定期进行基础维护。</w:t>
            </w:r>
          </w:p>
        </w:tc>
      </w:tr>
      <w:tr w14:paraId="4D9FA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continue"/>
            <w:noWrap w:val="0"/>
            <w:vAlign w:val="center"/>
          </w:tcPr>
          <w:p w14:paraId="38DD012C">
            <w:pPr>
              <w:widowControl w:val="0"/>
              <w:jc w:val="center"/>
              <w:rPr>
                <w:rFonts w:hint="eastAsia" w:ascii="仿宋_GB2312" w:hAnsi="仿宋_GB2312" w:eastAsia="仿宋_GB2312" w:cs="仿宋_GB2312"/>
                <w:sz w:val="24"/>
                <w:szCs w:val="24"/>
                <w:highlight w:val="none"/>
                <w:vertAlign w:val="baseline"/>
                <w:lang w:val="en-US" w:eastAsia="zh-CN"/>
              </w:rPr>
            </w:pPr>
          </w:p>
        </w:tc>
        <w:tc>
          <w:tcPr>
            <w:tcW w:w="3361" w:type="dxa"/>
            <w:vMerge w:val="continue"/>
            <w:noWrap w:val="0"/>
            <w:vAlign w:val="center"/>
          </w:tcPr>
          <w:p w14:paraId="0CB14A96">
            <w:pPr>
              <w:widowControl w:val="0"/>
              <w:jc w:val="both"/>
              <w:rPr>
                <w:rFonts w:hint="eastAsia" w:ascii="仿宋_GB2312" w:hAnsi="仿宋_GB2312" w:eastAsia="仿宋_GB2312" w:cs="仿宋_GB2312"/>
                <w:sz w:val="24"/>
                <w:szCs w:val="24"/>
                <w:highlight w:val="none"/>
                <w:vertAlign w:val="baseline"/>
                <w:lang w:val="en-US" w:eastAsia="zh-CN"/>
              </w:rPr>
            </w:pPr>
          </w:p>
        </w:tc>
        <w:tc>
          <w:tcPr>
            <w:tcW w:w="9935" w:type="dxa"/>
            <w:noWrap w:val="0"/>
            <w:vAlign w:val="center"/>
          </w:tcPr>
          <w:p w14:paraId="277AA3FC">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w:t>
            </w:r>
            <w:r>
              <w:rPr>
                <w:rFonts w:hint="eastAsia" w:ascii="仿宋_GB2312" w:hAnsi="仿宋_GB2312" w:eastAsia="仿宋_GB2312" w:cs="仿宋_GB2312"/>
                <w:sz w:val="24"/>
                <w:szCs w:val="24"/>
                <w:highlight w:val="none"/>
                <w:vertAlign w:val="baseline"/>
                <w:lang w:val="en-US" w:eastAsia="zh-CN"/>
              </w:rPr>
              <w:t>日常维护。使用湿润的拖把清洁，污染严重时局部清洁，每月对地板进行打蜡处理。</w:t>
            </w:r>
          </w:p>
        </w:tc>
      </w:tr>
      <w:tr w14:paraId="0B15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restart"/>
            <w:noWrap w:val="0"/>
            <w:vAlign w:val="center"/>
          </w:tcPr>
          <w:p w14:paraId="186C2A38">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8</w:t>
            </w:r>
          </w:p>
        </w:tc>
        <w:tc>
          <w:tcPr>
            <w:tcW w:w="3361" w:type="dxa"/>
            <w:vMerge w:val="restart"/>
            <w:noWrap w:val="0"/>
            <w:vAlign w:val="center"/>
          </w:tcPr>
          <w:p w14:paraId="2CA9C272">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地毯地面</w:t>
            </w:r>
          </w:p>
        </w:tc>
        <w:tc>
          <w:tcPr>
            <w:tcW w:w="9935" w:type="dxa"/>
            <w:noWrap w:val="0"/>
            <w:vAlign w:val="center"/>
          </w:tcPr>
          <w:p w14:paraId="3CE4659A">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w:t>
            </w:r>
            <w:r>
              <w:rPr>
                <w:rFonts w:hint="eastAsia" w:ascii="仿宋_GB2312" w:hAnsi="仿宋_GB2312" w:eastAsia="仿宋_GB2312" w:cs="仿宋_GB2312"/>
                <w:sz w:val="24"/>
                <w:szCs w:val="24"/>
                <w:highlight w:val="none"/>
                <w:vertAlign w:val="baseline"/>
                <w:lang w:val="en-US" w:eastAsia="zh-CN"/>
              </w:rPr>
              <w:t>日常用吸尘机除尘，局部脏污用湿布配中性清洁液重点清洁。</w:t>
            </w:r>
          </w:p>
        </w:tc>
      </w:tr>
      <w:tr w14:paraId="0C2C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continue"/>
            <w:noWrap w:val="0"/>
            <w:vAlign w:val="center"/>
          </w:tcPr>
          <w:p w14:paraId="084454AB">
            <w:pPr>
              <w:widowControl w:val="0"/>
              <w:jc w:val="center"/>
              <w:rPr>
                <w:rFonts w:hint="eastAsia" w:ascii="仿宋_GB2312" w:hAnsi="仿宋_GB2312" w:eastAsia="仿宋_GB2312" w:cs="仿宋_GB2312"/>
                <w:sz w:val="24"/>
                <w:szCs w:val="24"/>
                <w:highlight w:val="none"/>
                <w:vertAlign w:val="baseline"/>
                <w:lang w:val="en-US" w:eastAsia="zh-CN"/>
              </w:rPr>
            </w:pPr>
          </w:p>
        </w:tc>
        <w:tc>
          <w:tcPr>
            <w:tcW w:w="3361" w:type="dxa"/>
            <w:vMerge w:val="continue"/>
            <w:noWrap w:val="0"/>
            <w:vAlign w:val="center"/>
          </w:tcPr>
          <w:p w14:paraId="0D6710B3">
            <w:pPr>
              <w:widowControl w:val="0"/>
              <w:jc w:val="both"/>
              <w:rPr>
                <w:rFonts w:hint="eastAsia" w:ascii="仿宋_GB2312" w:hAnsi="仿宋_GB2312" w:eastAsia="仿宋_GB2312" w:cs="仿宋_GB2312"/>
                <w:sz w:val="24"/>
                <w:szCs w:val="24"/>
                <w:highlight w:val="none"/>
                <w:vertAlign w:val="baseline"/>
                <w:lang w:val="en-US" w:eastAsia="zh-CN"/>
              </w:rPr>
            </w:pPr>
          </w:p>
        </w:tc>
        <w:tc>
          <w:tcPr>
            <w:tcW w:w="9935" w:type="dxa"/>
            <w:noWrap w:val="0"/>
            <w:vAlign w:val="center"/>
          </w:tcPr>
          <w:p w14:paraId="073BFCB0">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w:t>
            </w:r>
            <w:r>
              <w:rPr>
                <w:rFonts w:hint="eastAsia" w:ascii="仿宋_GB2312" w:hAnsi="仿宋_GB2312" w:eastAsia="仿宋_GB2312" w:cs="仿宋_GB2312"/>
                <w:sz w:val="24"/>
                <w:szCs w:val="24"/>
                <w:highlight w:val="none"/>
                <w:vertAlign w:val="baseline"/>
                <w:lang w:val="en-US" w:eastAsia="zh-CN"/>
              </w:rPr>
              <w:t>用地毯清洗机进行整体清洗，除螨。</w:t>
            </w:r>
          </w:p>
        </w:tc>
      </w:tr>
      <w:tr w14:paraId="7FCA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noWrap w:val="0"/>
            <w:vAlign w:val="center"/>
          </w:tcPr>
          <w:p w14:paraId="39AAA114">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9</w:t>
            </w:r>
          </w:p>
        </w:tc>
        <w:tc>
          <w:tcPr>
            <w:tcW w:w="3361" w:type="dxa"/>
            <w:noWrap w:val="0"/>
            <w:vAlign w:val="center"/>
          </w:tcPr>
          <w:p w14:paraId="1D406B98">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乳胶漆内墙</w:t>
            </w:r>
          </w:p>
        </w:tc>
        <w:tc>
          <w:tcPr>
            <w:tcW w:w="9935" w:type="dxa"/>
            <w:noWrap w:val="0"/>
            <w:vAlign w:val="center"/>
          </w:tcPr>
          <w:p w14:paraId="2DA0C7D3">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有污渍时用半干布擦拭。</w:t>
            </w:r>
          </w:p>
        </w:tc>
      </w:tr>
      <w:tr w14:paraId="212D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noWrap w:val="0"/>
            <w:vAlign w:val="center"/>
          </w:tcPr>
          <w:p w14:paraId="74DE4DF6">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10</w:t>
            </w:r>
          </w:p>
        </w:tc>
        <w:tc>
          <w:tcPr>
            <w:tcW w:w="3361" w:type="dxa"/>
            <w:noWrap w:val="0"/>
            <w:vAlign w:val="center"/>
          </w:tcPr>
          <w:p w14:paraId="1D0E8E76">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墙纸内墙</w:t>
            </w:r>
          </w:p>
        </w:tc>
        <w:tc>
          <w:tcPr>
            <w:tcW w:w="9935" w:type="dxa"/>
            <w:noWrap w:val="0"/>
            <w:vAlign w:val="center"/>
          </w:tcPr>
          <w:p w14:paraId="117859B8">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有污渍时用半干布擦拭。</w:t>
            </w:r>
          </w:p>
        </w:tc>
      </w:tr>
      <w:tr w14:paraId="3C10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noWrap w:val="0"/>
            <w:vAlign w:val="center"/>
          </w:tcPr>
          <w:p w14:paraId="7E355CA8">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11</w:t>
            </w:r>
          </w:p>
        </w:tc>
        <w:tc>
          <w:tcPr>
            <w:tcW w:w="3361" w:type="dxa"/>
            <w:noWrap w:val="0"/>
            <w:vAlign w:val="center"/>
          </w:tcPr>
          <w:p w14:paraId="4BE8B42F">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木饰面内墙</w:t>
            </w:r>
          </w:p>
        </w:tc>
        <w:tc>
          <w:tcPr>
            <w:tcW w:w="9935" w:type="dxa"/>
            <w:noWrap w:val="0"/>
            <w:vAlign w:val="center"/>
          </w:tcPr>
          <w:p w14:paraId="1FCF1D39">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有污渍时用中性清洁剂、半干布擦拭。</w:t>
            </w:r>
          </w:p>
        </w:tc>
      </w:tr>
      <w:tr w14:paraId="0013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noWrap w:val="0"/>
            <w:vAlign w:val="center"/>
          </w:tcPr>
          <w:p w14:paraId="26502EC5">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12</w:t>
            </w:r>
          </w:p>
        </w:tc>
        <w:tc>
          <w:tcPr>
            <w:tcW w:w="3361" w:type="dxa"/>
            <w:noWrap w:val="0"/>
            <w:vAlign w:val="center"/>
          </w:tcPr>
          <w:p w14:paraId="05F8B5A1">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石材内墙</w:t>
            </w:r>
          </w:p>
        </w:tc>
        <w:tc>
          <w:tcPr>
            <w:tcW w:w="9935" w:type="dxa"/>
            <w:noWrap w:val="0"/>
            <w:vAlign w:val="center"/>
          </w:tcPr>
          <w:p w14:paraId="77EAD95D">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有污渍时用半干布擦拭。</w:t>
            </w:r>
          </w:p>
        </w:tc>
      </w:tr>
      <w:tr w14:paraId="6295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noWrap w:val="0"/>
            <w:vAlign w:val="center"/>
          </w:tcPr>
          <w:p w14:paraId="1A36F299">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13</w:t>
            </w:r>
          </w:p>
        </w:tc>
        <w:tc>
          <w:tcPr>
            <w:tcW w:w="3361" w:type="dxa"/>
            <w:noWrap w:val="0"/>
            <w:vAlign w:val="center"/>
          </w:tcPr>
          <w:p w14:paraId="3C0FDA49">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金属板内墙</w:t>
            </w:r>
          </w:p>
        </w:tc>
        <w:tc>
          <w:tcPr>
            <w:tcW w:w="9935" w:type="dxa"/>
            <w:noWrap w:val="0"/>
            <w:vAlign w:val="center"/>
          </w:tcPr>
          <w:p w14:paraId="56C80B46">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有污渍时用半干布擦拭。</w:t>
            </w:r>
          </w:p>
        </w:tc>
      </w:tr>
      <w:tr w14:paraId="6760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noWrap w:val="0"/>
            <w:vAlign w:val="center"/>
          </w:tcPr>
          <w:p w14:paraId="2B0CFDE5">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14</w:t>
            </w:r>
          </w:p>
        </w:tc>
        <w:tc>
          <w:tcPr>
            <w:tcW w:w="3361" w:type="dxa"/>
            <w:noWrap w:val="0"/>
            <w:vAlign w:val="center"/>
          </w:tcPr>
          <w:p w14:paraId="6D8D7F0D">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涂料外墙</w:t>
            </w:r>
          </w:p>
        </w:tc>
        <w:tc>
          <w:tcPr>
            <w:tcW w:w="9935" w:type="dxa"/>
            <w:noWrap w:val="0"/>
            <w:vAlign w:val="center"/>
          </w:tcPr>
          <w:p w14:paraId="48485661">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定期专业清洗。</w:t>
            </w:r>
          </w:p>
        </w:tc>
      </w:tr>
      <w:tr w14:paraId="53CE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noWrap w:val="0"/>
            <w:vAlign w:val="center"/>
          </w:tcPr>
          <w:p w14:paraId="28E36E40">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15</w:t>
            </w:r>
          </w:p>
        </w:tc>
        <w:tc>
          <w:tcPr>
            <w:tcW w:w="3361" w:type="dxa"/>
            <w:noWrap w:val="0"/>
            <w:vAlign w:val="center"/>
          </w:tcPr>
          <w:p w14:paraId="160183F4">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真石漆外墙</w:t>
            </w:r>
          </w:p>
        </w:tc>
        <w:tc>
          <w:tcPr>
            <w:tcW w:w="9935" w:type="dxa"/>
            <w:noWrap w:val="0"/>
            <w:vAlign w:val="center"/>
          </w:tcPr>
          <w:p w14:paraId="2CB72803">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定期专业清洗。</w:t>
            </w:r>
          </w:p>
        </w:tc>
      </w:tr>
      <w:tr w14:paraId="2D7C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noWrap w:val="0"/>
            <w:vAlign w:val="center"/>
          </w:tcPr>
          <w:p w14:paraId="6D668359">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16</w:t>
            </w:r>
          </w:p>
        </w:tc>
        <w:tc>
          <w:tcPr>
            <w:tcW w:w="3361" w:type="dxa"/>
            <w:noWrap w:val="0"/>
            <w:vAlign w:val="center"/>
          </w:tcPr>
          <w:p w14:paraId="6CC45629">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瓷砖外墙</w:t>
            </w:r>
          </w:p>
        </w:tc>
        <w:tc>
          <w:tcPr>
            <w:tcW w:w="9935" w:type="dxa"/>
            <w:noWrap w:val="0"/>
            <w:vAlign w:val="center"/>
          </w:tcPr>
          <w:p w14:paraId="1240D8D2">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定期专业清洗。</w:t>
            </w:r>
          </w:p>
        </w:tc>
      </w:tr>
      <w:tr w14:paraId="3A49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noWrap w:val="0"/>
            <w:vAlign w:val="center"/>
          </w:tcPr>
          <w:p w14:paraId="4D8F3DFD">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17</w:t>
            </w:r>
          </w:p>
        </w:tc>
        <w:tc>
          <w:tcPr>
            <w:tcW w:w="3361" w:type="dxa"/>
            <w:noWrap w:val="0"/>
            <w:vAlign w:val="center"/>
          </w:tcPr>
          <w:p w14:paraId="6BC6EAFE">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保温一体板外墙</w:t>
            </w:r>
          </w:p>
        </w:tc>
        <w:tc>
          <w:tcPr>
            <w:tcW w:w="9935" w:type="dxa"/>
            <w:noWrap w:val="0"/>
            <w:vAlign w:val="center"/>
          </w:tcPr>
          <w:p w14:paraId="660AA4E1">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定期专业清洗。</w:t>
            </w:r>
          </w:p>
        </w:tc>
      </w:tr>
      <w:tr w14:paraId="7A24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noWrap w:val="0"/>
            <w:vAlign w:val="center"/>
          </w:tcPr>
          <w:p w14:paraId="2C19D18C">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18</w:t>
            </w:r>
          </w:p>
        </w:tc>
        <w:tc>
          <w:tcPr>
            <w:tcW w:w="3361" w:type="dxa"/>
            <w:noWrap w:val="0"/>
            <w:vAlign w:val="center"/>
          </w:tcPr>
          <w:p w14:paraId="612E46C9">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铝板外墙</w:t>
            </w:r>
          </w:p>
        </w:tc>
        <w:tc>
          <w:tcPr>
            <w:tcW w:w="9935" w:type="dxa"/>
            <w:noWrap w:val="0"/>
            <w:vAlign w:val="center"/>
          </w:tcPr>
          <w:p w14:paraId="2AEEE69E">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定期专业清洗。</w:t>
            </w:r>
          </w:p>
        </w:tc>
      </w:tr>
      <w:tr w14:paraId="2C7F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noWrap w:val="0"/>
            <w:vAlign w:val="center"/>
          </w:tcPr>
          <w:p w14:paraId="3B6CFE6A">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19</w:t>
            </w:r>
          </w:p>
        </w:tc>
        <w:tc>
          <w:tcPr>
            <w:tcW w:w="3361" w:type="dxa"/>
            <w:noWrap w:val="0"/>
            <w:vAlign w:val="center"/>
          </w:tcPr>
          <w:p w14:paraId="7E18B12F">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干挂石材外墙</w:t>
            </w:r>
          </w:p>
        </w:tc>
        <w:tc>
          <w:tcPr>
            <w:tcW w:w="9935" w:type="dxa"/>
            <w:noWrap w:val="0"/>
            <w:vAlign w:val="center"/>
          </w:tcPr>
          <w:p w14:paraId="1DB5BD4C">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定期专业清洗。</w:t>
            </w:r>
          </w:p>
        </w:tc>
      </w:tr>
      <w:tr w14:paraId="5D2F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noWrap w:val="0"/>
            <w:vAlign w:val="center"/>
          </w:tcPr>
          <w:p w14:paraId="5B1344FD">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20</w:t>
            </w:r>
          </w:p>
        </w:tc>
        <w:tc>
          <w:tcPr>
            <w:tcW w:w="3361" w:type="dxa"/>
            <w:noWrap w:val="0"/>
            <w:vAlign w:val="center"/>
          </w:tcPr>
          <w:p w14:paraId="41AB34EF">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玻璃幕墙外墙</w:t>
            </w:r>
          </w:p>
        </w:tc>
        <w:tc>
          <w:tcPr>
            <w:tcW w:w="9935" w:type="dxa"/>
            <w:noWrap w:val="0"/>
            <w:vAlign w:val="center"/>
          </w:tcPr>
          <w:p w14:paraId="21F6E877">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定期专业清洗。</w:t>
            </w:r>
          </w:p>
        </w:tc>
      </w:tr>
    </w:tbl>
    <w:p w14:paraId="01B2B5D7">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注：根据物业用材情况选择清洁要求</w:t>
      </w:r>
    </w:p>
    <w:p w14:paraId="484B8FDE">
      <w:pPr>
        <w:pStyle w:val="5"/>
        <w:bidi w:val="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1.4 绿化服务</w:t>
      </w:r>
    </w:p>
    <w:tbl>
      <w:tblPr>
        <w:tblStyle w:val="15"/>
        <w:tblW w:w="4786" w:type="pct"/>
        <w:tblInd w:w="5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
        <w:gridCol w:w="1971"/>
        <w:gridCol w:w="5810"/>
      </w:tblGrid>
      <w:tr w14:paraId="3E82B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noWrap w:val="0"/>
            <w:vAlign w:val="center"/>
          </w:tcPr>
          <w:p w14:paraId="67B6AC31">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序号</w:t>
            </w:r>
          </w:p>
        </w:tc>
        <w:tc>
          <w:tcPr>
            <w:tcW w:w="3367" w:type="dxa"/>
            <w:noWrap w:val="0"/>
            <w:vAlign w:val="center"/>
          </w:tcPr>
          <w:p w14:paraId="530D75A6">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服务内容</w:t>
            </w:r>
          </w:p>
        </w:tc>
        <w:tc>
          <w:tcPr>
            <w:tcW w:w="9928" w:type="dxa"/>
            <w:noWrap w:val="0"/>
            <w:vAlign w:val="center"/>
          </w:tcPr>
          <w:p w14:paraId="7FE2DB70">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服务标准</w:t>
            </w:r>
          </w:p>
        </w:tc>
      </w:tr>
      <w:tr w14:paraId="36A6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Merge w:val="restart"/>
            <w:noWrap w:val="0"/>
            <w:vAlign w:val="center"/>
          </w:tcPr>
          <w:p w14:paraId="324702A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3367" w:type="dxa"/>
            <w:vMerge w:val="restart"/>
            <w:noWrap w:val="0"/>
            <w:vAlign w:val="center"/>
          </w:tcPr>
          <w:p w14:paraId="0DB8802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基本要求</w:t>
            </w:r>
          </w:p>
        </w:tc>
        <w:tc>
          <w:tcPr>
            <w:tcW w:w="9928" w:type="dxa"/>
            <w:noWrap w:val="0"/>
            <w:vAlign w:val="center"/>
          </w:tcPr>
          <w:p w14:paraId="0399426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（1）制定绿化服务的工作制度及工作计划，并按照执行。</w:t>
            </w:r>
          </w:p>
        </w:tc>
      </w:tr>
      <w:tr w14:paraId="7A3B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Merge w:val="continue"/>
            <w:noWrap w:val="0"/>
            <w:vAlign w:val="center"/>
          </w:tcPr>
          <w:p w14:paraId="0D3E95D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67" w:type="dxa"/>
            <w:vMerge w:val="continue"/>
            <w:noWrap w:val="0"/>
            <w:vAlign w:val="center"/>
          </w:tcPr>
          <w:p w14:paraId="25AFE46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p>
        </w:tc>
        <w:tc>
          <w:tcPr>
            <w:tcW w:w="9928" w:type="dxa"/>
            <w:noWrap w:val="0"/>
            <w:vAlign w:val="center"/>
          </w:tcPr>
          <w:p w14:paraId="2DA82B1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（2）做好绿化服务工作记录，填写规范。</w:t>
            </w:r>
          </w:p>
        </w:tc>
      </w:tr>
      <w:tr w14:paraId="7644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Merge w:val="continue"/>
            <w:noWrap w:val="0"/>
            <w:vAlign w:val="center"/>
          </w:tcPr>
          <w:p w14:paraId="7965788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67" w:type="dxa"/>
            <w:vMerge w:val="continue"/>
            <w:noWrap w:val="0"/>
            <w:vAlign w:val="center"/>
          </w:tcPr>
          <w:p w14:paraId="5A0A67E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p>
        </w:tc>
        <w:tc>
          <w:tcPr>
            <w:tcW w:w="9928" w:type="dxa"/>
            <w:noWrap w:val="0"/>
            <w:vAlign w:val="center"/>
          </w:tcPr>
          <w:p w14:paraId="30B37DC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（3）作业时采取安全防护措施，防止对作业人员或他人造成伤害。</w:t>
            </w:r>
          </w:p>
        </w:tc>
      </w:tr>
      <w:tr w14:paraId="28D3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Merge w:val="continue"/>
            <w:noWrap w:val="0"/>
            <w:vAlign w:val="center"/>
          </w:tcPr>
          <w:p w14:paraId="7F0D78F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67" w:type="dxa"/>
            <w:vMerge w:val="continue"/>
            <w:noWrap w:val="0"/>
            <w:vAlign w:val="center"/>
          </w:tcPr>
          <w:p w14:paraId="4B912E6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kern w:val="2"/>
                <w:sz w:val="24"/>
                <w:szCs w:val="24"/>
                <w:highlight w:val="none"/>
                <w:lang w:val="en-US" w:eastAsia="zh-CN" w:bidi="ar-SA"/>
              </w:rPr>
            </w:pPr>
          </w:p>
        </w:tc>
        <w:tc>
          <w:tcPr>
            <w:tcW w:w="9928" w:type="dxa"/>
            <w:noWrap w:val="0"/>
            <w:vAlign w:val="center"/>
          </w:tcPr>
          <w:p w14:paraId="6FABF32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（4）审查耗材的环保、安全性指标，应当符合相关耗材规定要求。</w:t>
            </w:r>
          </w:p>
        </w:tc>
      </w:tr>
      <w:tr w14:paraId="0D7A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Merge w:val="restart"/>
            <w:noWrap w:val="0"/>
            <w:vAlign w:val="center"/>
          </w:tcPr>
          <w:p w14:paraId="2848F05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p>
        </w:tc>
        <w:tc>
          <w:tcPr>
            <w:tcW w:w="3367" w:type="dxa"/>
            <w:vMerge w:val="restart"/>
            <w:noWrap w:val="0"/>
            <w:vAlign w:val="center"/>
          </w:tcPr>
          <w:p w14:paraId="00E5FD2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室外绿化养护</w:t>
            </w:r>
          </w:p>
        </w:tc>
        <w:tc>
          <w:tcPr>
            <w:tcW w:w="9928" w:type="dxa"/>
            <w:noWrap w:val="0"/>
            <w:vAlign w:val="center"/>
          </w:tcPr>
          <w:p w14:paraId="30165E2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w:t>
            </w:r>
            <w:r>
              <w:rPr>
                <w:rFonts w:hint="eastAsia" w:ascii="仿宋_GB2312" w:hAnsi="仿宋_GB2312" w:eastAsia="仿宋_GB2312" w:cs="仿宋_GB2312"/>
                <w:color w:val="auto"/>
                <w:sz w:val="24"/>
                <w:szCs w:val="24"/>
                <w:highlight w:val="none"/>
                <w:u w:val="none"/>
                <w:lang w:val="en-US" w:eastAsia="zh-CN"/>
              </w:rPr>
              <w:t>根据生长环境、植物特性进行除草、灌溉、施肥、整形修剪、防治病虫害等。</w:t>
            </w:r>
          </w:p>
        </w:tc>
      </w:tr>
      <w:tr w14:paraId="146F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Merge w:val="continue"/>
            <w:noWrap w:val="0"/>
            <w:vAlign w:val="center"/>
          </w:tcPr>
          <w:p w14:paraId="1516A23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67" w:type="dxa"/>
            <w:vMerge w:val="continue"/>
            <w:noWrap w:val="0"/>
            <w:vAlign w:val="center"/>
          </w:tcPr>
          <w:p w14:paraId="58BC5BA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p>
        </w:tc>
        <w:tc>
          <w:tcPr>
            <w:tcW w:w="9928" w:type="dxa"/>
            <w:noWrap w:val="0"/>
            <w:vAlign w:val="center"/>
          </w:tcPr>
          <w:p w14:paraId="389D94B8">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（2）根据生长情况修剪绿地，绿地内无枯草、无杂物，</w:t>
            </w:r>
            <w:r>
              <w:rPr>
                <w:rFonts w:hint="eastAsia" w:ascii="仿宋_GB2312" w:hAnsi="仿宋_GB2312" w:eastAsia="仿宋_GB2312" w:cs="仿宋_GB2312"/>
                <w:color w:val="auto"/>
                <w:sz w:val="24"/>
                <w:szCs w:val="24"/>
                <w:highlight w:val="none"/>
                <w:u w:val="none"/>
                <w:lang w:val="en-US" w:eastAsia="zh-CN"/>
              </w:rPr>
              <w:t>无干枯坏死和病虫侵害，基本无裸露土地。</w:t>
            </w:r>
          </w:p>
        </w:tc>
      </w:tr>
      <w:tr w14:paraId="4856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Merge w:val="continue"/>
            <w:noWrap w:val="0"/>
            <w:vAlign w:val="center"/>
          </w:tcPr>
          <w:p w14:paraId="0FF6F25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67" w:type="dxa"/>
            <w:vMerge w:val="continue"/>
            <w:noWrap w:val="0"/>
            <w:vAlign w:val="center"/>
          </w:tcPr>
          <w:p w14:paraId="1074335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p>
        </w:tc>
        <w:tc>
          <w:tcPr>
            <w:tcW w:w="9928" w:type="dxa"/>
            <w:noWrap w:val="0"/>
            <w:vAlign w:val="center"/>
          </w:tcPr>
          <w:p w14:paraId="7C2AA4B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（3）定期修剪树木、花卉等，</w:t>
            </w:r>
            <w:r>
              <w:rPr>
                <w:rFonts w:hint="eastAsia" w:ascii="仿宋_GB2312" w:hAnsi="仿宋_GB2312" w:eastAsia="仿宋_GB2312" w:cs="仿宋_GB2312"/>
                <w:color w:val="auto"/>
                <w:sz w:val="24"/>
                <w:szCs w:val="24"/>
                <w:highlight w:val="none"/>
                <w:u w:val="none"/>
                <w:lang w:val="en-US" w:eastAsia="zh-CN"/>
              </w:rPr>
              <w:t>灌乔木生长正常、造型美观自然、花枝新鲜，无枯叶、无病虫、无死树缺株。</w:t>
            </w:r>
          </w:p>
        </w:tc>
      </w:tr>
      <w:tr w14:paraId="68AC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Merge w:val="continue"/>
            <w:noWrap w:val="0"/>
            <w:vAlign w:val="center"/>
          </w:tcPr>
          <w:p w14:paraId="31E2DE2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67" w:type="dxa"/>
            <w:vMerge w:val="continue"/>
            <w:noWrap w:val="0"/>
            <w:vAlign w:val="center"/>
          </w:tcPr>
          <w:p w14:paraId="385C917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p>
        </w:tc>
        <w:tc>
          <w:tcPr>
            <w:tcW w:w="9928" w:type="dxa"/>
            <w:noWrap w:val="0"/>
            <w:vAlign w:val="center"/>
          </w:tcPr>
          <w:p w14:paraId="1FC1A45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（4）</w:t>
            </w:r>
            <w:r>
              <w:rPr>
                <w:rFonts w:hint="eastAsia" w:ascii="仿宋_GB2312" w:hAnsi="仿宋_GB2312" w:eastAsia="仿宋_GB2312" w:cs="仿宋_GB2312"/>
                <w:color w:val="auto"/>
                <w:sz w:val="24"/>
                <w:szCs w:val="24"/>
                <w:highlight w:val="none"/>
                <w:u w:val="none"/>
                <w:lang w:val="en-US" w:eastAsia="zh-CN"/>
              </w:rPr>
              <w:t>绿篱生长造型正常，颜色正常，修剪及时，基本无死株和干死株，有虫株率不高于10%。</w:t>
            </w:r>
          </w:p>
        </w:tc>
      </w:tr>
      <w:tr w14:paraId="7979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Merge w:val="continue"/>
            <w:noWrap w:val="0"/>
            <w:vAlign w:val="center"/>
          </w:tcPr>
          <w:p w14:paraId="4ADF048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67" w:type="dxa"/>
            <w:vMerge w:val="continue"/>
            <w:noWrap w:val="0"/>
            <w:vAlign w:val="center"/>
          </w:tcPr>
          <w:p w14:paraId="42C31AC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p>
        </w:tc>
        <w:tc>
          <w:tcPr>
            <w:tcW w:w="9928" w:type="dxa"/>
            <w:noWrap w:val="0"/>
            <w:vAlign w:val="center"/>
          </w:tcPr>
          <w:p w14:paraId="2F02912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（5）</w:t>
            </w:r>
            <w:r>
              <w:rPr>
                <w:rFonts w:hint="eastAsia" w:ascii="仿宋_GB2312" w:hAnsi="仿宋_GB2312" w:eastAsia="仿宋_GB2312" w:cs="仿宋_GB2312"/>
                <w:color w:val="auto"/>
                <w:sz w:val="24"/>
                <w:szCs w:val="24"/>
                <w:highlight w:val="none"/>
                <w:u w:val="none"/>
                <w:lang w:val="en-US" w:eastAsia="zh-CN"/>
              </w:rPr>
              <w:t>清除花坛和花景的花蒂、黄叶、杂草、垃圾，做好病虫害防治。</w:t>
            </w:r>
          </w:p>
        </w:tc>
      </w:tr>
      <w:tr w14:paraId="3B69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Merge w:val="continue"/>
            <w:noWrap w:val="0"/>
            <w:vAlign w:val="center"/>
          </w:tcPr>
          <w:p w14:paraId="02203DB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67" w:type="dxa"/>
            <w:vMerge w:val="continue"/>
            <w:noWrap w:val="0"/>
            <w:vAlign w:val="center"/>
          </w:tcPr>
          <w:p w14:paraId="37A11EA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p>
        </w:tc>
        <w:tc>
          <w:tcPr>
            <w:tcW w:w="9928" w:type="dxa"/>
            <w:noWrap w:val="0"/>
            <w:vAlign w:val="center"/>
          </w:tcPr>
          <w:p w14:paraId="4F8250A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（6）</w:t>
            </w:r>
            <w:r>
              <w:rPr>
                <w:rFonts w:hint="eastAsia" w:ascii="仿宋_GB2312" w:hAnsi="仿宋_GB2312" w:eastAsia="仿宋_GB2312" w:cs="仿宋_GB2312"/>
                <w:color w:val="auto"/>
                <w:sz w:val="24"/>
                <w:szCs w:val="24"/>
                <w:highlight w:val="none"/>
                <w:u w:val="none"/>
                <w:lang w:val="en-US" w:eastAsia="zh-CN"/>
              </w:rPr>
              <w:t>水池水面定期清理，无枯枝落叶、水质清洁。</w:t>
            </w:r>
          </w:p>
        </w:tc>
      </w:tr>
      <w:tr w14:paraId="0433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Merge w:val="continue"/>
            <w:noWrap w:val="0"/>
            <w:vAlign w:val="center"/>
          </w:tcPr>
          <w:p w14:paraId="6B195FB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67" w:type="dxa"/>
            <w:vMerge w:val="continue"/>
            <w:noWrap w:val="0"/>
            <w:vAlign w:val="center"/>
          </w:tcPr>
          <w:p w14:paraId="1798B01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p>
        </w:tc>
        <w:tc>
          <w:tcPr>
            <w:tcW w:w="9928" w:type="dxa"/>
            <w:noWrap w:val="0"/>
            <w:vAlign w:val="center"/>
          </w:tcPr>
          <w:p w14:paraId="24EFB85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（7）根据病虫害发生规律实施综合治理，通常在病虫率高时，以药剂杀死病虫，以确保植物良好生长。产生垃圾的主要区域和路段做到日产日清。</w:t>
            </w:r>
          </w:p>
        </w:tc>
      </w:tr>
      <w:tr w14:paraId="168F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Merge w:val="continue"/>
            <w:noWrap w:val="0"/>
            <w:vAlign w:val="center"/>
          </w:tcPr>
          <w:p w14:paraId="423004C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67" w:type="dxa"/>
            <w:vMerge w:val="continue"/>
            <w:noWrap w:val="0"/>
            <w:vAlign w:val="center"/>
          </w:tcPr>
          <w:p w14:paraId="03F4D9B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p>
        </w:tc>
        <w:tc>
          <w:tcPr>
            <w:tcW w:w="9928" w:type="dxa"/>
            <w:noWrap w:val="0"/>
            <w:vAlign w:val="center"/>
          </w:tcPr>
          <w:p w14:paraId="11A38D1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（8）雨雪、冰冻等恶劣天气来临前，专人巡查，对绿植做好预防措施，排除安全隐患。</w:t>
            </w:r>
          </w:p>
        </w:tc>
      </w:tr>
      <w:tr w14:paraId="15EE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Merge w:val="continue"/>
            <w:noWrap w:val="0"/>
            <w:vAlign w:val="center"/>
          </w:tcPr>
          <w:p w14:paraId="616DC81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67" w:type="dxa"/>
            <w:vMerge w:val="continue"/>
            <w:noWrap w:val="0"/>
            <w:vAlign w:val="center"/>
          </w:tcPr>
          <w:p w14:paraId="486C488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kern w:val="2"/>
                <w:sz w:val="24"/>
                <w:szCs w:val="24"/>
                <w:highlight w:val="none"/>
                <w:lang w:val="en-US" w:eastAsia="zh-CN" w:bidi="ar-SA"/>
              </w:rPr>
            </w:pPr>
          </w:p>
        </w:tc>
        <w:tc>
          <w:tcPr>
            <w:tcW w:w="9928" w:type="dxa"/>
            <w:noWrap w:val="0"/>
            <w:vAlign w:val="center"/>
          </w:tcPr>
          <w:p w14:paraId="1C0F634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（9）恶劣天气后，及时清除倒树断枝，疏通道路，尽快恢复原状。</w:t>
            </w:r>
          </w:p>
        </w:tc>
      </w:tr>
    </w:tbl>
    <w:p w14:paraId="23A65C93">
      <w:pPr>
        <w:pStyle w:val="5"/>
        <w:rPr>
          <w:rFonts w:hint="eastAsia" w:ascii="仿宋_GB2312" w:hAnsi="仿宋_GB2312" w:eastAsia="仿宋_GB2312" w:cs="仿宋_GB2312"/>
          <w:sz w:val="24"/>
          <w:szCs w:val="24"/>
          <w:highlight w:val="none"/>
        </w:rPr>
      </w:pPr>
    </w:p>
    <w:p w14:paraId="53A0D426">
      <w:pPr>
        <w:pStyle w:val="5"/>
        <w:bidi w:val="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1.5 会议服务</w:t>
      </w:r>
    </w:p>
    <w:tbl>
      <w:tblPr>
        <w:tblStyle w:val="15"/>
        <w:tblW w:w="4785" w:type="pct"/>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1960"/>
        <w:gridCol w:w="5775"/>
      </w:tblGrid>
      <w:tr w14:paraId="1F58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noWrap w:val="0"/>
            <w:vAlign w:val="center"/>
          </w:tcPr>
          <w:p w14:paraId="2F9117E9">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序号</w:t>
            </w:r>
          </w:p>
        </w:tc>
        <w:tc>
          <w:tcPr>
            <w:tcW w:w="3348" w:type="dxa"/>
            <w:noWrap w:val="0"/>
            <w:vAlign w:val="center"/>
          </w:tcPr>
          <w:p w14:paraId="66397B33">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服务内容</w:t>
            </w:r>
          </w:p>
        </w:tc>
        <w:tc>
          <w:tcPr>
            <w:tcW w:w="9865" w:type="dxa"/>
            <w:noWrap w:val="0"/>
            <w:vAlign w:val="center"/>
          </w:tcPr>
          <w:p w14:paraId="6660D1D7">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服务标准</w:t>
            </w:r>
          </w:p>
        </w:tc>
      </w:tr>
      <w:tr w14:paraId="523A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noWrap w:val="0"/>
            <w:vAlign w:val="center"/>
          </w:tcPr>
          <w:p w14:paraId="1827ED58">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1</w:t>
            </w:r>
          </w:p>
        </w:tc>
        <w:tc>
          <w:tcPr>
            <w:tcW w:w="3348" w:type="dxa"/>
            <w:noWrap w:val="0"/>
            <w:vAlign w:val="center"/>
          </w:tcPr>
          <w:p w14:paraId="08D39A3E">
            <w:pPr>
              <w:pageBreakBefore w:val="0"/>
              <w:widowControl/>
              <w:numPr>
                <w:ilvl w:val="0"/>
                <w:numId w:val="0"/>
              </w:numPr>
              <w:kinsoku/>
              <w:wordWrap/>
              <w:overflowPunct/>
              <w:topLinePunct w:val="0"/>
              <w:bidi w:val="0"/>
              <w:snapToGrid w:val="0"/>
              <w:spacing w:line="300" w:lineRule="auto"/>
              <w:ind w:left="0" w:leftChars="0" w:firstLine="0" w:firstLineChars="0"/>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会议受理</w:t>
            </w:r>
          </w:p>
        </w:tc>
        <w:tc>
          <w:tcPr>
            <w:tcW w:w="9865" w:type="dxa"/>
            <w:noWrap w:val="0"/>
            <w:vAlign w:val="center"/>
          </w:tcPr>
          <w:p w14:paraId="7CCDB2F4">
            <w:pPr>
              <w:pageBreakBefore w:val="0"/>
              <w:widowControl/>
              <w:numPr>
                <w:ilvl w:val="0"/>
                <w:numId w:val="0"/>
              </w:numPr>
              <w:kinsoku/>
              <w:wordWrap/>
              <w:overflowPunct/>
              <w:topLinePunct w:val="0"/>
              <w:bidi w:val="0"/>
              <w:snapToGrid w:val="0"/>
              <w:spacing w:line="300" w:lineRule="auto"/>
              <w:ind w:leftChars="0"/>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接受会议预订，记录会议需求。</w:t>
            </w:r>
          </w:p>
        </w:tc>
      </w:tr>
      <w:tr w14:paraId="3A622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noWrap w:val="0"/>
            <w:vAlign w:val="center"/>
          </w:tcPr>
          <w:p w14:paraId="3F2AAF0E">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2</w:t>
            </w:r>
          </w:p>
        </w:tc>
        <w:tc>
          <w:tcPr>
            <w:tcW w:w="3348" w:type="dxa"/>
            <w:noWrap w:val="0"/>
            <w:vAlign w:val="center"/>
          </w:tcPr>
          <w:p w14:paraId="39ACE6B9">
            <w:pPr>
              <w:pageBreakBefore w:val="0"/>
              <w:widowControl/>
              <w:numPr>
                <w:ilvl w:val="0"/>
                <w:numId w:val="0"/>
              </w:numPr>
              <w:kinsoku/>
              <w:wordWrap/>
              <w:overflowPunct/>
              <w:topLinePunct w:val="0"/>
              <w:bidi w:val="0"/>
              <w:snapToGrid w:val="0"/>
              <w:spacing w:line="300" w:lineRule="auto"/>
              <w:ind w:left="0" w:leftChars="0" w:firstLine="0" w:firstLineChars="0"/>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会前准备</w:t>
            </w:r>
          </w:p>
        </w:tc>
        <w:tc>
          <w:tcPr>
            <w:tcW w:w="9865" w:type="dxa"/>
            <w:noWrap w:val="0"/>
            <w:vAlign w:val="center"/>
          </w:tcPr>
          <w:p w14:paraId="5CD4C47D">
            <w:pPr>
              <w:pageBreakBefore w:val="0"/>
              <w:widowControl/>
              <w:numPr>
                <w:ilvl w:val="0"/>
                <w:numId w:val="0"/>
              </w:numPr>
              <w:kinsoku/>
              <w:wordWrap/>
              <w:overflowPunct/>
              <w:topLinePunct w:val="0"/>
              <w:bidi w:val="0"/>
              <w:snapToGrid w:val="0"/>
              <w:spacing w:line="300" w:lineRule="auto"/>
              <w:ind w:leftChars="0"/>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根据会议需求、场地大小、用途，明确会议桌椅、物品、设备、文具等摆放规定，音、视频设施保障措施。</w:t>
            </w:r>
          </w:p>
        </w:tc>
      </w:tr>
      <w:tr w14:paraId="018B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noWrap w:val="0"/>
            <w:vAlign w:val="center"/>
          </w:tcPr>
          <w:p w14:paraId="310B4E74">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3</w:t>
            </w:r>
          </w:p>
        </w:tc>
        <w:tc>
          <w:tcPr>
            <w:tcW w:w="3348" w:type="dxa"/>
            <w:noWrap w:val="0"/>
            <w:vAlign w:val="center"/>
          </w:tcPr>
          <w:p w14:paraId="7CF30E48">
            <w:pPr>
              <w:pageBreakBefore w:val="0"/>
              <w:widowControl/>
              <w:numPr>
                <w:ilvl w:val="0"/>
                <w:numId w:val="0"/>
              </w:numPr>
              <w:kinsoku/>
              <w:wordWrap/>
              <w:overflowPunct/>
              <w:topLinePunct w:val="0"/>
              <w:bidi w:val="0"/>
              <w:snapToGrid w:val="0"/>
              <w:spacing w:line="300" w:lineRule="auto"/>
              <w:ind w:left="0" w:leftChars="0" w:firstLine="0" w:firstLineChars="0"/>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引导服务</w:t>
            </w:r>
          </w:p>
        </w:tc>
        <w:tc>
          <w:tcPr>
            <w:tcW w:w="9865" w:type="dxa"/>
            <w:noWrap w:val="0"/>
            <w:vAlign w:val="center"/>
          </w:tcPr>
          <w:p w14:paraId="27ED9CAF">
            <w:pPr>
              <w:pageBreakBefore w:val="0"/>
              <w:widowControl/>
              <w:numPr>
                <w:ilvl w:val="0"/>
                <w:numId w:val="0"/>
              </w:numPr>
              <w:kinsoku/>
              <w:wordWrap/>
              <w:overflowPunct/>
              <w:topLinePunct w:val="0"/>
              <w:bidi w:val="0"/>
              <w:snapToGrid w:val="0"/>
              <w:spacing w:line="300" w:lineRule="auto"/>
              <w:ind w:leftChars="0"/>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做好引导牌并放置在指定位置，引导人员引导手势规范，语言标准。</w:t>
            </w:r>
          </w:p>
        </w:tc>
      </w:tr>
      <w:tr w14:paraId="28EB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noWrap w:val="0"/>
            <w:vAlign w:val="center"/>
          </w:tcPr>
          <w:p w14:paraId="2AE87C5D">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4</w:t>
            </w:r>
          </w:p>
        </w:tc>
        <w:tc>
          <w:tcPr>
            <w:tcW w:w="3348" w:type="dxa"/>
            <w:noWrap w:val="0"/>
            <w:vAlign w:val="center"/>
          </w:tcPr>
          <w:p w14:paraId="7510AA71">
            <w:pPr>
              <w:pageBreakBefore w:val="0"/>
              <w:widowControl/>
              <w:numPr>
                <w:ilvl w:val="0"/>
                <w:numId w:val="0"/>
              </w:numPr>
              <w:kinsoku/>
              <w:wordWrap/>
              <w:overflowPunct/>
              <w:topLinePunct w:val="0"/>
              <w:bidi w:val="0"/>
              <w:snapToGrid w:val="0"/>
              <w:spacing w:line="300" w:lineRule="auto"/>
              <w:ind w:left="0" w:leftChars="0" w:firstLine="0" w:firstLineChars="0"/>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会中服务</w:t>
            </w:r>
          </w:p>
        </w:tc>
        <w:tc>
          <w:tcPr>
            <w:tcW w:w="9865" w:type="dxa"/>
            <w:noWrap w:val="0"/>
            <w:vAlign w:val="center"/>
          </w:tcPr>
          <w:p w14:paraId="20E69C95">
            <w:pPr>
              <w:pageBreakBefore w:val="0"/>
              <w:widowControl/>
              <w:numPr>
                <w:ilvl w:val="0"/>
                <w:numId w:val="0"/>
              </w:numPr>
              <w:kinsoku/>
              <w:wordWrap/>
              <w:overflowPunct/>
              <w:topLinePunct w:val="0"/>
              <w:bidi w:val="0"/>
              <w:snapToGrid w:val="0"/>
              <w:spacing w:line="300" w:lineRule="auto"/>
              <w:ind w:leftChars="0"/>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会议期间按要求加水。</w:t>
            </w:r>
          </w:p>
        </w:tc>
      </w:tr>
      <w:tr w14:paraId="6792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noWrap w:val="0"/>
            <w:vAlign w:val="center"/>
          </w:tcPr>
          <w:p w14:paraId="7B3B8683">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5</w:t>
            </w:r>
          </w:p>
        </w:tc>
        <w:tc>
          <w:tcPr>
            <w:tcW w:w="3348" w:type="dxa"/>
            <w:noWrap w:val="0"/>
            <w:vAlign w:val="center"/>
          </w:tcPr>
          <w:p w14:paraId="41C0D909">
            <w:pPr>
              <w:pageBreakBefore w:val="0"/>
              <w:widowControl/>
              <w:numPr>
                <w:ilvl w:val="0"/>
                <w:numId w:val="0"/>
              </w:numPr>
              <w:kinsoku/>
              <w:wordWrap/>
              <w:overflowPunct/>
              <w:topLinePunct w:val="0"/>
              <w:bidi w:val="0"/>
              <w:snapToGrid w:val="0"/>
              <w:spacing w:line="300" w:lineRule="auto"/>
              <w:ind w:left="0" w:leftChars="0" w:firstLine="0" w:firstLineChars="0"/>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会后整理</w:t>
            </w:r>
          </w:p>
        </w:tc>
        <w:tc>
          <w:tcPr>
            <w:tcW w:w="9865" w:type="dxa"/>
            <w:noWrap w:val="0"/>
            <w:vAlign w:val="center"/>
          </w:tcPr>
          <w:p w14:paraId="04860506">
            <w:pPr>
              <w:pageBreakBefore w:val="0"/>
              <w:widowControl/>
              <w:numPr>
                <w:ilvl w:val="0"/>
                <w:numId w:val="0"/>
              </w:numPr>
              <w:kinsoku/>
              <w:wordWrap/>
              <w:overflowPunct/>
              <w:topLinePunct w:val="0"/>
              <w:bidi w:val="0"/>
              <w:snapToGrid w:val="0"/>
              <w:spacing w:line="300" w:lineRule="auto"/>
              <w:ind w:leftChars="0"/>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对会议现场进行检查，做好会场恢复工作。</w:t>
            </w:r>
          </w:p>
        </w:tc>
      </w:tr>
    </w:tbl>
    <w:p w14:paraId="27714A74">
      <w:pPr>
        <w:pStyle w:val="4"/>
        <w:rPr>
          <w:rFonts w:hint="eastAsia" w:ascii="仿宋_GB2312" w:hAnsi="仿宋_GB2312" w:eastAsia="仿宋_GB2312" w:cs="仿宋_GB2312"/>
          <w:color w:val="auto"/>
          <w:sz w:val="24"/>
          <w:szCs w:val="24"/>
          <w:highlight w:val="none"/>
          <w:u w:val="none"/>
          <w:lang w:val="en-US" w:eastAsia="zh-CN"/>
        </w:rPr>
      </w:pPr>
    </w:p>
    <w:p w14:paraId="7B1670C7">
      <w:pPr>
        <w:pStyle w:val="4"/>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1.6供应商履行合同所需的设备</w:t>
      </w:r>
    </w:p>
    <w:p w14:paraId="174511FA">
      <w:pPr>
        <w:pStyle w:val="6"/>
        <w:ind w:firstLine="240" w:firstLine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lang w:val="en-US" w:eastAsia="zh-CN"/>
        </w:rPr>
        <w:t>采购人根据项目实际需求，需要供应商提供作业设备</w:t>
      </w:r>
      <w:r>
        <w:rPr>
          <w:rFonts w:hint="eastAsia" w:ascii="仿宋_GB2312" w:hAnsi="仿宋_GB2312" w:eastAsia="仿宋_GB2312" w:cs="仿宋_GB2312"/>
          <w:b w:val="0"/>
          <w:bCs w:val="0"/>
          <w:color w:val="auto"/>
          <w:sz w:val="24"/>
          <w:szCs w:val="24"/>
          <w:highlight w:val="none"/>
          <w:lang w:val="en-US" w:eastAsia="zh-CN"/>
        </w:rPr>
        <w:t>（自有或租赁）不低于23万元，</w:t>
      </w:r>
      <w:r>
        <w:rPr>
          <w:rFonts w:hint="eastAsia" w:ascii="仿宋_GB2312" w:hAnsi="仿宋_GB2312" w:eastAsia="仿宋_GB2312" w:cs="仿宋_GB2312"/>
          <w:sz w:val="24"/>
          <w:szCs w:val="24"/>
          <w:highlight w:val="none"/>
          <w:lang w:val="en-US" w:eastAsia="zh-CN"/>
        </w:rPr>
        <w:t>用于物业管理服务</w:t>
      </w:r>
      <w:r>
        <w:rPr>
          <w:rFonts w:hint="eastAsia" w:ascii="仿宋_GB2312" w:hAnsi="仿宋_GB2312" w:eastAsia="仿宋_GB2312" w:cs="仿宋_GB2312"/>
          <w:b w:val="0"/>
          <w:bCs w:val="0"/>
          <w:sz w:val="24"/>
          <w:szCs w:val="24"/>
          <w:highlight w:val="none"/>
          <w:lang w:val="en-US" w:eastAsia="zh-CN"/>
        </w:rPr>
        <w:t>。</w:t>
      </w:r>
    </w:p>
    <w:p w14:paraId="73BD30CB">
      <w:pPr>
        <w:pStyle w:val="4"/>
        <w:bidi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1.7</w:t>
      </w:r>
      <w:r>
        <w:rPr>
          <w:rFonts w:hint="eastAsia" w:ascii="仿宋_GB2312" w:hAnsi="仿宋_GB2312" w:eastAsia="仿宋_GB2312" w:cs="仿宋_GB2312"/>
          <w:sz w:val="24"/>
          <w:szCs w:val="24"/>
          <w:highlight w:val="none"/>
        </w:rPr>
        <w:t>物业管理服务人员需求</w:t>
      </w:r>
    </w:p>
    <w:tbl>
      <w:tblPr>
        <w:tblStyle w:val="15"/>
        <w:tblW w:w="5122"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256"/>
        <w:gridCol w:w="1354"/>
        <w:gridCol w:w="1912"/>
        <w:gridCol w:w="3098"/>
      </w:tblGrid>
      <w:tr w14:paraId="78BF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2" w:type="dxa"/>
            <w:noWrap w:val="0"/>
            <w:vAlign w:val="center"/>
          </w:tcPr>
          <w:p w14:paraId="6EA03986">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rPr>
              <w:t>部门</w:t>
            </w:r>
            <w:r>
              <w:rPr>
                <w:rFonts w:hint="eastAsia" w:ascii="仿宋_GB2312" w:hAnsi="仿宋_GB2312" w:eastAsia="仿宋_GB2312" w:cs="仿宋_GB2312"/>
                <w:b/>
                <w:bCs w:val="0"/>
                <w:color w:val="auto"/>
                <w:sz w:val="24"/>
                <w:szCs w:val="24"/>
                <w:highlight w:val="none"/>
                <w:lang w:eastAsia="zh-CN"/>
              </w:rPr>
              <w:t>职能</w:t>
            </w:r>
          </w:p>
        </w:tc>
        <w:tc>
          <w:tcPr>
            <w:tcW w:w="1256" w:type="dxa"/>
            <w:noWrap w:val="0"/>
            <w:vAlign w:val="center"/>
          </w:tcPr>
          <w:p w14:paraId="78481155">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岗位</w:t>
            </w:r>
          </w:p>
        </w:tc>
        <w:tc>
          <w:tcPr>
            <w:tcW w:w="1354" w:type="dxa"/>
            <w:noWrap w:val="0"/>
            <w:vAlign w:val="center"/>
          </w:tcPr>
          <w:p w14:paraId="3E67A776">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同时在岗人数</w:t>
            </w:r>
          </w:p>
        </w:tc>
        <w:tc>
          <w:tcPr>
            <w:tcW w:w="1912" w:type="dxa"/>
            <w:noWrap w:val="0"/>
            <w:vAlign w:val="center"/>
          </w:tcPr>
          <w:p w14:paraId="33FCAF33">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岗位所需总人数</w:t>
            </w:r>
          </w:p>
        </w:tc>
        <w:tc>
          <w:tcPr>
            <w:tcW w:w="3098" w:type="dxa"/>
            <w:noWrap w:val="0"/>
            <w:vAlign w:val="center"/>
          </w:tcPr>
          <w:p w14:paraId="04A2EC6E">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备注</w:t>
            </w:r>
          </w:p>
        </w:tc>
      </w:tr>
      <w:tr w14:paraId="28DD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2" w:type="dxa"/>
            <w:noWrap w:val="0"/>
            <w:vAlign w:val="center"/>
          </w:tcPr>
          <w:p w14:paraId="3766F316">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服务中心</w:t>
            </w:r>
          </w:p>
        </w:tc>
        <w:tc>
          <w:tcPr>
            <w:tcW w:w="1256" w:type="dxa"/>
            <w:noWrap w:val="0"/>
            <w:vAlign w:val="center"/>
          </w:tcPr>
          <w:p w14:paraId="5DAB6D26">
            <w:pPr>
              <w:pageBreakBefore w:val="0"/>
              <w:widowControl/>
              <w:kinsoku/>
              <w:wordWrap/>
              <w:overflowPunct/>
              <w:topLinePunct w:val="0"/>
              <w:bidi w:val="0"/>
              <w:snapToGrid w:val="0"/>
              <w:spacing w:line="300" w:lineRule="auto"/>
              <w:ind w:left="0"/>
              <w:jc w:val="both"/>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项目经理</w:t>
            </w:r>
          </w:p>
        </w:tc>
        <w:tc>
          <w:tcPr>
            <w:tcW w:w="1354" w:type="dxa"/>
            <w:noWrap w:val="0"/>
            <w:vAlign w:val="center"/>
          </w:tcPr>
          <w:p w14:paraId="68EF765B">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w:t>
            </w:r>
          </w:p>
        </w:tc>
        <w:tc>
          <w:tcPr>
            <w:tcW w:w="1912" w:type="dxa"/>
            <w:noWrap w:val="0"/>
            <w:vAlign w:val="center"/>
          </w:tcPr>
          <w:p w14:paraId="03F8A23A">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w:t>
            </w:r>
          </w:p>
        </w:tc>
        <w:tc>
          <w:tcPr>
            <w:tcW w:w="3098" w:type="dxa"/>
            <w:noWrap w:val="0"/>
            <w:vAlign w:val="center"/>
          </w:tcPr>
          <w:p w14:paraId="07B5671F">
            <w:pPr>
              <w:pageBreakBefore w:val="0"/>
              <w:widowControl/>
              <w:kinsoku/>
              <w:wordWrap/>
              <w:overflowPunct/>
              <w:topLinePunct w:val="0"/>
              <w:bidi w:val="0"/>
              <w:snapToGrid w:val="0"/>
              <w:spacing w:line="300" w:lineRule="auto"/>
              <w:ind w:left="0"/>
              <w:jc w:val="both"/>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负责服务内容内的全面管理工作</w:t>
            </w:r>
          </w:p>
        </w:tc>
      </w:tr>
      <w:tr w14:paraId="228E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2" w:type="dxa"/>
            <w:noWrap w:val="0"/>
            <w:vAlign w:val="center"/>
          </w:tcPr>
          <w:p w14:paraId="58416F46">
            <w:pPr>
              <w:pageBreakBefore w:val="0"/>
              <w:widowControl/>
              <w:kinsoku/>
              <w:wordWrap/>
              <w:overflowPunct/>
              <w:topLinePunct w:val="0"/>
              <w:bidi w:val="0"/>
              <w:snapToGrid w:val="0"/>
              <w:spacing w:line="300" w:lineRule="auto"/>
              <w:ind w:left="0"/>
              <w:jc w:val="both"/>
              <w:rPr>
                <w:rFonts w:hint="eastAsia" w:ascii="仿宋_GB2312" w:hAnsi="仿宋_GB2312" w:eastAsia="仿宋_GB2312" w:cs="仿宋_GB2312"/>
                <w:bCs/>
                <w:color w:val="auto"/>
                <w:sz w:val="24"/>
                <w:szCs w:val="24"/>
                <w:highlight w:val="none"/>
              </w:rPr>
            </w:pPr>
          </w:p>
        </w:tc>
        <w:tc>
          <w:tcPr>
            <w:tcW w:w="1256" w:type="dxa"/>
            <w:noWrap w:val="0"/>
            <w:vAlign w:val="center"/>
          </w:tcPr>
          <w:p w14:paraId="0AACC734">
            <w:pPr>
              <w:pageBreakBefore w:val="0"/>
              <w:widowControl/>
              <w:kinsoku/>
              <w:wordWrap/>
              <w:overflowPunct/>
              <w:topLinePunct w:val="0"/>
              <w:bidi w:val="0"/>
              <w:snapToGrid w:val="0"/>
              <w:spacing w:line="300" w:lineRule="auto"/>
              <w:ind w:left="0"/>
              <w:jc w:val="both"/>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rPr>
              <w:t>客服</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lang w:val="en-US" w:eastAsia="zh-CN"/>
              </w:rPr>
              <w:t>24小时服务热线</w:t>
            </w:r>
            <w:r>
              <w:rPr>
                <w:rFonts w:hint="eastAsia" w:ascii="仿宋_GB2312" w:hAnsi="仿宋_GB2312" w:eastAsia="仿宋_GB2312" w:cs="仿宋_GB2312"/>
                <w:bCs/>
                <w:color w:val="auto"/>
                <w:sz w:val="24"/>
                <w:szCs w:val="24"/>
                <w:highlight w:val="none"/>
                <w:lang w:eastAsia="zh-CN"/>
              </w:rPr>
              <w:t>）</w:t>
            </w:r>
          </w:p>
        </w:tc>
        <w:tc>
          <w:tcPr>
            <w:tcW w:w="1354" w:type="dxa"/>
            <w:noWrap w:val="0"/>
            <w:vAlign w:val="center"/>
          </w:tcPr>
          <w:p w14:paraId="0DEBA9D6">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1912" w:type="dxa"/>
            <w:noWrap w:val="0"/>
            <w:vAlign w:val="center"/>
          </w:tcPr>
          <w:p w14:paraId="7F408BD3">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2</w:t>
            </w:r>
          </w:p>
        </w:tc>
        <w:tc>
          <w:tcPr>
            <w:tcW w:w="3098" w:type="dxa"/>
            <w:noWrap w:val="0"/>
            <w:vAlign w:val="center"/>
          </w:tcPr>
          <w:p w14:paraId="19CD967D">
            <w:pPr>
              <w:pageBreakBefore w:val="0"/>
              <w:widowControl/>
              <w:kinsoku/>
              <w:wordWrap/>
              <w:overflowPunct/>
              <w:topLinePunct w:val="0"/>
              <w:bidi w:val="0"/>
              <w:snapToGrid w:val="0"/>
              <w:spacing w:line="300" w:lineRule="auto"/>
              <w:ind w:left="0"/>
              <w:jc w:val="both"/>
              <w:rPr>
                <w:rFonts w:hint="eastAsia" w:ascii="仿宋_GB2312" w:hAnsi="仿宋_GB2312" w:eastAsia="仿宋_GB2312" w:cs="仿宋_GB2312"/>
                <w:bCs/>
                <w:color w:val="auto"/>
                <w:sz w:val="24"/>
                <w:szCs w:val="24"/>
                <w:highlight w:val="none"/>
              </w:rPr>
            </w:pPr>
          </w:p>
        </w:tc>
      </w:tr>
      <w:tr w14:paraId="18BF3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2" w:type="dxa"/>
            <w:noWrap w:val="0"/>
            <w:vAlign w:val="center"/>
          </w:tcPr>
          <w:p w14:paraId="3548D96E">
            <w:pPr>
              <w:pageBreakBefore w:val="0"/>
              <w:widowControl/>
              <w:kinsoku/>
              <w:wordWrap/>
              <w:overflowPunct/>
              <w:topLinePunct w:val="0"/>
              <w:bidi w:val="0"/>
              <w:snapToGrid w:val="0"/>
              <w:spacing w:line="300" w:lineRule="auto"/>
              <w:ind w:left="0"/>
              <w:jc w:val="both"/>
              <w:rPr>
                <w:rFonts w:hint="eastAsia" w:ascii="仿宋_GB2312" w:hAnsi="仿宋_GB2312" w:eastAsia="仿宋_GB2312" w:cs="仿宋_GB2312"/>
                <w:bCs/>
                <w:color w:val="auto"/>
                <w:sz w:val="24"/>
                <w:szCs w:val="24"/>
                <w:highlight w:val="none"/>
              </w:rPr>
            </w:pPr>
          </w:p>
        </w:tc>
        <w:tc>
          <w:tcPr>
            <w:tcW w:w="1256" w:type="dxa"/>
            <w:noWrap w:val="0"/>
            <w:vAlign w:val="center"/>
          </w:tcPr>
          <w:p w14:paraId="13EDE364">
            <w:pPr>
              <w:pageBreakBefore w:val="0"/>
              <w:widowControl/>
              <w:kinsoku/>
              <w:wordWrap/>
              <w:overflowPunct/>
              <w:topLinePunct w:val="0"/>
              <w:bidi w:val="0"/>
              <w:snapToGrid w:val="0"/>
              <w:spacing w:line="300" w:lineRule="auto"/>
              <w:ind w:left="0"/>
              <w:jc w:val="both"/>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保洁员</w:t>
            </w:r>
          </w:p>
        </w:tc>
        <w:tc>
          <w:tcPr>
            <w:tcW w:w="1354" w:type="dxa"/>
            <w:noWrap w:val="0"/>
            <w:vAlign w:val="center"/>
          </w:tcPr>
          <w:p w14:paraId="7EFA5801">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25</w:t>
            </w:r>
          </w:p>
        </w:tc>
        <w:tc>
          <w:tcPr>
            <w:tcW w:w="1912" w:type="dxa"/>
            <w:noWrap w:val="0"/>
            <w:vAlign w:val="center"/>
          </w:tcPr>
          <w:p w14:paraId="7FC887E0">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25</w:t>
            </w:r>
          </w:p>
        </w:tc>
        <w:tc>
          <w:tcPr>
            <w:tcW w:w="3098" w:type="dxa"/>
            <w:noWrap w:val="0"/>
            <w:vAlign w:val="center"/>
          </w:tcPr>
          <w:p w14:paraId="3CA03C50">
            <w:pPr>
              <w:pageBreakBefore w:val="0"/>
              <w:widowControl/>
              <w:kinsoku/>
              <w:wordWrap/>
              <w:overflowPunct/>
              <w:topLinePunct w:val="0"/>
              <w:bidi w:val="0"/>
              <w:snapToGrid w:val="0"/>
              <w:spacing w:line="300" w:lineRule="auto"/>
              <w:ind w:left="0"/>
              <w:jc w:val="both"/>
              <w:rPr>
                <w:rFonts w:hint="eastAsia" w:ascii="仿宋_GB2312" w:hAnsi="仿宋_GB2312" w:eastAsia="仿宋_GB2312" w:cs="仿宋_GB2312"/>
                <w:bCs/>
                <w:color w:val="auto"/>
                <w:sz w:val="24"/>
                <w:szCs w:val="24"/>
                <w:highlight w:val="none"/>
                <w:lang w:val="en-US" w:eastAsia="zh-CN"/>
              </w:rPr>
            </w:pPr>
          </w:p>
        </w:tc>
      </w:tr>
      <w:tr w14:paraId="531F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2" w:type="dxa"/>
            <w:noWrap w:val="0"/>
            <w:vAlign w:val="center"/>
          </w:tcPr>
          <w:p w14:paraId="16887035">
            <w:pPr>
              <w:pageBreakBefore w:val="0"/>
              <w:widowControl/>
              <w:kinsoku/>
              <w:wordWrap/>
              <w:overflowPunct/>
              <w:topLinePunct w:val="0"/>
              <w:bidi w:val="0"/>
              <w:snapToGrid w:val="0"/>
              <w:spacing w:line="300" w:lineRule="auto"/>
              <w:ind w:left="0"/>
              <w:jc w:val="both"/>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绿化服务</w:t>
            </w:r>
          </w:p>
        </w:tc>
        <w:tc>
          <w:tcPr>
            <w:tcW w:w="1256" w:type="dxa"/>
            <w:noWrap w:val="0"/>
            <w:vAlign w:val="center"/>
          </w:tcPr>
          <w:p w14:paraId="55938117">
            <w:pPr>
              <w:pageBreakBefore w:val="0"/>
              <w:widowControl/>
              <w:kinsoku/>
              <w:wordWrap/>
              <w:overflowPunct/>
              <w:topLinePunct w:val="0"/>
              <w:bidi w:val="0"/>
              <w:snapToGrid w:val="0"/>
              <w:spacing w:line="300" w:lineRule="auto"/>
              <w:ind w:left="0"/>
              <w:jc w:val="both"/>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绿</w:t>
            </w:r>
            <w:r>
              <w:rPr>
                <w:rFonts w:hint="eastAsia" w:ascii="仿宋_GB2312" w:hAnsi="仿宋_GB2312" w:eastAsia="仿宋_GB2312" w:cs="仿宋_GB2312"/>
                <w:bCs/>
                <w:color w:val="auto"/>
                <w:sz w:val="24"/>
                <w:szCs w:val="24"/>
                <w:highlight w:val="none"/>
                <w:lang w:val="en-US" w:eastAsia="zh-CN"/>
              </w:rPr>
              <w:t>地管护员</w:t>
            </w:r>
          </w:p>
        </w:tc>
        <w:tc>
          <w:tcPr>
            <w:tcW w:w="1354" w:type="dxa"/>
            <w:noWrap w:val="0"/>
            <w:vAlign w:val="center"/>
          </w:tcPr>
          <w:p w14:paraId="5EAE4C93">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4</w:t>
            </w:r>
          </w:p>
        </w:tc>
        <w:tc>
          <w:tcPr>
            <w:tcW w:w="1912" w:type="dxa"/>
            <w:noWrap w:val="0"/>
            <w:vAlign w:val="center"/>
          </w:tcPr>
          <w:p w14:paraId="24262C6E">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4</w:t>
            </w:r>
          </w:p>
        </w:tc>
        <w:tc>
          <w:tcPr>
            <w:tcW w:w="3098" w:type="dxa"/>
            <w:noWrap w:val="0"/>
            <w:vAlign w:val="center"/>
          </w:tcPr>
          <w:p w14:paraId="282C827C">
            <w:pPr>
              <w:pageBreakBefore w:val="0"/>
              <w:widowControl/>
              <w:kinsoku/>
              <w:wordWrap/>
              <w:overflowPunct/>
              <w:topLinePunct w:val="0"/>
              <w:bidi w:val="0"/>
              <w:snapToGrid w:val="0"/>
              <w:spacing w:line="300" w:lineRule="auto"/>
              <w:ind w:left="0"/>
              <w:jc w:val="both"/>
              <w:rPr>
                <w:rFonts w:hint="eastAsia" w:ascii="仿宋_GB2312" w:hAnsi="仿宋_GB2312" w:eastAsia="仿宋_GB2312" w:cs="仿宋_GB2312"/>
                <w:bCs/>
                <w:color w:val="auto"/>
                <w:sz w:val="24"/>
                <w:szCs w:val="24"/>
                <w:highlight w:val="none"/>
              </w:rPr>
            </w:pPr>
          </w:p>
        </w:tc>
      </w:tr>
      <w:tr w14:paraId="4B21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2" w:type="dxa"/>
            <w:noWrap w:val="0"/>
            <w:vAlign w:val="center"/>
          </w:tcPr>
          <w:p w14:paraId="17E651B8">
            <w:pPr>
              <w:pageBreakBefore w:val="0"/>
              <w:widowControl/>
              <w:kinsoku/>
              <w:wordWrap/>
              <w:overflowPunct/>
              <w:topLinePunct w:val="0"/>
              <w:bidi w:val="0"/>
              <w:snapToGrid w:val="0"/>
              <w:spacing w:line="300" w:lineRule="auto"/>
              <w:ind w:left="0"/>
              <w:jc w:val="both"/>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会议服务</w:t>
            </w:r>
          </w:p>
        </w:tc>
        <w:tc>
          <w:tcPr>
            <w:tcW w:w="1256" w:type="dxa"/>
            <w:noWrap w:val="0"/>
            <w:vAlign w:val="center"/>
          </w:tcPr>
          <w:p w14:paraId="636A0D6B">
            <w:pPr>
              <w:pageBreakBefore w:val="0"/>
              <w:widowControl/>
              <w:kinsoku/>
              <w:wordWrap/>
              <w:overflowPunct/>
              <w:topLinePunct w:val="0"/>
              <w:bidi w:val="0"/>
              <w:snapToGrid w:val="0"/>
              <w:spacing w:line="300" w:lineRule="auto"/>
              <w:ind w:left="0" w:leftChars="0"/>
              <w:jc w:val="both"/>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rPr>
              <w:t>会务</w:t>
            </w:r>
          </w:p>
        </w:tc>
        <w:tc>
          <w:tcPr>
            <w:tcW w:w="1354" w:type="dxa"/>
            <w:noWrap w:val="0"/>
            <w:vAlign w:val="center"/>
          </w:tcPr>
          <w:p w14:paraId="416E0EC7">
            <w:pPr>
              <w:pageBreakBefore w:val="0"/>
              <w:widowControl/>
              <w:kinsoku/>
              <w:wordWrap/>
              <w:overflowPunct/>
              <w:topLinePunct w:val="0"/>
              <w:bidi w:val="0"/>
              <w:snapToGrid w:val="0"/>
              <w:spacing w:line="300" w:lineRule="auto"/>
              <w:ind w:left="0" w:leftChars="0"/>
              <w:jc w:val="center"/>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kern w:val="2"/>
                <w:sz w:val="24"/>
                <w:szCs w:val="24"/>
                <w:highlight w:val="none"/>
                <w:lang w:val="en-US" w:eastAsia="zh-CN" w:bidi="ar-SA"/>
              </w:rPr>
              <w:t>2</w:t>
            </w:r>
          </w:p>
        </w:tc>
        <w:tc>
          <w:tcPr>
            <w:tcW w:w="1912" w:type="dxa"/>
            <w:noWrap w:val="0"/>
            <w:vAlign w:val="center"/>
          </w:tcPr>
          <w:p w14:paraId="1D34E5DA">
            <w:pPr>
              <w:pageBreakBefore w:val="0"/>
              <w:widowControl/>
              <w:kinsoku/>
              <w:wordWrap/>
              <w:overflowPunct/>
              <w:topLinePunct w:val="0"/>
              <w:bidi w:val="0"/>
              <w:snapToGrid w:val="0"/>
              <w:spacing w:line="300" w:lineRule="auto"/>
              <w:ind w:left="0" w:leftChars="0"/>
              <w:jc w:val="center"/>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kern w:val="2"/>
                <w:sz w:val="24"/>
                <w:szCs w:val="24"/>
                <w:highlight w:val="none"/>
                <w:lang w:val="en-US" w:eastAsia="zh-CN" w:bidi="ar-SA"/>
              </w:rPr>
              <w:t>2</w:t>
            </w:r>
          </w:p>
        </w:tc>
        <w:tc>
          <w:tcPr>
            <w:tcW w:w="3098" w:type="dxa"/>
            <w:noWrap w:val="0"/>
            <w:vAlign w:val="center"/>
          </w:tcPr>
          <w:p w14:paraId="33BEE08B">
            <w:pPr>
              <w:pageBreakBefore w:val="0"/>
              <w:widowControl/>
              <w:kinsoku/>
              <w:wordWrap/>
              <w:overflowPunct/>
              <w:topLinePunct w:val="0"/>
              <w:bidi w:val="0"/>
              <w:snapToGrid w:val="0"/>
              <w:spacing w:line="300" w:lineRule="auto"/>
              <w:ind w:left="0" w:leftChars="0"/>
              <w:jc w:val="both"/>
              <w:rPr>
                <w:rFonts w:hint="eastAsia" w:ascii="仿宋_GB2312" w:hAnsi="仿宋_GB2312" w:eastAsia="仿宋_GB2312" w:cs="仿宋_GB2312"/>
                <w:bCs/>
                <w:color w:val="auto"/>
                <w:kern w:val="2"/>
                <w:sz w:val="24"/>
                <w:szCs w:val="24"/>
                <w:highlight w:val="none"/>
                <w:lang w:val="en-US" w:eastAsia="zh-CN" w:bidi="ar-SA"/>
              </w:rPr>
            </w:pPr>
          </w:p>
        </w:tc>
      </w:tr>
    </w:tbl>
    <w:p w14:paraId="61D01F8E">
      <w:pPr>
        <w:pStyle w:val="2"/>
        <w:bidi w:val="0"/>
        <w:rPr>
          <w:rFonts w:hint="eastAsia"/>
        </w:rPr>
      </w:pPr>
    </w:p>
    <w:p w14:paraId="4D4A2F6A">
      <w:pPr>
        <w:pageBreakBefore w:val="0"/>
        <w:kinsoku/>
        <w:wordWrap/>
        <w:overflowPunct/>
        <w:topLinePunct w:val="0"/>
        <w:bidi w:val="0"/>
        <w:snapToGrid w:val="0"/>
        <w:spacing w:line="300" w:lineRule="auto"/>
        <w:ind w:firstLine="476" w:firstLineChars="200"/>
        <w:outlineLvl w:val="9"/>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项目概述</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该项目服务区域包含</w:t>
      </w:r>
      <w:r>
        <w:rPr>
          <w:rFonts w:hint="eastAsia" w:asciiTheme="minorEastAsia" w:hAnsiTheme="minorEastAsia" w:eastAsiaTheme="minorEastAsia" w:cstheme="minorEastAsia"/>
          <w:spacing w:val="-1"/>
          <w:sz w:val="24"/>
          <w:szCs w:val="24"/>
          <w:lang w:val="en-US" w:eastAsia="zh-CN"/>
        </w:rPr>
        <w:t>中院</w:t>
      </w:r>
      <w:r>
        <w:rPr>
          <w:rFonts w:hint="eastAsia" w:asciiTheme="minorEastAsia" w:hAnsiTheme="minorEastAsia" w:eastAsiaTheme="minorEastAsia" w:cstheme="minorEastAsia"/>
          <w:spacing w:val="-1"/>
          <w:sz w:val="24"/>
          <w:szCs w:val="24"/>
        </w:rPr>
        <w:t>机关办公楼内的公共区域（走廊、步梯、卫生间）、会议室（审判庭）、地下室、地下车库和室外公共区域（办公区广场、道路、绿地、车棚</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围墙外公共区域</w:t>
      </w:r>
      <w:r>
        <w:rPr>
          <w:rFonts w:hint="eastAsia" w:asciiTheme="minorEastAsia" w:hAnsiTheme="minorEastAsia" w:eastAsiaTheme="minorEastAsia" w:cstheme="minorEastAsia"/>
          <w:spacing w:val="-1"/>
          <w:sz w:val="24"/>
          <w:szCs w:val="24"/>
        </w:rPr>
        <w:t xml:space="preserve">等），服务面积总计为 </w:t>
      </w:r>
      <w:r>
        <w:rPr>
          <w:rFonts w:hint="eastAsia" w:asciiTheme="minorEastAsia" w:hAnsiTheme="minorEastAsia" w:eastAsiaTheme="minorEastAsia" w:cstheme="minorEastAsia"/>
          <w:spacing w:val="-1"/>
          <w:sz w:val="24"/>
          <w:szCs w:val="24"/>
          <w:lang w:val="en-US" w:eastAsia="zh-CN"/>
        </w:rPr>
        <w:t>78000</w:t>
      </w:r>
      <w:r>
        <w:rPr>
          <w:rFonts w:hint="eastAsia" w:asciiTheme="minorEastAsia" w:hAnsiTheme="minorEastAsia" w:eastAsiaTheme="minorEastAsia" w:cstheme="minorEastAsia"/>
          <w:spacing w:val="-1"/>
          <w:sz w:val="24"/>
          <w:szCs w:val="24"/>
        </w:rPr>
        <w:t xml:space="preserve"> ㎡。</w:t>
      </w:r>
    </w:p>
    <w:p w14:paraId="250DB99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0F4DF964">
      <w:pPr>
        <w:pStyle w:val="2"/>
        <w:spacing w:line="360" w:lineRule="auto"/>
        <w:ind w:firstLine="476" w:firstLineChars="200"/>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服务</w:t>
      </w:r>
      <w:r>
        <w:rPr>
          <w:rFonts w:hint="eastAsia" w:asciiTheme="minorEastAsia" w:hAnsiTheme="minorEastAsia" w:eastAsiaTheme="minorEastAsia" w:cstheme="minorEastAsia"/>
          <w:spacing w:val="-1"/>
          <w:sz w:val="24"/>
          <w:szCs w:val="24"/>
        </w:rPr>
        <w:t>期限</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三年（</w:t>
      </w:r>
      <w:r>
        <w:rPr>
          <w:rFonts w:hint="eastAsia" w:ascii="宋体" w:hAnsi="宋体" w:eastAsia="宋体" w:cs="宋体"/>
          <w:color w:val="000000" w:themeColor="text1"/>
          <w:spacing w:val="0"/>
          <w:sz w:val="24"/>
          <w:szCs w:val="24"/>
          <w:lang w:val="en-US" w:eastAsia="zh-CN"/>
          <w14:textFill>
            <w14:solidFill>
              <w14:schemeClr w14:val="tx1"/>
            </w14:solidFill>
          </w14:textFill>
        </w:rPr>
        <w:t>合同每年一签</w:t>
      </w:r>
      <w:r>
        <w:rPr>
          <w:rFonts w:hint="eastAsia" w:cs="宋体"/>
          <w:color w:val="000000" w:themeColor="text1"/>
          <w:spacing w:val="0"/>
          <w:sz w:val="24"/>
          <w:szCs w:val="24"/>
          <w:lang w:val="en-US" w:eastAsia="zh-CN"/>
          <w14:textFill>
            <w14:solidFill>
              <w14:schemeClr w14:val="tx1"/>
            </w14:solidFill>
          </w14:textFill>
        </w:rPr>
        <w:t>，</w:t>
      </w:r>
      <w:r>
        <w:rPr>
          <w:rFonts w:hint="eastAsia" w:ascii="宋体" w:hAnsi="宋体" w:eastAsia="宋体" w:cs="宋体"/>
          <w:color w:val="000000" w:themeColor="text1"/>
          <w:spacing w:val="0"/>
          <w:sz w:val="24"/>
          <w:szCs w:val="24"/>
          <w:lang w:val="en-US" w:eastAsia="zh-CN"/>
          <w14:textFill>
            <w14:solidFill>
              <w14:schemeClr w14:val="tx1"/>
            </w14:solidFill>
          </w14:textFill>
        </w:rPr>
        <w:t>经采购人年度考核合格可续签下一年度合同，最多续签两次）</w:t>
      </w:r>
    </w:p>
    <w:p w14:paraId="5DFFD4C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rPr>
        <w:t>地点</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采购人指定地点</w:t>
      </w:r>
    </w:p>
    <w:p w14:paraId="346CF01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2.付款方式：按中标金额平均三年，按年度支付。</w:t>
      </w:r>
    </w:p>
    <w:p w14:paraId="3E20A71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.验收标准</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pacing w:val="30"/>
          <w:sz w:val="24"/>
          <w:szCs w:val="24"/>
          <w:lang w:val="en-US" w:eastAsia="zh-CN"/>
        </w:rPr>
        <w:t>符合验收标准</w:t>
      </w:r>
    </w:p>
    <w:p w14:paraId="4DD95E7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样品，样品提供要求、方式、摆放时间及地点</w:t>
      </w:r>
    </w:p>
    <w:p w14:paraId="1563153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60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样品。</w:t>
      </w:r>
    </w:p>
    <w:p w14:paraId="7473290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演示，演示要求、内容、方式及地点。鼓励使用不见面演示。</w:t>
      </w:r>
    </w:p>
    <w:p w14:paraId="4818D88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600" w:firstLineChars="200"/>
        <w:jc w:val="both"/>
        <w:textAlignment w:val="baseline"/>
        <w:outlineLvl w:val="9"/>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演示。</w:t>
      </w:r>
    </w:p>
    <w:p w14:paraId="6510E508">
      <w:pPr>
        <w:ind w:firstLine="420" w:firstLineChars="200"/>
        <w:rPr>
          <w:rFonts w:hint="default" w:ascii="宋体" w:hAnsi="宋体" w:cs="宋体"/>
          <w:color w:val="000000" w:themeColor="text1"/>
          <w:sz w:val="24"/>
          <w:lang w:val="en-US" w:eastAsia="zh-CN"/>
          <w14:textFill>
            <w14:solidFill>
              <w14:schemeClr w14:val="tx1"/>
            </w14:solidFill>
          </w14:textFill>
        </w:rPr>
      </w:pPr>
      <w:r>
        <w:rPr>
          <w:rFonts w:hint="eastAsia" w:eastAsia="宋体"/>
          <w:lang w:val="en-US" w:eastAsia="zh-CN"/>
        </w:rPr>
        <w:t>6.</w:t>
      </w:r>
      <w:r>
        <w:rPr>
          <w:rFonts w:hint="eastAsia" w:ascii="宋体" w:hAnsi="宋体" w:cs="宋体"/>
          <w:color w:val="000000" w:themeColor="text1"/>
          <w:sz w:val="24"/>
          <w:lang w:val="en-US" w:eastAsia="zh-CN"/>
          <w14:textFill>
            <w14:solidFill>
              <w14:schemeClr w14:val="tx1"/>
            </w14:solidFill>
          </w14:textFill>
        </w:rPr>
        <w:t>供应商需提供本项目服务方案（设备配备方案、物业管理制度、人员培训管理方案、人员配备方案、应急预案）</w:t>
      </w:r>
    </w:p>
    <w:p w14:paraId="390864B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8C8AF1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15317F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9F58E9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E9D54F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81B2B0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C23657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F39D16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D924AA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0F8214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87F38A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ED27F3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D8AE64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F63F10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744D10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6FAA1DC">
      <w:pPr>
        <w:rPr>
          <w:rFonts w:hint="eastAsia"/>
        </w:rPr>
      </w:pPr>
    </w:p>
    <w:p w14:paraId="61BCE2A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供应商须知</w:t>
      </w:r>
    </w:p>
    <w:p w14:paraId="4DE6411C">
      <w:pPr>
        <w:pStyle w:val="2"/>
        <w:keepNext w:val="0"/>
        <w:keepLines w:val="0"/>
        <w:pageBreakBefore w:val="0"/>
        <w:kinsoku/>
        <w:wordWrap w:val="0"/>
        <w:overflowPunct/>
        <w:topLinePunct w:val="0"/>
        <w:bidi w:val="0"/>
        <w:spacing w:line="220" w:lineRule="auto"/>
        <w:ind w:left="3861"/>
        <w:jc w:val="both"/>
        <w:rPr>
          <w:spacing w:val="-1"/>
          <w:sz w:val="28"/>
          <w:szCs w:val="28"/>
          <w14:textOutline w14:w="1800" w14:cap="flat" w14:cmpd="sng">
            <w14:solidFill>
              <w14:srgbClr w14:val="000000"/>
            </w14:solidFill>
            <w14:prstDash w14:val="solid"/>
            <w14:miter w14:val="0"/>
          </w14:textOutline>
        </w:rPr>
      </w:pPr>
    </w:p>
    <w:p w14:paraId="15FEA1C6">
      <w:pPr>
        <w:pStyle w:val="2"/>
        <w:keepNext w:val="0"/>
        <w:keepLines w:val="0"/>
        <w:pageBreakBefore w:val="0"/>
        <w:kinsoku/>
        <w:wordWrap w:val="0"/>
        <w:overflowPunct/>
        <w:topLinePunct w:val="0"/>
        <w:bidi w:val="0"/>
        <w:spacing w:line="220" w:lineRule="auto"/>
        <w:ind w:left="3861"/>
        <w:jc w:val="both"/>
        <w:rPr>
          <w:spacing w:val="-1"/>
          <w:sz w:val="28"/>
          <w:szCs w:val="28"/>
          <w14:textOutline w14:w="1800" w14:cap="flat" w14:cmpd="sng">
            <w14:solidFill>
              <w14:srgbClr w14:val="000000"/>
            </w14:solidFill>
            <w14:prstDash w14:val="solid"/>
            <w14:miter w14:val="0"/>
          </w14:textOutline>
        </w:rPr>
      </w:pPr>
      <w:r>
        <w:rPr>
          <w:spacing w:val="-1"/>
          <w:sz w:val="28"/>
          <w:szCs w:val="28"/>
          <w14:textOutline w14:w="1800" w14:cap="flat" w14:cmpd="sng">
            <w14:solidFill>
              <w14:srgbClr w14:val="000000"/>
            </w14:solidFill>
            <w14:prstDash w14:val="solid"/>
            <w14:miter w14:val="0"/>
          </w14:textOutline>
        </w:rPr>
        <w:t>供应商须知表</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6B044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623E94D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26AE218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365F0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006A6BC">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30A89FD">
            <w:pPr>
              <w:pStyle w:val="20"/>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64220AEC">
            <w:pPr>
              <w:pStyle w:val="20"/>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9"/>
                <w:sz w:val="24"/>
                <w:szCs w:val="24"/>
              </w:rPr>
              <w:t>□货物</w:t>
            </w:r>
          </w:p>
          <w:p w14:paraId="2CC4F1EB">
            <w:pPr>
              <w:pStyle w:val="20"/>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lang w:val="en-US" w:eastAsia="zh-CN"/>
              </w:rPr>
            </w:pP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19"/>
                <w:sz w:val="24"/>
                <w:szCs w:val="24"/>
                <w:lang w:val="en-US" w:eastAsia="zh-CN"/>
              </w:rPr>
              <w:t>工程</w:t>
            </w:r>
          </w:p>
        </w:tc>
      </w:tr>
      <w:tr w14:paraId="6530BA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A6FD37F">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0D548153">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1851D173">
            <w:pPr>
              <w:pStyle w:val="20"/>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54CA3E67">
            <w:pPr>
              <w:pStyle w:val="20"/>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007D9C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0588CDB">
            <w:pPr>
              <w:pStyle w:val="2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14:paraId="0E051A1D">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D2CB05D">
            <w:pPr>
              <w:pStyle w:val="2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633024BD">
            <w:pPr>
              <w:pStyle w:val="2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27C58FDD">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77A4BE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472080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48D90F26">
            <w:pPr>
              <w:pStyle w:val="2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6E087971">
            <w:pPr>
              <w:pStyle w:val="2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778D89C4">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5B512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C1B4B9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91A243C">
            <w:pPr>
              <w:pStyle w:val="20"/>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物业管理</w:t>
            </w:r>
          </w:p>
          <w:p w14:paraId="3B58EF0C">
            <w:pPr>
              <w:pStyle w:val="20"/>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14:paraId="20F6AC58">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14:paraId="005923E8">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74006E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406E1CF0">
            <w:pPr>
              <w:pStyle w:val="20"/>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1983C7F8">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磋商</w:t>
            </w: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64F65940">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磋商</w:t>
            </w:r>
            <w:r>
              <w:rPr>
                <w:rFonts w:hint="eastAsia" w:asciiTheme="minorEastAsia" w:hAnsiTheme="minorEastAsia" w:eastAsiaTheme="minorEastAsia" w:cstheme="minorEastAsia"/>
                <w:spacing w:val="-7"/>
                <w:sz w:val="24"/>
                <w:szCs w:val="24"/>
              </w:rPr>
              <w:t>报价的特殊规定：</w:t>
            </w:r>
          </w:p>
          <w:p w14:paraId="4EBA5CE7">
            <w:pPr>
              <w:pStyle w:val="20"/>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4D55C8CD">
            <w:pPr>
              <w:pStyle w:val="20"/>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2AA9A159">
            <w:pPr>
              <w:pStyle w:val="20"/>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7D2E4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7682C3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2DE643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397.8 </w:t>
            </w:r>
            <w:r>
              <w:rPr>
                <w:rFonts w:hint="eastAsia" w:asciiTheme="minorEastAsia" w:hAnsiTheme="minorEastAsia" w:eastAsiaTheme="minorEastAsia" w:cstheme="minorEastAsia"/>
                <w:b w:val="0"/>
                <w:bCs/>
                <w:sz w:val="24"/>
                <w:szCs w:val="24"/>
                <w:lang w:val="en-US" w:eastAsia="zh-CN"/>
              </w:rPr>
              <w:t>万元（三年）</w:t>
            </w:r>
          </w:p>
        </w:tc>
      </w:tr>
      <w:tr w14:paraId="736E8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A1D77F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95EA05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1C6BE6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19F78A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F981D0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文件：1份</w:t>
            </w:r>
          </w:p>
        </w:tc>
      </w:tr>
      <w:tr w14:paraId="1DC2A1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EDCA52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上传</w:t>
            </w:r>
            <w:r>
              <w:rPr>
                <w:rFonts w:hint="eastAsia" w:asciiTheme="minorEastAsia" w:hAnsiTheme="minorEastAsia" w:eastAsiaTheme="minorEastAsia" w:cstheme="minorEastAsia"/>
                <w:sz w:val="24"/>
                <w:szCs w:val="24"/>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080A3F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2025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5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27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00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14:paraId="6E70B6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BD68A8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响应文件开启</w:t>
            </w:r>
            <w:r>
              <w:rPr>
                <w:rFonts w:hint="eastAsia" w:asciiTheme="minorEastAsia" w:hAnsiTheme="minorEastAsia" w:eastAsiaTheme="minorEastAsia" w:cstheme="minorEastAsia"/>
                <w:sz w:val="24"/>
                <w:szCs w:val="24"/>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EF525A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single"/>
                <w:lang w:val="en-US" w:eastAsia="zh-CN"/>
              </w:rPr>
              <w:t xml:space="preserve">  2025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5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27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00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14:paraId="74884C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7B91B3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B08F1A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eastAsia="zh-CN"/>
              </w:rPr>
              <w:t>综合评分法</w:t>
            </w:r>
          </w:p>
        </w:tc>
      </w:tr>
      <w:tr w14:paraId="1F149B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178366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CE5301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w:t>
            </w:r>
            <w:r>
              <w:rPr>
                <w:rFonts w:hint="eastAsia" w:asciiTheme="minorEastAsia" w:hAnsiTheme="minorEastAsia" w:eastAsiaTheme="minorEastAsia" w:cstheme="minorEastAsia"/>
                <w:sz w:val="24"/>
                <w:szCs w:val="24"/>
                <w:lang w:val="en-US" w:eastAsia="zh-CN"/>
              </w:rPr>
              <w:t>磋商小组</w:t>
            </w:r>
            <w:r>
              <w:rPr>
                <w:rFonts w:hint="eastAsia" w:asciiTheme="minorEastAsia" w:hAnsiTheme="minorEastAsia" w:eastAsiaTheme="minorEastAsia" w:cstheme="minorEastAsia"/>
                <w:sz w:val="24"/>
                <w:szCs w:val="24"/>
                <w:lang w:eastAsia="zh-CN"/>
              </w:rPr>
              <w:t>直接确定</w:t>
            </w:r>
            <w:r>
              <w:rPr>
                <w:rFonts w:hint="eastAsia" w:asciiTheme="minorEastAsia" w:hAnsiTheme="minorEastAsia" w:eastAsiaTheme="minorEastAsia" w:cstheme="minorEastAsia"/>
                <w:sz w:val="24"/>
                <w:szCs w:val="24"/>
                <w:lang w:val="en-US" w:eastAsia="zh-CN"/>
              </w:rPr>
              <w:t>成交</w:t>
            </w:r>
            <w:r>
              <w:rPr>
                <w:rFonts w:hint="eastAsia" w:asciiTheme="minorEastAsia" w:hAnsiTheme="minorEastAsia" w:eastAsiaTheme="minorEastAsia" w:cstheme="minorEastAsia"/>
                <w:sz w:val="24"/>
                <w:szCs w:val="24"/>
                <w:lang w:eastAsia="zh-CN"/>
              </w:rPr>
              <w:t>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否</w:t>
            </w:r>
          </w:p>
        </w:tc>
      </w:tr>
      <w:tr w14:paraId="1BD5C0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794BDBD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008EE97B">
            <w:pPr>
              <w:pStyle w:val="20"/>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p w14:paraId="718915AD">
            <w:pPr>
              <w:pStyle w:val="20"/>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z w:val="24"/>
                <w:szCs w:val="24"/>
                <w:lang w:val="en-US"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采购人</w:t>
            </w: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3"/>
                <w:sz w:val="24"/>
                <w:szCs w:val="24"/>
                <w:lang w:val="en-US" w:eastAsia="zh-CN"/>
              </w:rPr>
              <w:t>中标人</w:t>
            </w:r>
          </w:p>
          <w:p w14:paraId="1CC40175">
            <w:pPr>
              <w:pStyle w:val="20"/>
              <w:keepNext w:val="0"/>
              <w:keepLines w:val="0"/>
              <w:pageBreakBefore w:val="0"/>
              <w:kinsoku/>
              <w:wordWrap w:val="0"/>
              <w:overflowPunct/>
              <w:topLinePunct w:val="0"/>
              <w:bidi w:val="0"/>
              <w:spacing w:before="1" w:line="220" w:lineRule="auto"/>
              <w:ind w:left="126" w:left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pacing w:val="-13"/>
                <w:sz w:val="24"/>
                <w:szCs w:val="24"/>
                <w:lang w:val="en-US" w:eastAsia="zh-CN"/>
              </w:rPr>
              <w:t>收费标准：</w:t>
            </w:r>
          </w:p>
        </w:tc>
      </w:tr>
    </w:tbl>
    <w:p w14:paraId="18BDD227">
      <w:pPr>
        <w:keepNext w:val="0"/>
        <w:keepLines w:val="0"/>
        <w:pageBreakBefore w:val="0"/>
        <w:kinsoku/>
        <w:wordWrap w:val="0"/>
        <w:overflowPunct/>
        <w:topLinePunct w:val="0"/>
        <w:bidi w:val="0"/>
        <w:spacing w:line="371" w:lineRule="auto"/>
        <w:jc w:val="both"/>
        <w:rPr>
          <w:rFonts w:ascii="Arial"/>
          <w:sz w:val="21"/>
        </w:rPr>
      </w:pPr>
    </w:p>
    <w:p w14:paraId="102EB64A">
      <w:pPr>
        <w:keepNext w:val="0"/>
        <w:keepLines w:val="0"/>
        <w:pageBreakBefore w:val="0"/>
        <w:kinsoku/>
        <w:wordWrap w:val="0"/>
        <w:overflowPunct/>
        <w:topLinePunct w:val="0"/>
        <w:bidi w:val="0"/>
        <w:spacing w:line="243" w:lineRule="auto"/>
        <w:jc w:val="both"/>
        <w:rPr>
          <w:rFonts w:ascii="Arial"/>
          <w:sz w:val="21"/>
        </w:rPr>
      </w:pPr>
    </w:p>
    <w:p w14:paraId="0280C5FC">
      <w:pPr>
        <w:keepNext w:val="0"/>
        <w:keepLines w:val="0"/>
        <w:pageBreakBefore w:val="0"/>
        <w:kinsoku/>
        <w:wordWrap w:val="0"/>
        <w:overflowPunct/>
        <w:topLinePunct w:val="0"/>
        <w:bidi w:val="0"/>
        <w:spacing w:line="244" w:lineRule="auto"/>
        <w:jc w:val="both"/>
        <w:rPr>
          <w:rFonts w:ascii="Arial"/>
          <w:sz w:val="21"/>
        </w:rPr>
      </w:pPr>
    </w:p>
    <w:p w14:paraId="69893EB0">
      <w:pPr>
        <w:pStyle w:val="2"/>
        <w:keepNext w:val="0"/>
        <w:keepLines w:val="0"/>
        <w:pageBreakBefore w:val="0"/>
        <w:kinsoku/>
        <w:wordWrap w:val="0"/>
        <w:overflowPunct/>
        <w:topLinePunct w:val="0"/>
        <w:bidi w:val="0"/>
        <w:spacing w:before="91" w:line="360" w:lineRule="auto"/>
        <w:ind w:left="3844"/>
        <w:jc w:val="both"/>
        <w:rPr>
          <w:sz w:val="28"/>
          <w:szCs w:val="28"/>
        </w:rPr>
      </w:pPr>
      <w:r>
        <w:rPr>
          <w:spacing w:val="-1"/>
          <w:sz w:val="28"/>
          <w:szCs w:val="28"/>
          <w14:textOutline w14:w="1800" w14:cap="flat" w14:cmpd="sng">
            <w14:solidFill>
              <w14:srgbClr w14:val="000000"/>
            </w14:solidFill>
            <w14:prstDash w14:val="solid"/>
            <w14:miter w14:val="0"/>
          </w14:textOutline>
        </w:rPr>
        <w:t>供应商须知</w:t>
      </w:r>
    </w:p>
    <w:p w14:paraId="4FB3EA13">
      <w:pPr>
        <w:pStyle w:val="2"/>
        <w:keepNext w:val="0"/>
        <w:keepLines w:val="0"/>
        <w:pageBreakBefore w:val="0"/>
        <w:kinsoku/>
        <w:wordWrap w:val="0"/>
        <w:overflowPunct/>
        <w:topLinePunct w:val="0"/>
        <w:bidi w:val="0"/>
        <w:spacing w:before="270" w:line="360" w:lineRule="auto"/>
        <w:jc w:val="both"/>
        <w:rPr>
          <w:rFonts w:hint="eastAsia" w:asciiTheme="minorEastAsia" w:hAnsiTheme="minorEastAsia" w:eastAsiaTheme="minorEastAsia" w:cstheme="minorEastAsia"/>
          <w:spacing w:val="-1"/>
          <w:sz w:val="24"/>
          <w:szCs w:val="24"/>
        </w:rPr>
      </w:pPr>
      <w:r>
        <w:rPr>
          <w:spacing w:val="-10"/>
          <w:sz w:val="28"/>
          <w:szCs w:val="28"/>
          <w14:textOutline w14:w="1800" w14:cap="flat" w14:cmpd="sng">
            <w14:solidFill>
              <w14:srgbClr w14:val="000000"/>
            </w14:solidFill>
            <w14:prstDash w14:val="solid"/>
            <w14:miter w14:val="0"/>
          </w14:textOutline>
        </w:rPr>
        <w:t>一</w:t>
      </w:r>
      <w:r>
        <w:rPr>
          <w:rFonts w:hint="eastAsia"/>
          <w:spacing w:val="5"/>
          <w:sz w:val="28"/>
          <w:szCs w:val="28"/>
          <w:lang w:eastAsia="zh-CN"/>
        </w:rPr>
        <w:t>、</w:t>
      </w:r>
      <w:r>
        <w:rPr>
          <w:spacing w:val="-10"/>
          <w:sz w:val="28"/>
          <w:szCs w:val="28"/>
          <w14:textOutline w14:w="1800" w14:cap="flat" w14:cmpd="sng">
            <w14:solidFill>
              <w14:srgbClr w14:val="000000"/>
            </w14:solidFill>
            <w14:prstDash w14:val="solid"/>
            <w14:miter w14:val="0"/>
          </w14:textOutline>
        </w:rPr>
        <w:t>说明</w:t>
      </w:r>
    </w:p>
    <w:p w14:paraId="330AD8A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w:t>
      </w:r>
      <w:r>
        <w:rPr>
          <w:rFonts w:hint="eastAsia" w:asciiTheme="minorEastAsia" w:hAnsiTheme="minorEastAsia" w:eastAsiaTheme="minorEastAsia" w:cstheme="minorEastAsia"/>
          <w:b/>
          <w:bCs/>
          <w:spacing w:val="-4"/>
          <w:sz w:val="24"/>
          <w:szCs w:val="24"/>
          <w:lang w:val="en-US" w:eastAsia="zh-CN"/>
        </w:rPr>
        <w:t>供应商</w:t>
      </w:r>
      <w:r>
        <w:rPr>
          <w:rFonts w:hint="eastAsia" w:asciiTheme="minorEastAsia" w:hAnsiTheme="minorEastAsia" w:eastAsiaTheme="minorEastAsia" w:cstheme="minorEastAsia"/>
          <w:b/>
          <w:bCs/>
          <w:spacing w:val="-1"/>
          <w:sz w:val="24"/>
          <w:szCs w:val="24"/>
        </w:rPr>
        <w:t>、联合体</w:t>
      </w:r>
    </w:p>
    <w:p w14:paraId="07B6304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p>
    <w:p w14:paraId="26051EB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供应商（也称申请人）：指向采购人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0BA9B36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5246237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资金来源、项目属性、科研仪器设备采购</w:t>
      </w:r>
    </w:p>
    <w:p w14:paraId="629FED2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val="en-US" w:eastAsia="zh-CN"/>
        </w:rPr>
        <w:t xml:space="preserve">  397.8  </w:t>
      </w:r>
      <w:r>
        <w:rPr>
          <w:rFonts w:hint="eastAsia" w:asciiTheme="minorEastAsia" w:hAnsiTheme="minorEastAsia" w:eastAsiaTheme="minorEastAsia" w:cstheme="minorEastAsia"/>
          <w:spacing w:val="7"/>
          <w:sz w:val="24"/>
          <w:szCs w:val="24"/>
          <w:u w:val="none"/>
          <w:lang w:val="en-US" w:eastAsia="zh-CN"/>
        </w:rPr>
        <w:t>万元（三年）</w:t>
      </w:r>
      <w:r>
        <w:rPr>
          <w:rFonts w:hint="eastAsia" w:asciiTheme="minorEastAsia" w:hAnsiTheme="minorEastAsia" w:eastAsiaTheme="minorEastAsia" w:cstheme="minorEastAsia"/>
          <w:spacing w:val="-9"/>
          <w:sz w:val="24"/>
          <w:szCs w:val="24"/>
        </w:rPr>
        <w:t>。</w:t>
      </w:r>
    </w:p>
    <w:p w14:paraId="044841D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项目属性见《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14:paraId="03EA03D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是否属于科研仪器设备采购见《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14:paraId="28F5141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3EADFB1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val="en-US" w:eastAsia="zh-CN"/>
        </w:rPr>
        <w:t>供应商</w:t>
      </w:r>
      <w:r>
        <w:rPr>
          <w:rFonts w:hint="eastAsia" w:asciiTheme="minorEastAsia" w:hAnsiTheme="minorEastAsia" w:eastAsiaTheme="minorEastAsia" w:cstheme="minorEastAsia"/>
          <w:spacing w:val="3"/>
          <w:sz w:val="24"/>
          <w:szCs w:val="24"/>
          <w:lang w:eastAsia="zh-CN"/>
        </w:rPr>
        <w:t>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前答疑会，则供应商</w:t>
      </w:r>
      <w:r>
        <w:rPr>
          <w:rFonts w:hint="eastAsia" w:asciiTheme="minorEastAsia" w:hAnsiTheme="minorEastAsia" w:eastAsiaTheme="minorEastAsia" w:cstheme="minorEastAsia"/>
          <w:spacing w:val="-3"/>
          <w:sz w:val="24"/>
          <w:szCs w:val="24"/>
        </w:rPr>
        <w:t>应按要求在规定的时间和地点参加。</w:t>
      </w:r>
    </w:p>
    <w:p w14:paraId="47E67B0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前答疑会而导致对项目实际情况不了解，影响</w:t>
      </w:r>
      <w:r>
        <w:rPr>
          <w:rFonts w:hint="eastAsia" w:asciiTheme="minorEastAsia" w:hAnsiTheme="minorEastAsia" w:eastAsiaTheme="minorEastAsia" w:cstheme="minorEastAsia"/>
          <w:spacing w:val="2"/>
          <w:sz w:val="24"/>
          <w:szCs w:val="24"/>
          <w:lang w:val="en-US" w:eastAsia="zh-CN"/>
        </w:rPr>
        <w:t>响应</w:t>
      </w:r>
      <w:r>
        <w:rPr>
          <w:rFonts w:hint="eastAsia" w:asciiTheme="minorEastAsia" w:hAnsiTheme="minorEastAsia" w:eastAsiaTheme="minorEastAsia" w:cstheme="minorEastAsia"/>
          <w:spacing w:val="2"/>
          <w:sz w:val="24"/>
          <w:szCs w:val="24"/>
        </w:rPr>
        <w:t>文件编制、</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报价准确性、综合因素响应不全面等问题的，由</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rPr>
        <w:t>自行承担不利评审后果。</w:t>
      </w:r>
    </w:p>
    <w:p w14:paraId="191A837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3951E3D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2C73498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73A28A0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w:t>
      </w:r>
      <w:r>
        <w:rPr>
          <w:rFonts w:hint="eastAsia" w:asciiTheme="minorEastAsia" w:hAnsiTheme="minorEastAsia" w:eastAsiaTheme="minorEastAsia" w:cstheme="minorEastAsia"/>
          <w:spacing w:val="-5"/>
          <w:sz w:val="24"/>
          <w:szCs w:val="24"/>
          <w:lang w:val="en-US" w:eastAsia="zh-CN"/>
        </w:rPr>
        <w:t>磋商</w:t>
      </w:r>
      <w:r>
        <w:rPr>
          <w:rFonts w:hint="eastAsia" w:asciiTheme="minorEastAsia" w:hAnsiTheme="minorEastAsia" w:eastAsiaTheme="minorEastAsia" w:cstheme="minorEastAsia"/>
          <w:spacing w:val="-5"/>
          <w:sz w:val="24"/>
          <w:szCs w:val="24"/>
        </w:rPr>
        <w:t>，则具体要求见第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7194D8C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5ED0DBF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10CB729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2B36DC7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HYPERLINK"5.2.1.1"</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.2.1.1</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4739E12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HYPERLINK"5.2.1.2"</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.2.1.2</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5BE473E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7EC1F06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49889CF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6E88E34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HYPERLINK"5.2.1.3"</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.2.1.3</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5C350DF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HYPERLINK"5.2.1.4"</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.2.1.4</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3186089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50B9F9B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461D5BC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1EB120E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28CA0CC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61A3B80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466FBA1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3FADDD7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02C7884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val="en-US" w:eastAsia="zh-CN"/>
        </w:rPr>
        <w:t>竞争性磋商公告</w:t>
      </w:r>
      <w:r>
        <w:rPr>
          <w:rFonts w:hint="eastAsia" w:asciiTheme="minorEastAsia" w:hAnsiTheme="minorEastAsia" w:eastAsiaTheme="minorEastAsia" w:cstheme="minorEastAsia"/>
          <w:spacing w:val="-8"/>
          <w:sz w:val="24"/>
          <w:szCs w:val="24"/>
        </w:rPr>
        <w:t>》。</w:t>
      </w:r>
    </w:p>
    <w:p w14:paraId="7CA3E6D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val="en-US" w:eastAsia="zh-CN"/>
        </w:rPr>
        <w:t>供应商</w:t>
      </w:r>
      <w:r>
        <w:rPr>
          <w:rFonts w:hint="eastAsia" w:asciiTheme="minorEastAsia" w:hAnsiTheme="minorEastAsia" w:eastAsiaTheme="minorEastAsia" w:cstheme="minorEastAsia"/>
          <w:spacing w:val="-8"/>
          <w:sz w:val="24"/>
          <w:szCs w:val="24"/>
          <w:lang w:eastAsia="zh-CN"/>
        </w:rPr>
        <w:t>须知表</w:t>
      </w:r>
      <w:r>
        <w:rPr>
          <w:rFonts w:hint="eastAsia" w:asciiTheme="minorEastAsia" w:hAnsiTheme="minorEastAsia" w:eastAsiaTheme="minorEastAsia" w:cstheme="minorEastAsia"/>
          <w:spacing w:val="-8"/>
          <w:sz w:val="24"/>
          <w:szCs w:val="24"/>
        </w:rPr>
        <w:t>》。</w:t>
      </w:r>
    </w:p>
    <w:p w14:paraId="5A411E3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小微企业价格评审优惠的政策调整：见第四章《评</w:t>
      </w:r>
      <w:r>
        <w:rPr>
          <w:rFonts w:hint="eastAsia" w:asciiTheme="minorEastAsia" w:hAnsiTheme="minorEastAsia" w:eastAsiaTheme="minorEastAsia" w:cstheme="minorEastAsia"/>
          <w:spacing w:val="-8"/>
          <w:sz w:val="24"/>
          <w:szCs w:val="24"/>
          <w:lang w:val="en-US" w:eastAsia="zh-CN"/>
        </w:rPr>
        <w:t>审</w:t>
      </w:r>
      <w:r>
        <w:rPr>
          <w:rFonts w:hint="eastAsia" w:asciiTheme="minorEastAsia" w:hAnsiTheme="minorEastAsia" w:eastAsiaTheme="minorEastAsia" w:cstheme="minorEastAsia"/>
          <w:spacing w:val="-8"/>
          <w:sz w:val="24"/>
          <w:szCs w:val="24"/>
        </w:rPr>
        <w:t>程序、评审方法和评审标准》。</w:t>
      </w:r>
    </w:p>
    <w:p w14:paraId="680452C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14:paraId="5E84B91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71416B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.3.2</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57EAB9D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8"/>
          <w:sz w:val="24"/>
          <w:szCs w:val="24"/>
        </w:rPr>
        <w:t>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w:t>
      </w:r>
      <w:r>
        <w:rPr>
          <w:rFonts w:hint="eastAsia" w:asciiTheme="minorEastAsia" w:hAnsiTheme="minorEastAsia" w:eastAsiaTheme="minorEastAsia" w:cstheme="minorEastAsia"/>
          <w:b/>
          <w:bCs/>
          <w:spacing w:val="-8"/>
          <w:sz w:val="24"/>
          <w:szCs w:val="24"/>
          <w:lang w:val="en-US" w:eastAsia="zh-CN"/>
        </w:rPr>
        <w:t>响应</w:t>
      </w:r>
      <w:r>
        <w:rPr>
          <w:rFonts w:hint="eastAsia" w:asciiTheme="minorEastAsia" w:hAnsiTheme="minorEastAsia" w:eastAsiaTheme="minorEastAsia" w:cstheme="minorEastAsia"/>
          <w:b/>
          <w:bCs/>
          <w:spacing w:val="-8"/>
          <w:sz w:val="24"/>
          <w:szCs w:val="24"/>
        </w:rPr>
        <w:t>无效；</w:t>
      </w:r>
    </w:p>
    <w:p w14:paraId="66CE20D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lang w:val="en-US" w:eastAsia="zh-CN"/>
        </w:rPr>
        <w:t>审</w:t>
      </w:r>
      <w:r>
        <w:rPr>
          <w:rFonts w:hint="eastAsia" w:asciiTheme="minorEastAsia" w:hAnsiTheme="minorEastAsia" w:eastAsiaTheme="minorEastAsia" w:cstheme="minorEastAsia"/>
          <w:spacing w:val="-8"/>
          <w:sz w:val="24"/>
          <w:szCs w:val="24"/>
        </w:rPr>
        <w:t>程序、评审方法和评审标准》。（如涉及）。</w:t>
      </w:r>
    </w:p>
    <w:p w14:paraId="06A5F72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14:paraId="042801E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lang w:val="en-US" w:eastAsia="zh-CN"/>
        </w:rPr>
        <w:t>响应</w:t>
      </w:r>
      <w:r>
        <w:rPr>
          <w:rFonts w:hint="eastAsia" w:asciiTheme="minorEastAsia" w:hAnsiTheme="minorEastAsia" w:eastAsiaTheme="minorEastAsia" w:cstheme="minorEastAsia"/>
          <w:spacing w:val="-8"/>
          <w:sz w:val="24"/>
          <w:szCs w:val="24"/>
        </w:rPr>
        <w:t>无效。财政部、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15BF787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18F9136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14:paraId="20E0116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2DA7847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14:paraId="7347262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0BE9AFC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34D3AA1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227AAD7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sz w:val="24"/>
          <w:szCs w:val="24"/>
          <w:lang w:val="en-US" w:eastAsia="zh-CN"/>
        </w:rPr>
        <w:t>5.采购</w:t>
      </w:r>
      <w:r>
        <w:rPr>
          <w:rFonts w:hint="eastAsia" w:asciiTheme="minorEastAsia" w:hAnsiTheme="minorEastAsia" w:eastAsiaTheme="minorEastAsia" w:cstheme="minorEastAsia"/>
          <w:b/>
          <w:bCs/>
          <w:spacing w:val="-2"/>
          <w:sz w:val="24"/>
          <w:szCs w:val="24"/>
        </w:rPr>
        <w:t>费用</w:t>
      </w:r>
    </w:p>
    <w:p w14:paraId="2A39A76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4"/>
          <w:sz w:val="24"/>
          <w:szCs w:val="24"/>
        </w:rPr>
        <w:t>应自行承担所有与准备和参加</w:t>
      </w:r>
      <w:r>
        <w:rPr>
          <w:rFonts w:hint="eastAsia" w:asciiTheme="minorEastAsia" w:hAnsiTheme="minorEastAsia" w:eastAsiaTheme="minorEastAsia" w:cstheme="minorEastAsia"/>
          <w:spacing w:val="-4"/>
          <w:sz w:val="24"/>
          <w:szCs w:val="24"/>
          <w:lang w:val="en-US" w:eastAsia="zh-CN"/>
        </w:rPr>
        <w:t>本次采购</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磋商</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3ED8C92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6.采购范围及适用法律</w:t>
      </w:r>
    </w:p>
    <w:p w14:paraId="3C2F84B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74CFB97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河南省财政厅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2F60E81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6.3“服务”指采购文件规定供应商应承担的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物业管理  </w:t>
      </w:r>
      <w:r>
        <w:rPr>
          <w:rFonts w:hint="eastAsia" w:asciiTheme="minorEastAsia" w:hAnsiTheme="minorEastAsia" w:eastAsiaTheme="minorEastAsia" w:cstheme="minorEastAsia"/>
          <w:snapToGrid w:val="0"/>
          <w:color w:val="000000"/>
          <w:spacing w:val="-12"/>
          <w:kern w:val="0"/>
          <w:sz w:val="24"/>
          <w:szCs w:val="24"/>
          <w:lang w:val="en-US" w:eastAsia="zh-CN" w:bidi="ar-SA"/>
        </w:rPr>
        <w:t>服务。</w:t>
      </w:r>
    </w:p>
    <w:p w14:paraId="222C53B4">
      <w:pPr>
        <w:keepNext w:val="0"/>
        <w:keepLines w:val="0"/>
        <w:pageBreakBefore w:val="0"/>
        <w:kinsoku/>
        <w:wordWrap w:val="0"/>
        <w:overflowPunct/>
        <w:topLinePunct w:val="0"/>
        <w:bidi w:val="0"/>
        <w:spacing w:line="292" w:lineRule="auto"/>
        <w:jc w:val="both"/>
        <w:rPr>
          <w:rFonts w:ascii="Arial"/>
          <w:sz w:val="21"/>
        </w:rPr>
      </w:pPr>
    </w:p>
    <w:p w14:paraId="19E92AA8">
      <w:pPr>
        <w:pStyle w:val="2"/>
        <w:keepNext w:val="0"/>
        <w:keepLines w:val="0"/>
        <w:pageBreakBefore w:val="0"/>
        <w:kinsoku/>
        <w:wordWrap w:val="0"/>
        <w:overflowPunct/>
        <w:topLinePunct w:val="0"/>
        <w:bidi w:val="0"/>
        <w:spacing w:before="91" w:line="360" w:lineRule="auto"/>
        <w:jc w:val="both"/>
        <w:rPr>
          <w:rFonts w:hint="eastAsia"/>
          <w:sz w:val="24"/>
          <w:szCs w:val="24"/>
          <w:lang w:val="en-US" w:eastAsia="zh-CN"/>
        </w:rPr>
      </w:pPr>
      <w:r>
        <w:rPr>
          <w:spacing w:val="-1"/>
          <w:sz w:val="28"/>
          <w:szCs w:val="28"/>
          <w14:textOutline w14:w="1800" w14:cap="flat" w14:cmpd="sng">
            <w14:solidFill>
              <w14:srgbClr w14:val="000000"/>
            </w14:solidFill>
            <w14:prstDash w14:val="solid"/>
            <w14:miter w14:val="0"/>
          </w14:textOutline>
        </w:rPr>
        <w:t>二</w:t>
      </w:r>
      <w:r>
        <w:rPr>
          <w:rFonts w:hint="eastAsia"/>
          <w:spacing w:val="-1"/>
          <w:sz w:val="28"/>
          <w:szCs w:val="28"/>
          <w:lang w:eastAsia="zh-CN"/>
        </w:rPr>
        <w:t>、</w:t>
      </w:r>
      <w:r>
        <w:rPr>
          <w:spacing w:val="-1"/>
          <w:sz w:val="28"/>
          <w:szCs w:val="28"/>
          <w14:textOutline w14:w="1800" w14:cap="flat" w14:cmpd="sng">
            <w14:solidFill>
              <w14:srgbClr w14:val="000000"/>
            </w14:solidFill>
            <w14:prstDash w14:val="solid"/>
            <w14:miter w14:val="0"/>
          </w14:textOutline>
        </w:rPr>
        <w:t>竞争性磋商文件</w:t>
      </w:r>
    </w:p>
    <w:p w14:paraId="1CA62664">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rPr>
      </w:pPr>
      <w:r>
        <w:rPr>
          <w:rFonts w:hint="eastAsia"/>
          <w:b/>
          <w:bCs/>
          <w:sz w:val="24"/>
          <w:szCs w:val="24"/>
          <w:lang w:val="en-US" w:eastAsia="zh-CN"/>
        </w:rPr>
        <w:t>7.</w:t>
      </w:r>
      <w:r>
        <w:rPr>
          <w:b/>
          <w:bCs/>
          <w:sz w:val="24"/>
          <w:szCs w:val="24"/>
        </w:rPr>
        <w:t>竞争性磋商文件构成</w:t>
      </w:r>
    </w:p>
    <w:p w14:paraId="78D3DA42">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rFonts w:hint="eastAsia"/>
          <w:spacing w:val="-1"/>
          <w:sz w:val="24"/>
          <w:szCs w:val="24"/>
          <w:lang w:val="en-US" w:eastAsia="zh-CN"/>
        </w:rPr>
        <w:t>7</w:t>
      </w:r>
      <w:r>
        <w:rPr>
          <w:spacing w:val="-1"/>
          <w:sz w:val="24"/>
          <w:szCs w:val="24"/>
        </w:rPr>
        <w:t>.1</w:t>
      </w:r>
      <w:r>
        <w:rPr>
          <w:rFonts w:hint="eastAsia"/>
          <w:spacing w:val="-1"/>
          <w:sz w:val="24"/>
          <w:szCs w:val="24"/>
          <w:lang w:val="en-US" w:eastAsia="zh-CN"/>
        </w:rPr>
        <w:t xml:space="preserve"> </w:t>
      </w:r>
      <w:r>
        <w:rPr>
          <w:spacing w:val="-1"/>
          <w:sz w:val="24"/>
          <w:szCs w:val="24"/>
        </w:rPr>
        <w:t>竞争性磋商文件包括以下部分：</w:t>
      </w:r>
    </w:p>
    <w:p w14:paraId="7ACF1D2F">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fldChar w:fldCharType="begin"/>
      </w:r>
      <w:r>
        <w:rPr>
          <w:spacing w:val="-1"/>
          <w:sz w:val="24"/>
          <w:szCs w:val="24"/>
        </w:rPr>
        <w:instrText xml:space="preserve">HYPERLINK\l"bookmark1"</w:instrText>
      </w:r>
      <w:r>
        <w:rPr>
          <w:spacing w:val="-1"/>
          <w:sz w:val="24"/>
          <w:szCs w:val="24"/>
        </w:rPr>
        <w:fldChar w:fldCharType="separate"/>
      </w:r>
      <w:r>
        <w:rPr>
          <w:spacing w:val="-1"/>
          <w:sz w:val="24"/>
          <w:szCs w:val="24"/>
        </w:rPr>
        <w:t>第一章</w:t>
      </w:r>
      <w:r>
        <w:rPr>
          <w:rFonts w:hint="eastAsia"/>
          <w:spacing w:val="-1"/>
          <w:sz w:val="24"/>
          <w:szCs w:val="24"/>
          <w:lang w:val="en-US" w:eastAsia="zh-CN"/>
        </w:rPr>
        <w:t xml:space="preserve"> </w:t>
      </w:r>
      <w:r>
        <w:rPr>
          <w:rFonts w:hint="eastAsia"/>
          <w:spacing w:val="-1"/>
          <w:sz w:val="24"/>
          <w:szCs w:val="24"/>
          <w:lang w:eastAsia="zh-CN"/>
        </w:rPr>
        <w:t>竞争性磋商公告</w:t>
      </w:r>
      <w:r>
        <w:rPr>
          <w:spacing w:val="-1"/>
          <w:sz w:val="24"/>
          <w:szCs w:val="24"/>
        </w:rPr>
        <w:fldChar w:fldCharType="end"/>
      </w:r>
    </w:p>
    <w:p w14:paraId="291254C7">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第二章</w:t>
      </w:r>
      <w:r>
        <w:rPr>
          <w:rFonts w:hint="eastAsia"/>
          <w:spacing w:val="-1"/>
          <w:sz w:val="24"/>
          <w:szCs w:val="24"/>
          <w:lang w:val="en-US" w:eastAsia="zh-CN"/>
        </w:rPr>
        <w:t xml:space="preserve"> </w:t>
      </w:r>
      <w:r>
        <w:rPr>
          <w:spacing w:val="-1"/>
          <w:sz w:val="24"/>
          <w:szCs w:val="24"/>
        </w:rPr>
        <w:t>采购需求</w:t>
      </w:r>
    </w:p>
    <w:p w14:paraId="28874EFF">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第三章</w:t>
      </w:r>
      <w:r>
        <w:rPr>
          <w:rFonts w:hint="eastAsia"/>
          <w:spacing w:val="-1"/>
          <w:sz w:val="24"/>
          <w:szCs w:val="24"/>
          <w:lang w:val="en-US" w:eastAsia="zh-CN"/>
        </w:rPr>
        <w:t xml:space="preserve"> </w:t>
      </w:r>
      <w:r>
        <w:rPr>
          <w:spacing w:val="-1"/>
          <w:sz w:val="24"/>
          <w:szCs w:val="24"/>
        </w:rPr>
        <w:t>供应商须知</w:t>
      </w:r>
    </w:p>
    <w:p w14:paraId="40031706">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第四章</w:t>
      </w:r>
      <w:r>
        <w:rPr>
          <w:rFonts w:hint="eastAsia"/>
          <w:spacing w:val="-1"/>
          <w:sz w:val="24"/>
          <w:szCs w:val="24"/>
          <w:lang w:val="en-US" w:eastAsia="zh-CN"/>
        </w:rPr>
        <w:t xml:space="preserve"> </w:t>
      </w:r>
      <w:r>
        <w:rPr>
          <w:rFonts w:hint="eastAsia"/>
          <w:spacing w:val="-1"/>
          <w:sz w:val="24"/>
          <w:szCs w:val="24"/>
        </w:rPr>
        <w:t>评</w:t>
      </w:r>
      <w:r>
        <w:rPr>
          <w:rFonts w:hint="eastAsia"/>
          <w:spacing w:val="-1"/>
          <w:sz w:val="24"/>
          <w:szCs w:val="24"/>
          <w:lang w:val="en-US" w:eastAsia="zh-CN"/>
        </w:rPr>
        <w:t>审</w:t>
      </w:r>
      <w:r>
        <w:rPr>
          <w:rFonts w:hint="eastAsia"/>
          <w:spacing w:val="-1"/>
          <w:sz w:val="24"/>
          <w:szCs w:val="24"/>
        </w:rPr>
        <w:t>程序、</w:t>
      </w:r>
      <w:r>
        <w:rPr>
          <w:spacing w:val="-1"/>
          <w:sz w:val="24"/>
          <w:szCs w:val="24"/>
        </w:rPr>
        <w:t>评审方法和评审标准</w:t>
      </w:r>
    </w:p>
    <w:p w14:paraId="0F4781F1">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第五章</w:t>
      </w:r>
      <w:r>
        <w:rPr>
          <w:rFonts w:hint="eastAsia"/>
          <w:spacing w:val="-1"/>
          <w:sz w:val="24"/>
          <w:szCs w:val="24"/>
          <w:lang w:val="en-US" w:eastAsia="zh-CN"/>
        </w:rPr>
        <w:t xml:space="preserve"> </w:t>
      </w:r>
      <w:r>
        <w:rPr>
          <w:rFonts w:hint="eastAsia"/>
          <w:spacing w:val="-1"/>
          <w:sz w:val="24"/>
          <w:szCs w:val="24"/>
          <w:lang w:eastAsia="zh-CN"/>
        </w:rPr>
        <w:t>政府采购合同（草案）</w:t>
      </w:r>
    </w:p>
    <w:p w14:paraId="0746D1E3">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第六章</w:t>
      </w:r>
      <w:r>
        <w:rPr>
          <w:rFonts w:hint="eastAsia"/>
          <w:spacing w:val="-1"/>
          <w:sz w:val="24"/>
          <w:szCs w:val="24"/>
          <w:lang w:val="en-US" w:eastAsia="zh-CN"/>
        </w:rPr>
        <w:t xml:space="preserve"> </w:t>
      </w:r>
      <w:r>
        <w:rPr>
          <w:spacing w:val="-1"/>
          <w:sz w:val="24"/>
          <w:szCs w:val="24"/>
        </w:rPr>
        <w:t>响应文件格式</w:t>
      </w:r>
    </w:p>
    <w:p w14:paraId="5743571A">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2A02B701">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8.对竞争性磋商文件的澄清或修改</w:t>
      </w:r>
    </w:p>
    <w:p w14:paraId="1F74520B">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8.1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可用补充文件的方式修正竞争性磋商文件，补充文件内容以公告的形式告知所有竞争性磋商文件收受人，该补充文件将成为竞争性磋商文件的组成部分，并替代所修正的部分。</w:t>
      </w:r>
    </w:p>
    <w:p w14:paraId="38E94198">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8.2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可以酌情延长上传截止时间，并将此变更以公告形式通知所有竞争性磋商文件收受人。</w:t>
      </w:r>
    </w:p>
    <w:p w14:paraId="65B501AA">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lang w:val="en-US" w:eastAsia="zh-CN"/>
        </w:rPr>
        <w:t>（必须在原公告发布媒体上发布公告）</w:t>
      </w:r>
      <w:r>
        <w:rPr>
          <w:rFonts w:hint="eastAsia"/>
          <w:spacing w:val="-1"/>
          <w:sz w:val="24"/>
          <w:szCs w:val="24"/>
          <w:lang w:val="en-US" w:eastAsia="zh-CN"/>
        </w:rPr>
        <w:t>通知所有获取磋商文件的供应商；不足5日的，将顺延上传响应文件截止时间。</w:t>
      </w:r>
    </w:p>
    <w:p w14:paraId="744A1B6C">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lang w:val="en-US" w:eastAsia="zh-CN"/>
        </w:rPr>
        <w:t>采购人或采购代理机构</w:t>
      </w:r>
      <w:r>
        <w:rPr>
          <w:rFonts w:hint="eastAsia"/>
          <w:b/>
          <w:bCs/>
          <w:spacing w:val="-1"/>
          <w:sz w:val="24"/>
          <w:szCs w:val="24"/>
          <w:lang w:val="en-US" w:eastAsia="zh-CN"/>
        </w:rPr>
        <w:t>发布的一切公告信息（包括采购公告、变更公告、澄清公告等）均在“河南省政府采购网”“全国公共资源交易平台（河南省·南阳市）”等媒体发布，请潜在供应商随时查询有关公告信息。若因潜在供应商没有及时查看到公告信息而造成的失误，责任自负。</w:t>
      </w:r>
    </w:p>
    <w:p w14:paraId="228D994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8.5 供应商应关注是否有发布最新的澄清更正公告和更正的最新磋商文件（电子答疑文件），如有则需下载最新的磋商文件，并在此基础上制作最新的响应文件并上传。</w:t>
      </w:r>
    </w:p>
    <w:p w14:paraId="0F5CB85F">
      <w:pPr>
        <w:pStyle w:val="2"/>
        <w:keepNext w:val="0"/>
        <w:keepLines w:val="0"/>
        <w:pageBreakBefore w:val="0"/>
        <w:kinsoku/>
        <w:wordWrap w:val="0"/>
        <w:overflowPunct/>
        <w:topLinePunct w:val="0"/>
        <w:bidi w:val="0"/>
        <w:spacing w:before="179" w:line="220" w:lineRule="auto"/>
        <w:jc w:val="both"/>
        <w:rPr>
          <w:sz w:val="24"/>
          <w:szCs w:val="24"/>
        </w:rPr>
      </w:pPr>
    </w:p>
    <w:p w14:paraId="261FE33C">
      <w:pPr>
        <w:pStyle w:val="2"/>
        <w:keepNext w:val="0"/>
        <w:keepLines w:val="0"/>
        <w:pageBreakBefore w:val="0"/>
        <w:kinsoku/>
        <w:wordWrap w:val="0"/>
        <w:overflowPunct/>
        <w:topLinePunct w:val="0"/>
        <w:bidi w:val="0"/>
        <w:spacing w:before="91" w:line="360" w:lineRule="auto"/>
        <w:jc w:val="both"/>
        <w:rPr>
          <w:rFonts w:hint="eastAsia" w:ascii="Arial" w:hAnsi="Arial" w:eastAsia="宋体" w:cs="Arial"/>
          <w:sz w:val="24"/>
          <w:szCs w:val="24"/>
          <w:lang w:val="en-US" w:eastAsia="zh-CN"/>
        </w:rPr>
      </w:pPr>
      <w:r>
        <w:rPr>
          <w:spacing w:val="-4"/>
          <w:sz w:val="28"/>
          <w:szCs w:val="28"/>
          <w14:textOutline w14:w="1800" w14:cap="flat" w14:cmpd="sng">
            <w14:solidFill>
              <w14:srgbClr w14:val="000000"/>
            </w14:solidFill>
            <w14:prstDash w14:val="solid"/>
            <w14:miter w14:val="0"/>
          </w14:textOutline>
        </w:rPr>
        <w:t>三</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响应文件的编制</w:t>
      </w:r>
    </w:p>
    <w:p w14:paraId="65D4D3E7">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lang w:val="en-US" w:eastAsia="zh-CN"/>
        </w:rPr>
      </w:pPr>
      <w:r>
        <w:rPr>
          <w:rFonts w:hint="eastAsia"/>
          <w:b/>
          <w:bCs/>
          <w:spacing w:val="-1"/>
          <w:sz w:val="24"/>
          <w:szCs w:val="24"/>
          <w:lang w:val="en-US" w:eastAsia="zh-CN"/>
        </w:rPr>
        <w:t>9.响应范围、竞争性磋商文件中计量单位的使用及磋商语言</w:t>
      </w:r>
    </w:p>
    <w:p w14:paraId="73BB65A8">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7D62EFE5">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9.2 除竞争性磋商文件有特殊要求外，本项目磋商所使用的计量单位，应采用中华人民共和国法定计量单位。</w:t>
      </w:r>
    </w:p>
    <w:p w14:paraId="0F65D139">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671A8B98">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lang w:val="en-US" w:eastAsia="zh-CN"/>
        </w:rPr>
      </w:pPr>
      <w:r>
        <w:rPr>
          <w:rFonts w:hint="eastAsia"/>
          <w:b/>
          <w:bCs/>
          <w:spacing w:val="-1"/>
          <w:sz w:val="24"/>
          <w:szCs w:val="24"/>
          <w:lang w:val="en-US" w:eastAsia="zh-CN"/>
        </w:rPr>
        <w:t>10.响应文件构成</w:t>
      </w:r>
    </w:p>
    <w:p w14:paraId="382E39D1">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10.1 供应商应当按照竞争性磋商文件的要求编制响应文件，并对其提交的响应文件的真实性、合法性承担法律责任。响应文件的部分格式要求，见第六章《响应文件格式》。</w:t>
      </w:r>
    </w:p>
    <w:p w14:paraId="1B3FE0B0">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52942B5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文件应使用CA数字证书并在截止时间前上传其加密版本，</w:t>
      </w:r>
      <w:r>
        <w:rPr>
          <w:rFonts w:hint="eastAsia" w:asciiTheme="minorEastAsia" w:hAnsiTheme="minorEastAsia" w:eastAsiaTheme="minorEastAsia" w:cstheme="minorEastAsia"/>
          <w:sz w:val="24"/>
          <w:szCs w:val="24"/>
          <w:lang w:val="en-US" w:eastAsia="zh-CN"/>
        </w:rPr>
        <w:t>根据磋商文件中规定的下载平台要求，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lang w:eastAsia="zh-CN"/>
        </w:rPr>
        <w:t>文件，将被平台系统拒绝。</w:t>
      </w:r>
    </w:p>
    <w:p w14:paraId="4E91A66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spacing w:val="-1"/>
          <w:sz w:val="24"/>
          <w:szCs w:val="24"/>
        </w:rPr>
        <w:t>评</w:t>
      </w:r>
      <w:r>
        <w:rPr>
          <w:rFonts w:hint="eastAsia"/>
          <w:spacing w:val="-1"/>
          <w:sz w:val="24"/>
          <w:szCs w:val="24"/>
          <w:lang w:val="en-US" w:eastAsia="zh-CN"/>
        </w:rPr>
        <w:t>审</w:t>
      </w:r>
      <w:r>
        <w:rPr>
          <w:rFonts w:hint="eastAsia"/>
          <w:spacing w:val="-1"/>
          <w:sz w:val="24"/>
          <w:szCs w:val="24"/>
        </w:rPr>
        <w:t>程序、</w:t>
      </w:r>
      <w:r>
        <w:rPr>
          <w:spacing w:val="-1"/>
          <w:sz w:val="24"/>
          <w:szCs w:val="24"/>
        </w:rPr>
        <w:t>评审方法和评审标准</w:t>
      </w:r>
      <w:r>
        <w:rPr>
          <w:rFonts w:hint="eastAsia" w:asciiTheme="minorEastAsia" w:hAnsiTheme="minorEastAsia" w:eastAsiaTheme="minorEastAsia" w:cstheme="minorEastAsia"/>
          <w:sz w:val="24"/>
          <w:szCs w:val="24"/>
        </w:rPr>
        <w:t>》中涉及的证明文件。</w:t>
      </w:r>
    </w:p>
    <w:p w14:paraId="3000A5B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服务</w:t>
      </w:r>
      <w:r>
        <w:rPr>
          <w:rFonts w:hint="eastAsia" w:asciiTheme="minorEastAsia" w:hAnsiTheme="minorEastAsia" w:eastAsiaTheme="minorEastAsia" w:cstheme="minorEastAsia"/>
          <w:sz w:val="24"/>
          <w:szCs w:val="24"/>
          <w:lang w:val="en-US" w:eastAsia="zh-CN"/>
        </w:rPr>
        <w:t>或工程</w:t>
      </w:r>
      <w:r>
        <w:rPr>
          <w:rFonts w:hint="eastAsia" w:asciiTheme="minorEastAsia" w:hAnsiTheme="minorEastAsia" w:eastAsiaTheme="minorEastAsia" w:cstheme="minorEastAsia"/>
          <w:sz w:val="24"/>
          <w:szCs w:val="24"/>
        </w:rPr>
        <w:t>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rPr>
        <w:t>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03DB096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10.6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编制响应文件时，涉及营业执照、资质、业绩、财务、社保、纳税及各类证书、报告等内容，必须是原件的扫描件。</w:t>
      </w:r>
    </w:p>
    <w:p w14:paraId="305D8D6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认为应附的其他材料。</w:t>
      </w:r>
    </w:p>
    <w:p w14:paraId="7CBE2C35">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11.报价</w:t>
      </w:r>
    </w:p>
    <w:p w14:paraId="270FD6B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报价</w:t>
      </w:r>
      <w:r>
        <w:rPr>
          <w:rFonts w:hint="eastAsia" w:asciiTheme="minorEastAsia" w:hAnsiTheme="minorEastAsia" w:eastAsiaTheme="minorEastAsia" w:cstheme="minorEastAsia"/>
          <w:sz w:val="24"/>
          <w:szCs w:val="24"/>
        </w:rPr>
        <w:t>均以人民币报价。</w:t>
      </w:r>
    </w:p>
    <w:p w14:paraId="20BB357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的报价应包括但不限于下列内容，</w:t>
      </w:r>
      <w:r>
        <w:rPr>
          <w:rFonts w:hint="eastAsia" w:asciiTheme="minorEastAsia" w:hAnsiTheme="minorEastAsia" w:eastAsiaTheme="minorEastAsia" w:cstheme="minorEastAsia"/>
          <w:sz w:val="24"/>
          <w:szCs w:val="24"/>
          <w:lang w:val="en-US" w:eastAsia="zh-CN"/>
        </w:rPr>
        <w:t>磋商文件</w:t>
      </w:r>
      <w:r>
        <w:rPr>
          <w:rFonts w:hint="eastAsia" w:asciiTheme="minorEastAsia" w:hAnsiTheme="minorEastAsia" w:eastAsiaTheme="minorEastAsia" w:cstheme="minorEastAsia"/>
          <w:sz w:val="24"/>
          <w:szCs w:val="24"/>
        </w:rPr>
        <w:t>中有特殊规定的，从其规定。</w:t>
      </w:r>
    </w:p>
    <w:p w14:paraId="3EFF02D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1 </w:t>
      </w:r>
      <w:r>
        <w:rPr>
          <w:rFonts w:hint="eastAsia" w:asciiTheme="minorEastAsia" w:hAnsiTheme="minorEastAsia" w:eastAsiaTheme="minorEastAsia" w:cstheme="minorEastAsia"/>
          <w:sz w:val="24"/>
          <w:szCs w:val="24"/>
          <w:lang w:eastAsia="zh-CN"/>
        </w:rPr>
        <w:t>所投</w:t>
      </w:r>
      <w:r>
        <w:rPr>
          <w:rFonts w:hint="eastAsia" w:asciiTheme="minorEastAsia" w:hAnsiTheme="minorEastAsia" w:eastAsiaTheme="minorEastAsia" w:cstheme="minorEastAsia"/>
          <w:sz w:val="24"/>
          <w:szCs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75CBE5C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文件要求完成本项目的全部相关费用。</w:t>
      </w:r>
    </w:p>
    <w:p w14:paraId="7AFAA4D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499178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w:t>
      </w:r>
      <w:r>
        <w:rPr>
          <w:rFonts w:hint="eastAsia" w:asciiTheme="minorEastAsia" w:hAnsiTheme="minorEastAsia" w:eastAsiaTheme="minorEastAsia" w:cstheme="minorEastAsia"/>
          <w:snapToGrid w:val="0"/>
          <w:color w:val="000000"/>
          <w:spacing w:val="-2"/>
          <w:kern w:val="0"/>
          <w:sz w:val="24"/>
          <w:szCs w:val="24"/>
          <w:lang w:val="en-US" w:eastAsia="zh-CN" w:bidi="ar-SA"/>
        </w:rPr>
        <w:t>竞争性磋商</w:t>
      </w:r>
      <w:r>
        <w:rPr>
          <w:rFonts w:hint="eastAsia" w:asciiTheme="minorEastAsia" w:hAnsiTheme="minorEastAsia" w:eastAsiaTheme="minorEastAsia" w:cstheme="minorEastAsia"/>
          <w:sz w:val="24"/>
          <w:szCs w:val="24"/>
        </w:rPr>
        <w:t>文件另有规定的除外），否则其</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无效。</w:t>
      </w:r>
    </w:p>
    <w:p w14:paraId="4502A54A">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11.5 本项目将按供应商所提交的单价和总价来支付本项目所需的费用。对供应商没有填写单价和总价的内容,将被认为这些项目费用已包括在报价中。</w:t>
      </w:r>
    </w:p>
    <w:p w14:paraId="101EC134">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11.6 磋商结束，供应商进行网上最终报价。</w:t>
      </w:r>
    </w:p>
    <w:p w14:paraId="26793D9E">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11.7 本次采购设有预算，供应商最终报价超过预算的，磋商小组将不予评议。</w:t>
      </w:r>
    </w:p>
    <w:p w14:paraId="5825D775">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11.8 供应商的所有报价不得低于成本恶意竞争。</w:t>
      </w:r>
    </w:p>
    <w:p w14:paraId="414C64A8">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12.响应有效期</w:t>
      </w:r>
    </w:p>
    <w:p w14:paraId="2498C9FF">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25D706B5">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09764522">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13.响应</w:t>
      </w:r>
      <w:r>
        <w:rPr>
          <w:rFonts w:hint="eastAsia" w:asciiTheme="minorEastAsia" w:hAnsiTheme="minorEastAsia" w:eastAsiaTheme="minorEastAsia" w:cstheme="minorEastAsia"/>
          <w:b/>
          <w:bCs/>
          <w:sz w:val="24"/>
          <w:szCs w:val="24"/>
        </w:rPr>
        <w:t>文件的签署、盖章</w:t>
      </w:r>
    </w:p>
    <w:p w14:paraId="42AF428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13.1 电子响应文件必须在规定签章处电子签章或手写签字后扫描上传进响应文件。</w:t>
      </w:r>
    </w:p>
    <w:p w14:paraId="2DB29E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13.2 竞争性磋商文件要求盖章的内容，一般通过CA加盖电子签章。</w:t>
      </w:r>
    </w:p>
    <w:p w14:paraId="0D554DF6">
      <w:pPr>
        <w:pStyle w:val="2"/>
        <w:keepNext w:val="0"/>
        <w:keepLines w:val="0"/>
        <w:pageBreakBefore w:val="0"/>
        <w:kinsoku/>
        <w:wordWrap w:val="0"/>
        <w:overflowPunct/>
        <w:topLinePunct w:val="0"/>
        <w:bidi w:val="0"/>
        <w:spacing w:before="122" w:line="190" w:lineRule="auto"/>
        <w:jc w:val="both"/>
        <w:rPr>
          <w:spacing w:val="-4"/>
          <w:sz w:val="28"/>
          <w:szCs w:val="28"/>
          <w14:textOutline w14:w="1800" w14:cap="flat" w14:cmpd="sng">
            <w14:solidFill>
              <w14:srgbClr w14:val="000000"/>
            </w14:solidFill>
            <w14:prstDash w14:val="solid"/>
            <w14:miter w14:val="0"/>
          </w14:textOutline>
        </w:rPr>
      </w:pPr>
    </w:p>
    <w:p w14:paraId="30E4A91B">
      <w:pPr>
        <w:pStyle w:val="2"/>
        <w:keepNext w:val="0"/>
        <w:keepLines w:val="0"/>
        <w:pageBreakBefore w:val="0"/>
        <w:kinsoku/>
        <w:wordWrap w:val="0"/>
        <w:overflowPunct/>
        <w:topLinePunct w:val="0"/>
        <w:bidi w:val="0"/>
        <w:spacing w:before="122" w:line="360" w:lineRule="auto"/>
        <w:jc w:val="both"/>
        <w:rPr>
          <w:rFonts w:hint="eastAsia" w:ascii="宋体" w:hAnsi="宋体" w:eastAsia="宋体" w:cs="宋体"/>
          <w:snapToGrid w:val="0"/>
          <w:color w:val="000000"/>
          <w:spacing w:val="-1"/>
          <w:kern w:val="0"/>
          <w:sz w:val="24"/>
          <w:szCs w:val="24"/>
          <w:lang w:val="en-US" w:eastAsia="zh-CN" w:bidi="ar-SA"/>
        </w:rPr>
      </w:pPr>
      <w:r>
        <w:rPr>
          <w:spacing w:val="-4"/>
          <w:sz w:val="28"/>
          <w:szCs w:val="28"/>
          <w14:textOutline w14:w="1800" w14:cap="flat" w14:cmpd="sng">
            <w14:solidFill>
              <w14:srgbClr w14:val="000000"/>
            </w14:solidFill>
            <w14:prstDash w14:val="solid"/>
            <w14:miter w14:val="0"/>
          </w14:textOutline>
        </w:rPr>
        <w:t>四</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14:textOutline w14:w="1800" w14:cap="flat" w14:cmpd="sng">
            <w14:solidFill>
              <w14:srgbClr w14:val="000000"/>
            </w14:solidFill>
            <w14:prstDash w14:val="solid"/>
            <w14:miter w14:val="0"/>
          </w14:textOutline>
        </w:rPr>
        <w:t>交</w:t>
      </w:r>
    </w:p>
    <w:p w14:paraId="76F6E66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14.响应文件的提交</w:t>
      </w:r>
    </w:p>
    <w:p w14:paraId="215D86A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电子响应文件的提交是指使用南阳市公共资源交易中心交易系统在上传截止时间前完成制作软件生成的加密电子响应文件的上传。未在上传截止时间前完成上传的，视为逾期提交。逾期提交的响应文件不予受理。</w:t>
      </w:r>
    </w:p>
    <w:p w14:paraId="6DFB70A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采购人及采购代理机构拒绝接受通过电子交易平台以外任何形式提交的响应文件。</w:t>
      </w:r>
    </w:p>
    <w:p w14:paraId="1473D4B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15.响应文件上传截止时间</w:t>
      </w:r>
    </w:p>
    <w:p w14:paraId="42ABC4E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供应商应在竞争性磋商文件要求响应文件上传截止时间前，将电子响应文件提交至电子交易平台。</w:t>
      </w:r>
    </w:p>
    <w:p w14:paraId="10C7083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16.响应文件的修改与撤回</w:t>
      </w:r>
    </w:p>
    <w:p w14:paraId="471F2F9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在采购文件规定的电子响应文件上传截止时间前，供应商可以修改或撤回已上传的电子响应文件，最终电子响应文件以上传截止时间前完成上传至南阳市公共资源交易电子交易平台最后一份加密电子响应文件为准。</w:t>
      </w:r>
      <w:r>
        <w:rPr>
          <w:rFonts w:hint="eastAsia" w:asciiTheme="minorEastAsia" w:hAnsiTheme="minorEastAsia" w:eastAsiaTheme="minorEastAsia" w:cstheme="minorEastAsia"/>
          <w:spacing w:val="3"/>
          <w:sz w:val="24"/>
          <w:szCs w:val="24"/>
          <w:lang w:val="en-US" w:eastAsia="zh-CN"/>
        </w:rPr>
        <w:t>上传截止时间之后，供应商不得修改或撤回电子响应文件。</w:t>
      </w:r>
    </w:p>
    <w:p w14:paraId="0F87EC33">
      <w:pPr>
        <w:pStyle w:val="2"/>
        <w:keepNext w:val="0"/>
        <w:keepLines w:val="0"/>
        <w:pageBreakBefore w:val="0"/>
        <w:kinsoku/>
        <w:wordWrap w:val="0"/>
        <w:overflowPunct/>
        <w:topLinePunct w:val="0"/>
        <w:bidi w:val="0"/>
        <w:spacing w:before="358" w:line="360" w:lineRule="auto"/>
        <w:jc w:val="center"/>
        <w:rPr>
          <w:spacing w:val="-2"/>
          <w:sz w:val="24"/>
          <w:szCs w:val="24"/>
          <w14:textOutline w14:w="1537" w14:cap="flat" w14:cmpd="sng">
            <w14:solidFill>
              <w14:srgbClr w14:val="000000"/>
            </w14:solidFill>
            <w14:prstDash w14:val="solid"/>
            <w14:miter w14:val="0"/>
          </w14:textOutline>
        </w:rPr>
      </w:pPr>
      <w:r>
        <w:rPr>
          <w:spacing w:val="-1"/>
          <w:sz w:val="36"/>
          <w:szCs w:val="36"/>
          <w14:textOutline w14:w="2306" w14:cap="flat" w14:cmpd="sng">
            <w14:solidFill>
              <w14:srgbClr w14:val="000000"/>
            </w14:solidFill>
            <w14:prstDash w14:val="solid"/>
            <w14:miter w14:val="0"/>
          </w14:textOutline>
        </w:rPr>
        <w:t>第</w:t>
      </w:r>
      <w:r>
        <w:rPr>
          <w:rFonts w:hint="eastAsia"/>
          <w:spacing w:val="-1"/>
          <w:sz w:val="36"/>
          <w:szCs w:val="36"/>
          <w:lang w:val="en-US" w:eastAsia="zh-CN"/>
          <w14:textOutline w14:w="2306" w14:cap="flat" w14:cmpd="sng">
            <w14:solidFill>
              <w14:srgbClr w14:val="000000"/>
            </w14:solidFill>
            <w14:prstDash w14:val="solid"/>
            <w14:miter w14:val="0"/>
          </w14:textOutline>
        </w:rPr>
        <w:t>四</w:t>
      </w:r>
      <w:r>
        <w:rPr>
          <w:spacing w:val="-1"/>
          <w:sz w:val="36"/>
          <w:szCs w:val="36"/>
          <w14:textOutline w14:w="2306" w14:cap="flat" w14:cmpd="sng">
            <w14:solidFill>
              <w14:srgbClr w14:val="000000"/>
            </w14:solidFill>
            <w14:prstDash w14:val="solid"/>
            <w14:miter w14:val="0"/>
          </w14:textOutline>
        </w:rPr>
        <w:t>章</w:t>
      </w:r>
      <w:r>
        <w:rPr>
          <w:rFonts w:hint="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14:textOutline w14:w="2306" w14:cap="flat" w14:cmpd="sng">
            <w14:solidFill>
              <w14:srgbClr w14:val="000000"/>
            </w14:solidFill>
            <w14:prstDash w14:val="solid"/>
            <w14:miter w14:val="0"/>
          </w14:textOutline>
        </w:rPr>
        <w:t>评</w:t>
      </w:r>
      <w:r>
        <w:rPr>
          <w:rFonts w:hint="eastAsia"/>
          <w:spacing w:val="-1"/>
          <w:sz w:val="36"/>
          <w:szCs w:val="36"/>
          <w:lang w:val="en-US" w:eastAsia="zh-CN"/>
          <w14:textOutline w14:w="2306" w14:cap="flat" w14:cmpd="sng">
            <w14:solidFill>
              <w14:srgbClr w14:val="000000"/>
            </w14:solidFill>
            <w14:prstDash w14:val="solid"/>
            <w14:miter w14:val="0"/>
          </w14:textOutline>
        </w:rPr>
        <w:t>审</w:t>
      </w:r>
      <w:r>
        <w:rPr>
          <w:rFonts w:hint="eastAsia"/>
          <w:spacing w:val="-1"/>
          <w:sz w:val="36"/>
          <w:szCs w:val="36"/>
          <w14:textOutline w14:w="2306" w14:cap="flat" w14:cmpd="sng">
            <w14:solidFill>
              <w14:srgbClr w14:val="000000"/>
            </w14:solidFill>
            <w14:prstDash w14:val="solid"/>
            <w14:miter w14:val="0"/>
          </w14:textOutline>
        </w:rPr>
        <w:t>程序、</w:t>
      </w:r>
      <w:r>
        <w:rPr>
          <w:spacing w:val="-1"/>
          <w:sz w:val="36"/>
          <w:szCs w:val="36"/>
          <w14:textOutline w14:w="2306" w14:cap="flat" w14:cmpd="sng">
            <w14:solidFill>
              <w14:srgbClr w14:val="000000"/>
            </w14:solidFill>
            <w14:prstDash w14:val="solid"/>
            <w14:miter w14:val="0"/>
          </w14:textOutline>
        </w:rPr>
        <w:t>评审方法和评审标准</w:t>
      </w:r>
    </w:p>
    <w:p w14:paraId="6BE26114">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21FF409">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一、编制、确认竞争性磋商文件</w:t>
      </w:r>
    </w:p>
    <w:p w14:paraId="5598FA4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pacing w:val="3"/>
          <w:sz w:val="24"/>
          <w:szCs w:val="24"/>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zh-CN" w:bidi="ar-SA"/>
        </w:rPr>
        <w:t>根据采购项目特点和采购实际需求编制竞争性磋商文件，编制的竞争性磋商文件应由采购人审核并确认。</w:t>
      </w:r>
    </w:p>
    <w:p w14:paraId="50595657">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33894F4F">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二、发布竞争性磋商公告，邀请供应商参加磋商</w:t>
      </w:r>
    </w:p>
    <w:p w14:paraId="65BFC286">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竞争性磋商文件经采购人书面确认后，将在指定媒体和全国公共资源交易平台（河南省·南阳市）发布竞争性磋商公告。供应商按照公告和竞争性磋商文件要求制作并递交响应文件。</w:t>
      </w:r>
    </w:p>
    <w:p w14:paraId="63401CAE">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3310D43F">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三、组建磋商小组</w:t>
      </w:r>
    </w:p>
    <w:p w14:paraId="7976F26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根据</w:t>
      </w:r>
      <w:r>
        <w:rPr>
          <w:rFonts w:hint="eastAsia" w:asciiTheme="minorEastAsia" w:hAnsiTheme="minorEastAsia" w:eastAsiaTheme="minorEastAsia" w:cstheme="minorEastAsia"/>
          <w:snapToGrid w:val="0"/>
          <w:color w:val="000000"/>
          <w:spacing w:val="-2"/>
          <w:kern w:val="0"/>
          <w:sz w:val="24"/>
          <w:szCs w:val="24"/>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567BF284">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竞争性磋商小组负责对响应文件进行评审、质疑、评估、比较、评分，组织磋商和最后报价。</w:t>
      </w:r>
    </w:p>
    <w:p w14:paraId="135FC310">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评审专家应当严格遵守评审工作纪律，按照客观、公正、审慎的原则，根据磋商文件规定的评审程序、评审方法和评审标准进行独立评审。</w:t>
      </w:r>
    </w:p>
    <w:p w14:paraId="26329F81">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26EA3620">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评审活动结束，按照《河南省政府采购评审专家劳务报酬支付标准》的通知(豫财购〔2017〕9号)的规定，发放劳务报酬。</w:t>
      </w:r>
    </w:p>
    <w:p w14:paraId="0F12D142">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5E14CE46">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1779BD2E">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四、解密电子响应文件</w:t>
      </w:r>
    </w:p>
    <w:p w14:paraId="7132C692">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解密：供应商制作电子响应文件时，必须使用本单位的CA进行加密，供应商在解密前须自行检查CA的有效性。解密时未在开启响应文件时间后30分钟内进行解密成功的视为撤销其响应文件（因电子开标系统原因除外）。</w:t>
      </w:r>
    </w:p>
    <w:p w14:paraId="6220E979">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488FB94">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五、评审</w:t>
      </w:r>
    </w:p>
    <w:p w14:paraId="3966D6E5">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磋商小组对供应商提交的响应文件进行评审。主要对响应文件的有效性、完整性和响应程度进行审查，具体包括：</w:t>
      </w:r>
    </w:p>
    <w:p w14:paraId="3703ACD4">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资格性审查</w:t>
      </w:r>
    </w:p>
    <w:tbl>
      <w:tblPr>
        <w:tblStyle w:val="19"/>
        <w:tblW w:w="87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3851"/>
        <w:gridCol w:w="3127"/>
      </w:tblGrid>
      <w:tr w14:paraId="2A9F8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3BEDBD52">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58" w:type="dxa"/>
            <w:vAlign w:val="top"/>
          </w:tcPr>
          <w:p w14:paraId="2A57E001">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851" w:type="dxa"/>
            <w:vAlign w:val="top"/>
          </w:tcPr>
          <w:p w14:paraId="029C5DC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3127" w:type="dxa"/>
            <w:vAlign w:val="top"/>
          </w:tcPr>
          <w:p w14:paraId="682F89F8">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0A1FF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6" w:hRule="atLeast"/>
        </w:trPr>
        <w:tc>
          <w:tcPr>
            <w:tcW w:w="721" w:type="dxa"/>
            <w:vAlign w:val="center"/>
          </w:tcPr>
          <w:p w14:paraId="09F787EF">
            <w:pPr>
              <w:pStyle w:val="20"/>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3074D9F5">
            <w:pPr>
              <w:pStyle w:val="20"/>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8" w:type="dxa"/>
            <w:vAlign w:val="center"/>
          </w:tcPr>
          <w:p w14:paraId="6C6F944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2"/>
                <w:sz w:val="24"/>
                <w:szCs w:val="24"/>
                <w:lang w:val="en-US" w:eastAsia="zh-CN"/>
              </w:rPr>
              <w:t>具备的</w:t>
            </w:r>
            <w:r>
              <w:rPr>
                <w:rFonts w:hint="eastAsia" w:asciiTheme="minorEastAsia" w:hAnsiTheme="minorEastAsia" w:eastAsiaTheme="minorEastAsia" w:cstheme="minorEastAsia"/>
                <w:spacing w:val="-2"/>
                <w:sz w:val="24"/>
                <w:szCs w:val="24"/>
              </w:rPr>
              <w:t>资格要求</w:t>
            </w:r>
          </w:p>
        </w:tc>
        <w:tc>
          <w:tcPr>
            <w:tcW w:w="3851" w:type="dxa"/>
            <w:vAlign w:val="top"/>
          </w:tcPr>
          <w:p w14:paraId="3A687DA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14:paraId="79808546">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3FD1E69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3A6CEF1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4753736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5DC4903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4B682D9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7.遵守国家有关法律、法规、规章。</w:t>
            </w:r>
          </w:p>
          <w:p w14:paraId="70FC488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8.本项目专门面向中小企业采购，投标人须提交服务机构出具的中小企业声明函；</w:t>
            </w:r>
          </w:p>
          <w:p w14:paraId="2B04A3B7">
            <w:pPr>
              <w:pStyle w:val="2"/>
              <w:rPr>
                <w:rFonts w:hint="eastAsia"/>
              </w:rPr>
            </w:pPr>
          </w:p>
        </w:tc>
        <w:tc>
          <w:tcPr>
            <w:tcW w:w="3127" w:type="dxa"/>
            <w:vAlign w:val="top"/>
          </w:tcPr>
          <w:p w14:paraId="2A33BFD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供应商为企业（包括合伙企业、个体工商户）的，应提供有效的营业执照；</w:t>
            </w:r>
          </w:p>
          <w:p w14:paraId="7F05349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供应商为事业单位的，应提供有效的事业单位法人证书；</w:t>
            </w:r>
          </w:p>
          <w:p w14:paraId="71D8E01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供应商是非企业机构的，应提供有效的执业许可证、登记证书等证明文件；</w:t>
            </w:r>
          </w:p>
          <w:p w14:paraId="0FE058B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供应商是自然人的，应提供有效的自然人身份证明。</w:t>
            </w:r>
          </w:p>
          <w:p w14:paraId="6035E7C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1603C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1" w:type="dxa"/>
            <w:vAlign w:val="top"/>
          </w:tcPr>
          <w:p w14:paraId="3BF6E20E">
            <w:pPr>
              <w:pStyle w:val="20"/>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58" w:type="dxa"/>
            <w:vAlign w:val="top"/>
          </w:tcPr>
          <w:p w14:paraId="7F2DDC56">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851" w:type="dxa"/>
            <w:vAlign w:val="top"/>
          </w:tcPr>
          <w:p w14:paraId="35D7530B">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竞争性磋商公告</w:t>
            </w:r>
            <w:r>
              <w:rPr>
                <w:rFonts w:hint="eastAsia" w:asciiTheme="minorEastAsia" w:hAnsiTheme="minorEastAsia" w:eastAsiaTheme="minorEastAsia" w:cstheme="minorEastAsia"/>
                <w:spacing w:val="-2"/>
                <w:sz w:val="24"/>
                <w:szCs w:val="24"/>
              </w:rPr>
              <w:t>》</w:t>
            </w:r>
          </w:p>
        </w:tc>
        <w:tc>
          <w:tcPr>
            <w:tcW w:w="3127" w:type="dxa"/>
            <w:vAlign w:val="top"/>
          </w:tcPr>
          <w:p w14:paraId="0D917407">
            <w:pPr>
              <w:pStyle w:val="20"/>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3FE50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1" w:type="dxa"/>
            <w:vAlign w:val="top"/>
          </w:tcPr>
          <w:p w14:paraId="41598C8F">
            <w:pPr>
              <w:pStyle w:val="20"/>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10598FD">
            <w:pPr>
              <w:pStyle w:val="20"/>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0BC1D36D">
            <w:pPr>
              <w:pStyle w:val="20"/>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195B03CD">
            <w:pPr>
              <w:pStyle w:val="20"/>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0C6336D8">
            <w:pPr>
              <w:pStyle w:val="20"/>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3F23A948">
            <w:pPr>
              <w:pStyle w:val="20"/>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479AC4D9">
            <w:pPr>
              <w:pStyle w:val="20"/>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2457C250">
            <w:pPr>
              <w:pStyle w:val="20"/>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5B9C35B5">
            <w:pPr>
              <w:pStyle w:val="20"/>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25A9E41A">
            <w:pPr>
              <w:pStyle w:val="20"/>
              <w:keepNext w:val="0"/>
              <w:keepLines w:val="0"/>
              <w:pageBreakBefore w:val="0"/>
              <w:kinsoku/>
              <w:wordWrap w:val="0"/>
              <w:overflowPunct/>
              <w:topLinePunct w:val="0"/>
              <w:bidi w:val="0"/>
              <w:spacing w:before="49" w:line="199" w:lineRule="auto"/>
              <w:ind w:firstLine="256"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58" w:type="dxa"/>
            <w:vAlign w:val="top"/>
          </w:tcPr>
          <w:p w14:paraId="3D603ABD">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A1228F4">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5813FE2">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DCE6AED">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C58C75E">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68CD499">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EFFACEE">
            <w:pPr>
              <w:pStyle w:val="20"/>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0D30396">
            <w:pPr>
              <w:pStyle w:val="20"/>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06ED3DE">
            <w:pPr>
              <w:pStyle w:val="20"/>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6D293096">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851" w:type="dxa"/>
            <w:vAlign w:val="top"/>
          </w:tcPr>
          <w:p w14:paraId="74260378">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09FC4DD5">
            <w:pPr>
              <w:pStyle w:val="20"/>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5"/>
                <w:sz w:val="24"/>
                <w:szCs w:val="24"/>
              </w:rPr>
              <w:t>单独</w:t>
            </w:r>
            <w:r>
              <w:rPr>
                <w:rFonts w:hint="eastAsia" w:asciiTheme="minorEastAsia" w:hAnsiTheme="minorEastAsia" w:eastAsiaTheme="minorEastAsia" w:cstheme="minorEastAsia"/>
                <w:spacing w:val="-5"/>
                <w:sz w:val="24"/>
                <w:szCs w:val="24"/>
                <w:lang w:val="en-US" w:eastAsia="zh-CN"/>
              </w:rPr>
              <w:t>参与</w:t>
            </w:r>
            <w:r>
              <w:rPr>
                <w:rFonts w:hint="eastAsia" w:asciiTheme="minorEastAsia" w:hAnsiTheme="minorEastAsia" w:eastAsiaTheme="minorEastAsia" w:cstheme="minorEastAsia"/>
                <w:spacing w:val="-5"/>
                <w:sz w:val="24"/>
                <w:szCs w:val="24"/>
              </w:rPr>
              <w:t>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0FCF79EA">
            <w:pPr>
              <w:pStyle w:val="20"/>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w:t>
            </w:r>
            <w:r>
              <w:rPr>
                <w:rFonts w:hint="eastAsia" w:asciiTheme="minorEastAsia" w:hAnsiTheme="minorEastAsia" w:eastAsiaTheme="minorEastAsia" w:cstheme="minorEastAsia"/>
                <w:spacing w:val="-6"/>
                <w:sz w:val="24"/>
                <w:szCs w:val="24"/>
                <w:lang w:eastAsia="zh-CN"/>
              </w:rPr>
              <w:t>采购</w:t>
            </w:r>
            <w:r>
              <w:rPr>
                <w:rFonts w:hint="eastAsia" w:asciiTheme="minorEastAsia" w:hAnsiTheme="minorEastAsia" w:eastAsiaTheme="minorEastAsia" w:cstheme="minorEastAsia"/>
                <w:spacing w:val="-6"/>
                <w:sz w:val="24"/>
                <w:szCs w:val="24"/>
              </w:rPr>
              <w:t>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Theme="minorEastAsia" w:hAnsiTheme="minorEastAsia" w:eastAsiaTheme="minorEastAsia" w:cstheme="minorEastAsia"/>
                <w:snapToGrid w:val="0"/>
                <w:color w:val="000000"/>
                <w:spacing w:val="-2"/>
                <w:kern w:val="0"/>
                <w:sz w:val="24"/>
                <w:szCs w:val="24"/>
                <w:lang w:val="en-US" w:eastAsia="zh-CN" w:bidi="ar-SA"/>
              </w:rPr>
              <w:t>竞争性磋商</w:t>
            </w:r>
            <w:r>
              <w:rPr>
                <w:rFonts w:hint="eastAsia" w:asciiTheme="minorEastAsia" w:hAnsiTheme="minorEastAsia" w:eastAsiaTheme="minorEastAsia" w:cstheme="minorEastAsia"/>
                <w:spacing w:val="1"/>
                <w:sz w:val="24"/>
                <w:szCs w:val="24"/>
              </w:rPr>
              <w:t>文件</w:t>
            </w:r>
            <w:r>
              <w:rPr>
                <w:rFonts w:hint="eastAsia" w:asciiTheme="minorEastAsia" w:hAnsiTheme="minorEastAsia" w:eastAsiaTheme="minorEastAsia" w:cstheme="minorEastAsia"/>
                <w:spacing w:val="-4"/>
                <w:sz w:val="24"/>
                <w:szCs w:val="24"/>
              </w:rPr>
              <w:t>关于预留份额的要求。</w:t>
            </w:r>
          </w:p>
        </w:tc>
        <w:tc>
          <w:tcPr>
            <w:tcW w:w="3127" w:type="dxa"/>
            <w:vAlign w:val="top"/>
          </w:tcPr>
          <w:p w14:paraId="2141F142">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F876E71">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14950B6">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34FAD62">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5EE21C3">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7F8D108">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718B32B">
            <w:pPr>
              <w:pStyle w:val="20"/>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3DCA9C5">
            <w:pPr>
              <w:pStyle w:val="20"/>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536063B7">
            <w:pPr>
              <w:pStyle w:val="20"/>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9A4031B">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w:t>
            </w:r>
            <w:r>
              <w:rPr>
                <w:rFonts w:hint="eastAsia" w:asciiTheme="minorEastAsia" w:hAnsiTheme="minorEastAsia" w:eastAsiaTheme="minorEastAsia" w:cstheme="minorEastAsia"/>
                <w:spacing w:val="-6"/>
                <w:sz w:val="24"/>
                <w:szCs w:val="24"/>
                <w:lang w:val="en-US" w:eastAsia="zh-CN"/>
              </w:rPr>
              <w:t>响应</w:t>
            </w:r>
            <w:r>
              <w:rPr>
                <w:rFonts w:hint="eastAsia" w:asciiTheme="minorEastAsia" w:hAnsiTheme="minorEastAsia" w:eastAsiaTheme="minorEastAsia" w:cstheme="minorEastAsia"/>
                <w:spacing w:val="-4"/>
                <w:sz w:val="24"/>
                <w:szCs w:val="24"/>
              </w:rPr>
              <w:t>文件格式》</w:t>
            </w:r>
          </w:p>
        </w:tc>
      </w:tr>
      <w:tr w14:paraId="4BBC9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1" w:type="dxa"/>
            <w:vAlign w:val="top"/>
          </w:tcPr>
          <w:p w14:paraId="5B4CE7A1">
            <w:pPr>
              <w:pStyle w:val="20"/>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58" w:type="dxa"/>
            <w:vAlign w:val="top"/>
          </w:tcPr>
          <w:p w14:paraId="0360A221">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格要求</w:t>
            </w:r>
          </w:p>
        </w:tc>
        <w:tc>
          <w:tcPr>
            <w:tcW w:w="3851" w:type="dxa"/>
            <w:vAlign w:val="top"/>
          </w:tcPr>
          <w:p w14:paraId="30D28650">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p>
        </w:tc>
        <w:tc>
          <w:tcPr>
            <w:tcW w:w="3127" w:type="dxa"/>
            <w:vAlign w:val="top"/>
          </w:tcPr>
          <w:p w14:paraId="56770F74">
            <w:pPr>
              <w:pStyle w:val="20"/>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38CEDD8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w:t>
      </w:r>
      <w:r>
        <w:rPr>
          <w:rFonts w:hint="eastAsia" w:asciiTheme="minorEastAsia" w:hAnsiTheme="minorEastAsia" w:eastAsiaTheme="minorEastAsia" w:cstheme="minorEastAsia"/>
          <w:snapToGrid w:val="0"/>
          <w:color w:val="000000"/>
          <w:spacing w:val="1"/>
          <w:kern w:val="0"/>
          <w:sz w:val="24"/>
          <w:szCs w:val="24"/>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lang w:val="en-US" w:eastAsia="zh-CN" w:bidi="ar-SA"/>
        </w:rPr>
        <w:t>。</w:t>
      </w:r>
    </w:p>
    <w:p w14:paraId="274D3BA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是否符合竞争性磋商文件的各项要求。</w:t>
      </w:r>
    </w:p>
    <w:p w14:paraId="50ECC42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只有通过以上审查的供应商的响应文件，方可进入商务和技术评估，综合比较与评价。</w:t>
      </w:r>
    </w:p>
    <w:p w14:paraId="5132F55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3.</w:t>
      </w:r>
      <w:r>
        <w:rPr>
          <w:rFonts w:hint="eastAsia" w:asciiTheme="minorEastAsia" w:hAnsiTheme="minorEastAsia" w:eastAsiaTheme="minorEastAsia" w:cstheme="minorEastAsia"/>
          <w:snapToGrid w:val="0"/>
          <w:color w:val="000000"/>
          <w:spacing w:val="3"/>
          <w:kern w:val="0"/>
          <w:sz w:val="24"/>
          <w:szCs w:val="24"/>
          <w:lang w:val="en-US" w:eastAsia="en-US" w:bidi="ar-SA"/>
        </w:rPr>
        <w:t>服务审查。磋商小组依据竞争性磋商文件的规定审查各供应商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所响应设备的项目方案（设备配备方案、物业管理制度、人员培训管理方案、人员配备方案、应急预案）等</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是否符合最低要求。</w:t>
      </w:r>
    </w:p>
    <w:p w14:paraId="225C2606">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4.</w:t>
      </w:r>
      <w:r>
        <w:rPr>
          <w:rFonts w:hint="eastAsia" w:asciiTheme="minorEastAsia" w:hAnsiTheme="minorEastAsia" w:eastAsiaTheme="minorEastAsia" w:cstheme="minorEastAsia"/>
          <w:snapToGrid w:val="0"/>
          <w:color w:val="000000"/>
          <w:spacing w:val="3"/>
          <w:kern w:val="0"/>
          <w:sz w:val="24"/>
          <w:szCs w:val="24"/>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lang w:val="en-US" w:eastAsia="en-US" w:bidi="ar-SA"/>
        </w:rPr>
        <w:t>进行综合评比。</w:t>
      </w:r>
    </w:p>
    <w:p w14:paraId="352A81C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5.</w:t>
      </w:r>
      <w:r>
        <w:rPr>
          <w:rFonts w:hint="eastAsia" w:asciiTheme="minorEastAsia" w:hAnsiTheme="minorEastAsia" w:eastAsiaTheme="minorEastAsia" w:cstheme="minorEastAsia"/>
          <w:snapToGrid w:val="0"/>
          <w:color w:val="000000"/>
          <w:spacing w:val="3"/>
          <w:kern w:val="0"/>
          <w:sz w:val="24"/>
          <w:szCs w:val="24"/>
          <w:lang w:val="en-US" w:eastAsia="en-US" w:bidi="ar-SA"/>
        </w:rPr>
        <w:t>未实质性响应磋商文件的响应文件按无效响应处理，磋商小组应当告知提交响应文件的供应商。</w:t>
      </w:r>
    </w:p>
    <w:p w14:paraId="6A6A609B">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响应文件无效的情形：</w:t>
      </w:r>
    </w:p>
    <w:p w14:paraId="2A276917">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在资格性和符合性审查时，如发现下列情形之一的，响应文件将被视为无效：</w:t>
      </w:r>
    </w:p>
    <w:p w14:paraId="36B5F92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lang w:val="en-US" w:eastAsia="en-US" w:bidi="ar-SA"/>
        </w:rPr>
        <w:t>资格证明文件不全的，或者不符合竞争性磋商文件标明的资格要求的；</w:t>
      </w:r>
    </w:p>
    <w:p w14:paraId="4997C85D">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lang w:val="en-US" w:eastAsia="en-US" w:bidi="ar-SA"/>
        </w:rPr>
        <w:t>书或者填写项目不齐全的；</w:t>
      </w:r>
    </w:p>
    <w:p w14:paraId="0577CE4B">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授权代表人未能出具身份证明或与法定代表人或负责人授权委托人身份不符的；</w:t>
      </w:r>
    </w:p>
    <w:p w14:paraId="2E481FA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lang w:val="en-US" w:eastAsia="en-US" w:bidi="ar-SA"/>
        </w:rPr>
        <w:t>认证并加密的；</w:t>
      </w:r>
    </w:p>
    <w:p w14:paraId="1A232BC9">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5.1.5 其他不符合磋商文件实质性要求的。</w:t>
      </w:r>
    </w:p>
    <w:p w14:paraId="6D35F4DC">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在报价评审时，如发现下列情形之一的，响应文件将被视为无效：</w:t>
      </w:r>
    </w:p>
    <w:p w14:paraId="7304C4F9">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未采用人民币报价的；</w:t>
      </w:r>
    </w:p>
    <w:p w14:paraId="78947D7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lang w:val="en-US" w:eastAsia="en-US" w:bidi="ar-SA"/>
        </w:rPr>
        <w:t>报价具有选择性；</w:t>
      </w:r>
    </w:p>
    <w:p w14:paraId="78AF01E6">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lang w:val="en-US" w:eastAsia="zh-CN" w:bidi="ar-SA"/>
        </w:rPr>
        <w:t>。</w:t>
      </w:r>
    </w:p>
    <w:p w14:paraId="3711EAB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磋商、响应文件有关事项的澄清、说明或者更正和最后报价</w:t>
      </w:r>
    </w:p>
    <w:p w14:paraId="53ABC4A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.1</w:t>
      </w:r>
      <w:r>
        <w:rPr>
          <w:rFonts w:hint="eastAsia"/>
          <w:sz w:val="24"/>
          <w:szCs w:val="24"/>
          <w:lang w:val="en-US" w:eastAsia="zh-CN"/>
        </w:rPr>
        <w:t xml:space="preserve"> </w:t>
      </w:r>
      <w:r>
        <w:rPr>
          <w:sz w:val="24"/>
          <w:szCs w:val="24"/>
        </w:rPr>
        <w:t>磋商小组所有成员将集中与单一供应商分别进行磋商，并给予所有参加磋商的供应商平等的磋商机会。</w:t>
      </w:r>
    </w:p>
    <w:p w14:paraId="353A836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.2</w:t>
      </w:r>
      <w:r>
        <w:rPr>
          <w:rFonts w:hint="eastAsia"/>
          <w:sz w:val="24"/>
          <w:szCs w:val="24"/>
          <w:lang w:val="en-US" w:eastAsia="zh-CN"/>
        </w:rPr>
        <w:t xml:space="preserve"> </w:t>
      </w:r>
      <w:r>
        <w:rPr>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269B68F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.3</w:t>
      </w:r>
      <w:r>
        <w:rPr>
          <w:rFonts w:hint="eastAsia"/>
          <w:sz w:val="24"/>
          <w:szCs w:val="24"/>
          <w:lang w:val="en-US" w:eastAsia="zh-CN"/>
        </w:rPr>
        <w:t xml:space="preserve"> </w:t>
      </w:r>
      <w:r>
        <w:rPr>
          <w:sz w:val="24"/>
          <w:szCs w:val="24"/>
        </w:rPr>
        <w:t>对磋商文件作出的实质性变动是磋商文件的有效组成部分，磋商小组应当及时</w:t>
      </w:r>
      <w:r>
        <w:rPr>
          <w:rFonts w:hint="eastAsia"/>
          <w:sz w:val="24"/>
          <w:szCs w:val="24"/>
          <w:lang w:val="en-US" w:eastAsia="zh-CN"/>
        </w:rPr>
        <w:t>通过</w:t>
      </w:r>
      <w:r>
        <w:rPr>
          <w:rFonts w:hint="eastAsia"/>
          <w:sz w:val="24"/>
          <w:szCs w:val="24"/>
        </w:rPr>
        <w:t>评标系统通知</w:t>
      </w:r>
      <w:r>
        <w:rPr>
          <w:sz w:val="24"/>
          <w:szCs w:val="24"/>
        </w:rPr>
        <w:t>所有参加磋商的供应商。</w:t>
      </w:r>
      <w:r>
        <w:rPr>
          <w:rFonts w:hint="eastAsia"/>
          <w:sz w:val="24"/>
          <w:szCs w:val="24"/>
        </w:rPr>
        <w:t>具体磋商内容由磋商小组根据磋商实际情况确定。</w:t>
      </w:r>
    </w:p>
    <w:p w14:paraId="75EAF6D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.4</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lang w:val="en-US" w:eastAsia="zh-CN" w:bidi="ar-SA"/>
        </w:rPr>
        <w:t>评标</w:t>
      </w:r>
      <w:r>
        <w:rPr>
          <w:rFonts w:hint="eastAsia" w:ascii="宋体" w:hAnsi="宋体" w:eastAsia="宋体" w:cs="宋体"/>
          <w:snapToGrid w:val="0"/>
          <w:color w:val="000000"/>
          <w:kern w:val="0"/>
          <w:sz w:val="24"/>
          <w:szCs w:val="24"/>
          <w:lang w:val="en-US" w:eastAsia="en-US" w:bidi="ar-SA"/>
        </w:rPr>
        <w:t>系统以在线形式提交承诺，并用</w:t>
      </w:r>
      <w:r>
        <w:rPr>
          <w:rFonts w:hint="eastAsia" w:ascii="宋体" w:hAnsi="宋体" w:eastAsia="宋体" w:cs="宋体"/>
          <w:snapToGrid w:val="0"/>
          <w:color w:val="000000"/>
          <w:kern w:val="0"/>
          <w:sz w:val="24"/>
          <w:szCs w:val="24"/>
          <w:lang w:val="en-US" w:eastAsia="zh-CN" w:bidi="ar-SA"/>
        </w:rPr>
        <w:t>CA</w:t>
      </w:r>
      <w:r>
        <w:rPr>
          <w:rFonts w:hint="eastAsia" w:ascii="宋体" w:hAnsi="宋体" w:eastAsia="宋体" w:cs="宋体"/>
          <w:snapToGrid w:val="0"/>
          <w:color w:val="000000"/>
          <w:kern w:val="0"/>
          <w:sz w:val="24"/>
          <w:szCs w:val="24"/>
          <w:lang w:val="en-US" w:eastAsia="en-US" w:bidi="ar-SA"/>
        </w:rPr>
        <w:t>签章。</w:t>
      </w:r>
    </w:p>
    <w:p w14:paraId="6CE8032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 </w:t>
      </w:r>
      <w:r>
        <w:rPr>
          <w:rFonts w:ascii="宋体" w:hAnsi="宋体" w:eastAsia="宋体" w:cs="宋体"/>
          <w:snapToGrid w:val="0"/>
          <w:color w:val="000000"/>
          <w:kern w:val="0"/>
          <w:sz w:val="24"/>
          <w:szCs w:val="24"/>
          <w:lang w:val="en-US" w:eastAsia="en-US" w:bidi="ar-SA"/>
        </w:rPr>
        <w:t>响应文件的澄清、说明或者更正：</w:t>
      </w:r>
    </w:p>
    <w:p w14:paraId="55AE1E13">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.5.1</w:t>
      </w:r>
      <w:r>
        <w:rPr>
          <w:rFonts w:hint="eastAsia"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37220384">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2 </w:t>
      </w:r>
      <w:r>
        <w:rPr>
          <w:rFonts w:hint="eastAsia" w:ascii="宋体" w:hAnsi="宋体" w:eastAsia="宋体" w:cs="宋体"/>
          <w:snapToGrid w:val="0"/>
          <w:color w:val="000000"/>
          <w:kern w:val="0"/>
          <w:sz w:val="24"/>
          <w:szCs w:val="24"/>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加盖公章。供应商为自然人的，应当由本人签字并附身份证明。澄清、说明或者更正文件将作为响应文件内容的一部分。</w:t>
      </w:r>
    </w:p>
    <w:p w14:paraId="3D72AAAB">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.6</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磋商结束后，磋商小组通过电子评标系统向所有实质性响应的供应商发出最后报价要求，各供应商在会员系统中收到有关信息后，必须在规定时间内给出答复，并在签章后提交。提交最后报价的供应商不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lang w:val="en-US" w:eastAsia="zh-CN" w:bidi="ar-SA"/>
        </w:rPr>
        <w:t>得</w:t>
      </w:r>
      <w:r>
        <w:rPr>
          <w:rFonts w:hint="eastAsia" w:ascii="宋体" w:hAnsi="宋体" w:eastAsia="宋体" w:cs="宋体"/>
          <w:snapToGrid w:val="0"/>
          <w:color w:val="000000"/>
          <w:kern w:val="0"/>
          <w:sz w:val="24"/>
          <w:szCs w:val="24"/>
          <w:lang w:val="en-US" w:eastAsia="en-US" w:bidi="ar-SA"/>
        </w:rPr>
        <w:t>少于</w:t>
      </w: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家。《</w:t>
      </w:r>
      <w:r>
        <w:rPr>
          <w:rFonts w:hint="eastAsia" w:asciiTheme="minorEastAsia" w:hAnsiTheme="minorEastAsia" w:eastAsiaTheme="minorEastAsia" w:cstheme="minorEastAsia"/>
          <w:snapToGrid w:val="0"/>
          <w:color w:val="000000"/>
          <w:spacing w:val="-2"/>
          <w:kern w:val="0"/>
          <w:sz w:val="24"/>
          <w:szCs w:val="24"/>
          <w:lang w:val="en-US" w:eastAsia="zh-CN" w:bidi="ar-SA"/>
        </w:rPr>
        <w:t>政府采购竞争性磋商采购方式管理暂行办法</w:t>
      </w:r>
      <w:r>
        <w:rPr>
          <w:rFonts w:hint="eastAsia" w:ascii="宋体" w:hAnsi="宋体" w:eastAsia="宋体" w:cs="宋体"/>
          <w:snapToGrid w:val="0"/>
          <w:color w:val="000000"/>
          <w:kern w:val="0"/>
          <w:sz w:val="24"/>
          <w:szCs w:val="24"/>
          <w:lang w:val="en-US" w:eastAsia="en-US" w:bidi="ar-SA"/>
        </w:rPr>
        <w:t>》第</w:t>
      </w:r>
      <w:r>
        <w:rPr>
          <w:rFonts w:hint="eastAsia" w:ascii="宋体" w:hAnsi="宋体" w:eastAsia="宋体" w:cs="宋体"/>
          <w:snapToGrid w:val="0"/>
          <w:color w:val="000000"/>
          <w:kern w:val="0"/>
          <w:sz w:val="24"/>
          <w:szCs w:val="24"/>
          <w:lang w:val="en-US" w:eastAsia="zh-CN" w:bidi="ar-SA"/>
        </w:rPr>
        <w:t>三</w:t>
      </w:r>
      <w:r>
        <w:rPr>
          <w:rFonts w:hint="eastAsia" w:ascii="宋体" w:hAnsi="宋体" w:eastAsia="宋体" w:cs="宋体"/>
          <w:snapToGrid w:val="0"/>
          <w:color w:val="000000"/>
          <w:kern w:val="0"/>
          <w:sz w:val="24"/>
          <w:szCs w:val="24"/>
          <w:lang w:val="en-US" w:eastAsia="en-US" w:bidi="ar-SA"/>
        </w:rPr>
        <w:t>条第</w:t>
      </w:r>
      <w:r>
        <w:rPr>
          <w:rFonts w:hint="eastAsia" w:ascii="宋体" w:hAnsi="宋体" w:eastAsia="宋体" w:cs="宋体"/>
          <w:snapToGrid w:val="0"/>
          <w:color w:val="000000"/>
          <w:kern w:val="0"/>
          <w:sz w:val="24"/>
          <w:szCs w:val="24"/>
          <w:lang w:val="en-US" w:eastAsia="zh-CN" w:bidi="ar-SA"/>
        </w:rPr>
        <w:t>四项</w:t>
      </w:r>
      <w:r>
        <w:rPr>
          <w:rFonts w:hint="eastAsia" w:ascii="宋体" w:hAnsi="宋体" w:eastAsia="宋体" w:cs="宋体"/>
          <w:snapToGrid w:val="0"/>
          <w:color w:val="000000"/>
          <w:kern w:val="0"/>
          <w:sz w:val="24"/>
          <w:szCs w:val="24"/>
          <w:lang w:val="en-US" w:eastAsia="en-US" w:bidi="ar-SA"/>
        </w:rPr>
        <w:t>规定的情形除外。最后报价是响应文件的有效组成部分。</w:t>
      </w:r>
    </w:p>
    <w:p w14:paraId="01D3F0B2">
      <w:pPr>
        <w:keepNext w:val="0"/>
        <w:keepLines w:val="0"/>
        <w:pageBreakBefore w:val="0"/>
        <w:kinsoku/>
        <w:wordWrap w:val="0"/>
        <w:overflowPunct/>
        <w:topLinePunct w:val="0"/>
        <w:bidi w:val="0"/>
        <w:spacing w:after="0" w:line="360" w:lineRule="auto"/>
        <w:ind w:firstLine="480" w:firstLineChars="200"/>
        <w:jc w:val="both"/>
        <w:rPr>
          <w:sz w:val="24"/>
          <w:szCs w:val="24"/>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.7</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4C1F0C5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 xml:space="preserve">8 </w:t>
      </w:r>
      <w:r>
        <w:rPr>
          <w:rFonts w:hint="eastAsia" w:cs="宋体"/>
          <w:snapToGrid w:val="0"/>
          <w:color w:val="000000"/>
          <w:kern w:val="0"/>
          <w:sz w:val="24"/>
          <w:szCs w:val="24"/>
          <w:lang w:val="en-US" w:eastAsia="en-US" w:bidi="ar-SA"/>
        </w:rPr>
        <w:t>已</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交响应文件的供应商，在</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交最后报价之前，可以根据磋商情况退出磋商。</w:t>
      </w:r>
    </w:p>
    <w:p w14:paraId="56F9346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7.</w:t>
      </w:r>
      <w:r>
        <w:rPr>
          <w:rFonts w:hint="eastAsia" w:cs="宋体"/>
          <w:snapToGrid w:val="0"/>
          <w:color w:val="000000"/>
          <w:kern w:val="0"/>
          <w:sz w:val="24"/>
          <w:szCs w:val="24"/>
          <w:lang w:val="en-US" w:eastAsia="en-US" w:bidi="ar-SA"/>
        </w:rPr>
        <w:t>最后报价的算术修正及政策调整</w:t>
      </w:r>
    </w:p>
    <w:p w14:paraId="5586F5C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lang w:val="en-US" w:eastAsia="zh-CN" w:bidi="ar-SA"/>
        </w:rPr>
        <w:t>。</w:t>
      </w:r>
    </w:p>
    <w:p w14:paraId="6E9B4A0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评审方法和评审标准</w:t>
      </w:r>
    </w:p>
    <w:p w14:paraId="0AACB05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本项目采用的评审方法为</w:t>
      </w: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综合评分法。综合评分法，是指响应文件满足磋商文件全部实质性要求且按评审因素的量化指标评审得分最高的供应商为成交候选供应商的评审方法。</w:t>
      </w:r>
    </w:p>
    <w:p w14:paraId="5B67B56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.2</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竞争性磋商文件中没有规定的评审标准不得作为评审依据。</w:t>
      </w:r>
    </w:p>
    <w:p w14:paraId="149B82D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.3</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非政府强制采购的节能产品或环境标志产品，依据品目清单和认证证书实施政府优先采购。优先采购的具体规定（如涉及</w:t>
      </w: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w:t>
      </w:r>
    </w:p>
    <w:p w14:paraId="5A19AA4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.4</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关于无线局域网认证产品政府采购清单中的产品，优先采购的具体规定（如涉及）</w:t>
      </w:r>
      <w:r>
        <w:rPr>
          <w:spacing w:val="-25"/>
          <w:sz w:val="24"/>
          <w:szCs w:val="24"/>
        </w:rPr>
        <w:t>。</w:t>
      </w:r>
    </w:p>
    <w:p w14:paraId="4E2FDA5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确定成交候选人名单</w:t>
      </w:r>
    </w:p>
    <w:p w14:paraId="5BF7D61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38F8C1F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lang w:val="en-US" w:eastAsia="en-US" w:bidi="ar-SA"/>
        </w:rPr>
      </w:pPr>
      <w:r>
        <w:rPr>
          <w:rFonts w:hint="eastAsia" w:cs="宋体"/>
          <w:b/>
          <w:bCs/>
          <w:snapToGrid w:val="0"/>
          <w:color w:val="000000"/>
          <w:kern w:val="0"/>
          <w:sz w:val="24"/>
          <w:szCs w:val="24"/>
          <w:lang w:val="en-US" w:eastAsia="zh-CN" w:bidi="ar-SA"/>
        </w:rPr>
        <w:t>9</w:t>
      </w:r>
      <w:r>
        <w:rPr>
          <w:rFonts w:hint="eastAsia" w:cs="宋体"/>
          <w:b/>
          <w:bCs/>
          <w:snapToGrid w:val="0"/>
          <w:color w:val="000000"/>
          <w:kern w:val="0"/>
          <w:sz w:val="24"/>
          <w:szCs w:val="24"/>
          <w:lang w:val="en-US" w:eastAsia="en-US" w:bidi="ar-SA"/>
        </w:rPr>
        <w:t>.</w:t>
      </w:r>
      <w:r>
        <w:rPr>
          <w:rFonts w:hint="eastAsia" w:cs="宋体"/>
          <w:b/>
          <w:bCs/>
          <w:snapToGrid w:val="0"/>
          <w:color w:val="000000"/>
          <w:kern w:val="0"/>
          <w:sz w:val="24"/>
          <w:szCs w:val="24"/>
          <w:lang w:val="en-US" w:eastAsia="zh-CN" w:bidi="ar-SA"/>
        </w:rPr>
        <w:t xml:space="preserve">2 </w:t>
      </w:r>
      <w:r>
        <w:rPr>
          <w:rFonts w:hint="eastAsia" w:cs="宋体"/>
          <w:b/>
          <w:bCs/>
          <w:snapToGrid w:val="0"/>
          <w:color w:val="000000"/>
          <w:kern w:val="0"/>
          <w:sz w:val="24"/>
          <w:szCs w:val="24"/>
          <w:lang w:val="en-US" w:eastAsia="en-US" w:bidi="ar-SA"/>
        </w:rPr>
        <w:t>磋商小组要对评分汇总情况进行复核，特别是对排名第一的、报价最低的、响应文件被认定为无效的情形进行重点复核。</w:t>
      </w:r>
    </w:p>
    <w:p w14:paraId="524128D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3 ☑</w:t>
      </w:r>
      <w:r>
        <w:rPr>
          <w:rFonts w:hint="eastAsia" w:cs="宋体"/>
          <w:snapToGrid w:val="0"/>
          <w:color w:val="000000"/>
          <w:kern w:val="0"/>
          <w:sz w:val="24"/>
          <w:szCs w:val="24"/>
          <w:lang w:val="en-US" w:eastAsia="en-US" w:bidi="ar-SA"/>
        </w:rPr>
        <w:t>磋商小组根据上述供应商排序，依次推荐排序前</w:t>
      </w:r>
      <w:r>
        <w:rPr>
          <w:rFonts w:hint="eastAsia" w:cs="宋体"/>
          <w:snapToGrid w:val="0"/>
          <w:color w:val="000000"/>
          <w:kern w:val="0"/>
          <w:sz w:val="24"/>
          <w:szCs w:val="24"/>
          <w:lang w:val="en-US" w:eastAsia="zh-CN" w:bidi="ar-SA"/>
        </w:rPr>
        <w:t>3</w:t>
      </w:r>
      <w:r>
        <w:rPr>
          <w:rFonts w:hint="eastAsia" w:cs="宋体"/>
          <w:snapToGrid w:val="0"/>
          <w:color w:val="000000"/>
          <w:kern w:val="0"/>
          <w:sz w:val="24"/>
          <w:szCs w:val="24"/>
          <w:lang w:val="en-US" w:eastAsia="en-US" w:bidi="ar-SA"/>
        </w:rPr>
        <w:t>名的供应商为成交候选供应商。采购人应当自收到评审报告之日起5个工作日内在评审报告推荐的成交候选人中按顺序确定成交供应商。</w:t>
      </w:r>
    </w:p>
    <w:p w14:paraId="7E1A31D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采购人书面授权磋商小组直接确定成交供应商。</w:t>
      </w:r>
    </w:p>
    <w:p w14:paraId="3F946C2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10.</w:t>
      </w:r>
      <w:r>
        <w:rPr>
          <w:rFonts w:hint="eastAsia" w:cs="宋体"/>
          <w:snapToGrid w:val="0"/>
          <w:color w:val="000000"/>
          <w:kern w:val="0"/>
          <w:sz w:val="24"/>
          <w:szCs w:val="24"/>
          <w:lang w:val="en-US" w:eastAsia="en-US" w:bidi="ar-SA"/>
        </w:rPr>
        <w:t>报告违法行为</w:t>
      </w:r>
    </w:p>
    <w:p w14:paraId="7073CDD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Arial"/>
          <w:sz w:val="21"/>
        </w:rPr>
      </w:pPr>
      <w:r>
        <w:rPr>
          <w:rFonts w:hint="eastAsia" w:cs="宋体"/>
          <w:snapToGrid w:val="0"/>
          <w:color w:val="000000"/>
          <w:kern w:val="0"/>
          <w:sz w:val="24"/>
          <w:szCs w:val="24"/>
          <w:lang w:val="en-US" w:eastAsia="zh-CN" w:bidi="ar-SA"/>
        </w:rPr>
        <w:t>10</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磋商小组在评审过程中发现供应商有行贿、</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供虚假材料或者串通等违法行为时，有向采购人、采购代理机构或者有关部门报告的职责。</w:t>
      </w:r>
    </w:p>
    <w:p w14:paraId="7B285AA5">
      <w:pPr>
        <w:pStyle w:val="2"/>
        <w:keepNext w:val="0"/>
        <w:keepLines w:val="0"/>
        <w:pageBreakBefore w:val="0"/>
        <w:kinsoku/>
        <w:wordWrap w:val="0"/>
        <w:overflowPunct/>
        <w:topLinePunct w:val="0"/>
        <w:bidi w:val="0"/>
        <w:spacing w:before="78" w:line="221" w:lineRule="auto"/>
        <w:jc w:val="center"/>
        <w:outlineLvl w:val="1"/>
        <w:rPr>
          <w:spacing w:val="-2"/>
          <w:sz w:val="24"/>
          <w:szCs w:val="24"/>
          <w14:textOutline w14:w="1537" w14:cap="flat" w14:cmpd="sng">
            <w14:solidFill>
              <w14:srgbClr w14:val="000000"/>
            </w14:solidFill>
            <w14:prstDash w14:val="solid"/>
            <w14:miter w14:val="0"/>
          </w14:textOutline>
        </w:rPr>
      </w:pPr>
      <w:r>
        <w:rPr>
          <w:spacing w:val="-2"/>
          <w:sz w:val="24"/>
          <w:szCs w:val="24"/>
          <w14:textOutline w14:w="1537" w14:cap="flat" w14:cmpd="sng">
            <w14:solidFill>
              <w14:srgbClr w14:val="000000"/>
            </w14:solidFill>
            <w14:prstDash w14:val="solid"/>
            <w14:miter w14:val="0"/>
          </w14:textOutline>
        </w:rPr>
        <w:t>评审标准</w:t>
      </w:r>
    </w:p>
    <w:p w14:paraId="0CE2C7D6">
      <w:pPr>
        <w:pStyle w:val="3"/>
      </w:pPr>
    </w:p>
    <w:tbl>
      <w:tblPr>
        <w:tblStyle w:val="15"/>
        <w:tblW w:w="8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810"/>
        <w:gridCol w:w="1050"/>
        <w:gridCol w:w="6285"/>
      </w:tblGrid>
      <w:tr w14:paraId="214B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46" w:type="dxa"/>
            <w:vAlign w:val="center"/>
          </w:tcPr>
          <w:p w14:paraId="29C28C2E">
            <w:pPr>
              <w:pStyle w:val="12"/>
              <w:widowControl w:val="0"/>
              <w:spacing w:before="0" w:beforeAutospacing="0" w:after="0" w:afterAutospacing="0"/>
              <w:ind w:firstLine="0" w:firstLineChars="0"/>
              <w:jc w:val="center"/>
              <w:rPr>
                <w:sz w:val="24"/>
                <w:szCs w:val="24"/>
                <w:vertAlign w:val="baseline"/>
              </w:rPr>
            </w:pPr>
            <w:r>
              <w:rPr>
                <w:rFonts w:hint="eastAsia" w:ascii="仿宋_GB2312" w:hAnsi="仿宋_GB2312" w:eastAsia="仿宋_GB2312" w:cs="仿宋_GB2312"/>
                <w:color w:val="auto"/>
                <w:sz w:val="24"/>
                <w:szCs w:val="24"/>
              </w:rPr>
              <w:t>序号</w:t>
            </w:r>
          </w:p>
        </w:tc>
        <w:tc>
          <w:tcPr>
            <w:tcW w:w="810" w:type="dxa"/>
            <w:vAlign w:val="center"/>
          </w:tcPr>
          <w:p w14:paraId="025524F7">
            <w:pPr>
              <w:pStyle w:val="12"/>
              <w:widowControl w:val="0"/>
              <w:spacing w:before="0" w:beforeAutospacing="0" w:after="0" w:afterAutospacing="0"/>
              <w:ind w:firstLine="0" w:firstLineChars="0"/>
              <w:jc w:val="center"/>
              <w:rPr>
                <w:rFonts w:hint="default" w:eastAsia="宋体"/>
                <w:sz w:val="24"/>
                <w:szCs w:val="24"/>
                <w:vertAlign w:val="baseline"/>
                <w:lang w:val="en-US" w:eastAsia="zh-CN"/>
              </w:rPr>
            </w:pPr>
            <w:r>
              <w:rPr>
                <w:rFonts w:hint="eastAsia" w:ascii="仿宋_GB2312" w:hAnsi="仿宋_GB2312" w:eastAsia="仿宋_GB2312" w:cs="仿宋_GB2312"/>
                <w:color w:val="auto"/>
                <w:sz w:val="24"/>
                <w:szCs w:val="24"/>
                <w:lang w:val="en-US" w:eastAsia="zh-CN"/>
              </w:rPr>
              <w:t>评分因素</w:t>
            </w:r>
          </w:p>
        </w:tc>
        <w:tc>
          <w:tcPr>
            <w:tcW w:w="1050" w:type="dxa"/>
            <w:vAlign w:val="center"/>
          </w:tcPr>
          <w:p w14:paraId="623BCC57">
            <w:pPr>
              <w:pStyle w:val="12"/>
              <w:widowControl w:val="0"/>
              <w:spacing w:before="0" w:beforeAutospacing="0" w:after="0" w:afterAutospacing="0"/>
              <w:ind w:firstLine="0" w:firstLineChars="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分值</w:t>
            </w:r>
          </w:p>
        </w:tc>
        <w:tc>
          <w:tcPr>
            <w:tcW w:w="6285" w:type="dxa"/>
            <w:vAlign w:val="center"/>
          </w:tcPr>
          <w:p w14:paraId="2FAAE68D">
            <w:pPr>
              <w:pStyle w:val="12"/>
              <w:widowControl w:val="0"/>
              <w:spacing w:before="0" w:beforeAutospacing="0" w:after="0" w:afterAutospacing="0"/>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评分细则</w:t>
            </w:r>
          </w:p>
        </w:tc>
      </w:tr>
      <w:tr w14:paraId="581FE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7E3B87D2">
            <w:pPr>
              <w:pStyle w:val="22"/>
              <w:widowControl/>
              <w:jc w:val="center"/>
              <w:rPr>
                <w:sz w:val="24"/>
                <w:szCs w:val="24"/>
                <w:vertAlign w:val="baseline"/>
              </w:rPr>
            </w:pPr>
            <w:r>
              <w:rPr>
                <w:rFonts w:hint="eastAsia" w:ascii="仿宋_GB2312" w:hAnsi="仿宋_GB2312" w:eastAsia="仿宋_GB2312" w:cs="仿宋_GB2312"/>
                <w:b w:val="0"/>
                <w:bCs w:val="0"/>
                <w:color w:val="auto"/>
                <w:sz w:val="24"/>
                <w:szCs w:val="24"/>
              </w:rPr>
              <w:t>1</w:t>
            </w:r>
          </w:p>
        </w:tc>
        <w:tc>
          <w:tcPr>
            <w:tcW w:w="810" w:type="dxa"/>
            <w:vAlign w:val="center"/>
          </w:tcPr>
          <w:p w14:paraId="13253544">
            <w:pPr>
              <w:pStyle w:val="12"/>
              <w:widowControl w:val="0"/>
              <w:spacing w:before="0" w:beforeAutospacing="0" w:after="0" w:afterAutospacing="0"/>
              <w:ind w:firstLine="0" w:firstLineChars="0"/>
              <w:jc w:val="center"/>
              <w:rPr>
                <w:sz w:val="24"/>
                <w:szCs w:val="24"/>
                <w:vertAlign w:val="baseline"/>
              </w:rPr>
            </w:pPr>
            <w:r>
              <w:rPr>
                <w:rFonts w:hint="eastAsia" w:ascii="仿宋_GB2312" w:hAnsi="仿宋_GB2312" w:eastAsia="仿宋_GB2312" w:cs="仿宋_GB2312"/>
                <w:b w:val="0"/>
                <w:bCs w:val="0"/>
                <w:color w:val="auto"/>
                <w:sz w:val="24"/>
                <w:szCs w:val="24"/>
                <w:highlight w:val="none"/>
                <w:lang w:val="en-US" w:eastAsia="zh-CN"/>
              </w:rPr>
              <w:t>价格部分（15分）</w:t>
            </w:r>
          </w:p>
        </w:tc>
        <w:tc>
          <w:tcPr>
            <w:tcW w:w="1050" w:type="dxa"/>
            <w:vAlign w:val="center"/>
          </w:tcPr>
          <w:p w14:paraId="7C7480AD">
            <w:pPr>
              <w:pStyle w:val="1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firstLine="0" w:firstLineChars="0"/>
              <w:jc w:val="both"/>
              <w:textAlignment w:val="auto"/>
              <w:rPr>
                <w:sz w:val="24"/>
                <w:szCs w:val="24"/>
                <w:vertAlign w:val="baseline"/>
              </w:rPr>
            </w:pPr>
            <w:r>
              <w:rPr>
                <w:rFonts w:hint="eastAsia" w:ascii="仿宋_GB2312" w:hAnsi="仿宋_GB2312" w:eastAsia="仿宋_GB2312" w:cs="仿宋_GB2312"/>
                <w:b w:val="0"/>
                <w:bCs w:val="0"/>
                <w:color w:val="auto"/>
                <w:sz w:val="24"/>
                <w:szCs w:val="24"/>
                <w:highlight w:val="none"/>
                <w:lang w:val="en-US" w:eastAsia="zh-CN"/>
              </w:rPr>
              <w:t>投标报价（15分）</w:t>
            </w:r>
          </w:p>
        </w:tc>
        <w:tc>
          <w:tcPr>
            <w:tcW w:w="6285" w:type="dxa"/>
            <w:vAlign w:val="center"/>
          </w:tcPr>
          <w:p w14:paraId="41335B5D">
            <w:pPr>
              <w:widowControl w:val="0"/>
              <w:shd w:val="clear" w:color="auto" w:fill="auto"/>
              <w:spacing w:line="312" w:lineRule="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满足招标文件要求且投标价格最低的投标报价为评标基准价，其价格分为满分。其余各投标人的投标报价得分=评标基准价÷投标报价×1</w:t>
            </w:r>
            <w:r>
              <w:rPr>
                <w:rFonts w:hint="eastAsia" w:ascii="仿宋_GB2312" w:hAnsi="仿宋_GB2312" w:eastAsia="仿宋_GB2312" w:cs="仿宋_GB2312"/>
                <w:b w:val="0"/>
                <w:bCs w:val="0"/>
                <w:color w:val="auto"/>
                <w:sz w:val="24"/>
                <w:szCs w:val="24"/>
                <w:highlight w:val="none"/>
                <w:lang w:val="en-US" w:eastAsia="zh-CN"/>
              </w:rPr>
              <w:t>5</w:t>
            </w:r>
            <w:r>
              <w:rPr>
                <w:rFonts w:hint="eastAsia" w:ascii="仿宋_GB2312" w:hAnsi="仿宋_GB2312" w:eastAsia="仿宋_GB2312" w:cs="仿宋_GB2312"/>
                <w:b w:val="0"/>
                <w:bCs w:val="0"/>
                <w:color w:val="auto"/>
                <w:sz w:val="24"/>
                <w:szCs w:val="24"/>
                <w:highlight w:val="none"/>
                <w:lang w:eastAsia="zh-CN"/>
              </w:rPr>
              <w:t>分。</w:t>
            </w:r>
          </w:p>
          <w:p w14:paraId="1E3D6FD3">
            <w:pPr>
              <w:widowControl w:val="0"/>
              <w:shd w:val="clear" w:color="auto" w:fill="auto"/>
              <w:spacing w:line="312" w:lineRule="auto"/>
              <w:rPr>
                <w:sz w:val="24"/>
                <w:szCs w:val="24"/>
                <w:vertAlign w:val="baseline"/>
              </w:rPr>
            </w:pPr>
            <w:r>
              <w:rPr>
                <w:rFonts w:hint="eastAsia" w:ascii="仿宋_GB2312" w:hAnsi="仿宋_GB2312" w:eastAsia="仿宋_GB2312" w:cs="仿宋_GB2312"/>
                <w:b w:val="0"/>
                <w:bCs w:val="0"/>
                <w:color w:val="auto"/>
                <w:sz w:val="24"/>
                <w:szCs w:val="24"/>
                <w:highlight w:val="none"/>
                <w:lang w:eastAsia="zh-CN"/>
              </w:rPr>
              <w:t>注：价格分计算保留小数点后两位。根据《政府采购促进中小企业发展管理办法》（财库（2020）46号）、《财政部司法部关于政府采购支持监狱企业发展有关问题的通知》（财库（2014）68号）和《关于促进残疾人就业政府采购政策的通知》（财库（2017）141号）的规定，对满足小微型企业条件且在响应文件中提交了《中小企业声明函》；或省级以上监狱管理局、戒毒管理局（含新疆生产建设兵团）出具的属于监狱企业的证明文件；或《残疾人福利性单位声明函》的供应商，均视同小微型企业。</w:t>
            </w:r>
          </w:p>
        </w:tc>
      </w:tr>
      <w:tr w14:paraId="4F57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tcPr>
          <w:p w14:paraId="0E7D2566">
            <w:pPr>
              <w:widowControl w:val="0"/>
              <w:rPr>
                <w:sz w:val="24"/>
                <w:szCs w:val="24"/>
                <w:vertAlign w:val="baseline"/>
              </w:rPr>
            </w:pPr>
          </w:p>
        </w:tc>
        <w:tc>
          <w:tcPr>
            <w:tcW w:w="810" w:type="dxa"/>
            <w:vMerge w:val="restart"/>
            <w:vAlign w:val="center"/>
          </w:tcPr>
          <w:p w14:paraId="7FABF043">
            <w:pPr>
              <w:pStyle w:val="12"/>
              <w:widowControl w:val="0"/>
              <w:spacing w:before="0" w:beforeAutospacing="0" w:after="0" w:afterAutospacing="0"/>
              <w:ind w:firstLine="0" w:firstLineChars="0"/>
              <w:jc w:val="center"/>
              <w:rPr>
                <w:sz w:val="24"/>
                <w:szCs w:val="24"/>
                <w:vertAlign w:val="baseline"/>
              </w:rPr>
            </w:pPr>
            <w:r>
              <w:rPr>
                <w:rFonts w:hint="eastAsia" w:ascii="仿宋_GB2312" w:hAnsi="仿宋_GB2312" w:eastAsia="仿宋_GB2312" w:cs="仿宋_GB2312"/>
                <w:b w:val="0"/>
                <w:bCs w:val="0"/>
                <w:color w:val="auto"/>
                <w:sz w:val="24"/>
                <w:szCs w:val="24"/>
                <w:highlight w:val="none"/>
                <w:lang w:val="en-US" w:eastAsia="zh-CN"/>
              </w:rPr>
              <w:t>技术部分</w:t>
            </w:r>
            <w:r>
              <w:rPr>
                <w:rFonts w:hint="eastAsia" w:ascii="仿宋_GB2312" w:hAnsi="仿宋_GB2312" w:eastAsia="仿宋_GB2312" w:cs="仿宋_GB2312"/>
                <w:b w:val="0"/>
                <w:bCs w:val="0"/>
                <w:color w:val="auto"/>
                <w:sz w:val="24"/>
                <w:szCs w:val="24"/>
                <w:highlight w:val="none"/>
                <w:lang w:eastAsia="zh-CN"/>
              </w:rPr>
              <w:t>（满分</w:t>
            </w:r>
            <w:r>
              <w:rPr>
                <w:rFonts w:hint="eastAsia" w:ascii="仿宋_GB2312" w:hAnsi="仿宋_GB2312" w:eastAsia="仿宋_GB2312" w:cs="仿宋_GB2312"/>
                <w:b w:val="0"/>
                <w:bCs w:val="0"/>
                <w:color w:val="auto"/>
                <w:sz w:val="24"/>
                <w:szCs w:val="24"/>
                <w:highlight w:val="none"/>
                <w:lang w:val="en-US" w:eastAsia="zh-CN"/>
              </w:rPr>
              <w:t>40</w:t>
            </w:r>
            <w:r>
              <w:rPr>
                <w:rFonts w:hint="eastAsia" w:ascii="仿宋_GB2312" w:hAnsi="仿宋_GB2312" w:eastAsia="仿宋_GB2312" w:cs="仿宋_GB2312"/>
                <w:b w:val="0"/>
                <w:bCs w:val="0"/>
                <w:color w:val="auto"/>
                <w:sz w:val="24"/>
                <w:szCs w:val="24"/>
                <w:highlight w:val="none"/>
                <w:lang w:eastAsia="zh-CN"/>
              </w:rPr>
              <w:t xml:space="preserve">分） </w:t>
            </w:r>
          </w:p>
        </w:tc>
        <w:tc>
          <w:tcPr>
            <w:tcW w:w="1050" w:type="dxa"/>
            <w:vAlign w:val="center"/>
          </w:tcPr>
          <w:p w14:paraId="51150BE6">
            <w:pPr>
              <w:pStyle w:val="12"/>
              <w:widowControl w:val="0"/>
              <w:spacing w:before="0" w:beforeAutospacing="0" w:after="0" w:afterAutospacing="0"/>
              <w:ind w:firstLine="0" w:firstLineChars="0"/>
              <w:jc w:val="both"/>
              <w:rPr>
                <w:sz w:val="24"/>
                <w:szCs w:val="24"/>
                <w:vertAlign w:val="baseline"/>
              </w:rPr>
            </w:pPr>
            <w:r>
              <w:rPr>
                <w:rFonts w:hint="eastAsia" w:ascii="仿宋_GB2312" w:hAnsi="仿宋_GB2312" w:eastAsia="仿宋_GB2312" w:cs="仿宋_GB2312"/>
                <w:b w:val="0"/>
                <w:bCs w:val="0"/>
                <w:color w:val="auto"/>
                <w:sz w:val="24"/>
                <w:szCs w:val="24"/>
                <w:highlight w:val="none"/>
                <w:lang w:eastAsia="zh-CN"/>
              </w:rPr>
              <w:t>服务整体方案（</w:t>
            </w:r>
            <w:r>
              <w:rPr>
                <w:rFonts w:hint="eastAsia" w:ascii="仿宋_GB2312" w:hAnsi="仿宋_GB2312" w:eastAsia="仿宋_GB2312" w:cs="仿宋_GB2312"/>
                <w:b w:val="0"/>
                <w:bCs w:val="0"/>
                <w:color w:val="auto"/>
                <w:sz w:val="24"/>
                <w:szCs w:val="24"/>
                <w:highlight w:val="none"/>
                <w:lang w:val="en-US" w:eastAsia="zh-CN"/>
              </w:rPr>
              <w:t>满分12分</w:t>
            </w:r>
            <w:r>
              <w:rPr>
                <w:rFonts w:hint="eastAsia" w:ascii="仿宋_GB2312" w:hAnsi="仿宋_GB2312" w:eastAsia="仿宋_GB2312" w:cs="仿宋_GB2312"/>
                <w:b w:val="0"/>
                <w:bCs w:val="0"/>
                <w:color w:val="auto"/>
                <w:sz w:val="24"/>
                <w:szCs w:val="24"/>
                <w:highlight w:val="none"/>
                <w:lang w:eastAsia="zh-CN"/>
              </w:rPr>
              <w:t>）</w:t>
            </w:r>
          </w:p>
        </w:tc>
        <w:tc>
          <w:tcPr>
            <w:tcW w:w="6285" w:type="dxa"/>
            <w:vAlign w:val="center"/>
          </w:tcPr>
          <w:p w14:paraId="1B4A9529">
            <w:pPr>
              <w:widowControl w:val="0"/>
              <w:shd w:val="clear" w:color="auto" w:fill="auto"/>
              <w:spacing w:line="312" w:lineRule="auto"/>
              <w:rPr>
                <w:sz w:val="24"/>
                <w:szCs w:val="24"/>
                <w:vertAlign w:val="baseline"/>
              </w:rPr>
            </w:pPr>
            <w:r>
              <w:rPr>
                <w:rFonts w:hint="eastAsia" w:ascii="仿宋_GB2312" w:hAnsi="仿宋_GB2312" w:eastAsia="仿宋_GB2312" w:cs="仿宋_GB2312"/>
                <w:b w:val="0"/>
                <w:bCs w:val="0"/>
                <w:color w:val="auto"/>
                <w:sz w:val="24"/>
                <w:szCs w:val="24"/>
                <w:highlight w:val="none"/>
                <w:lang w:eastAsia="zh-CN"/>
              </w:rPr>
              <w:t>评委会根据投标人制定的物业服务整体方案（</w:t>
            </w:r>
            <w:r>
              <w:rPr>
                <w:rFonts w:hint="eastAsia" w:ascii="仿宋_GB2312" w:hAnsi="仿宋_GB2312" w:eastAsia="仿宋_GB2312" w:cs="仿宋_GB2312"/>
                <w:b w:val="0"/>
                <w:bCs w:val="0"/>
                <w:color w:val="auto"/>
                <w:sz w:val="24"/>
                <w:szCs w:val="24"/>
                <w:highlight w:val="none"/>
                <w:lang w:val="en-US" w:eastAsia="zh-CN"/>
              </w:rPr>
              <w:t>包括但不限于</w:t>
            </w:r>
            <w:r>
              <w:rPr>
                <w:rFonts w:hint="eastAsia" w:ascii="仿宋_GB2312" w:hAnsi="仿宋_GB2312" w:eastAsia="仿宋_GB2312" w:cs="仿宋_GB2312"/>
                <w:b w:val="0"/>
                <w:bCs w:val="0"/>
                <w:color w:val="auto"/>
                <w:sz w:val="24"/>
                <w:szCs w:val="24"/>
                <w:highlight w:val="none"/>
                <w:lang w:eastAsia="zh-CN"/>
              </w:rPr>
              <w:t>卫生保洁服务承诺的内容及措施、</w:t>
            </w:r>
            <w:r>
              <w:rPr>
                <w:rFonts w:hint="eastAsia" w:ascii="仿宋_GB2312" w:hAnsi="仿宋_GB2312" w:eastAsia="仿宋_GB2312" w:cs="仿宋_GB2312"/>
                <w:b w:val="0"/>
                <w:bCs w:val="0"/>
                <w:color w:val="auto"/>
                <w:sz w:val="24"/>
                <w:szCs w:val="24"/>
                <w:highlight w:val="none"/>
                <w:lang w:val="en-US" w:eastAsia="zh-CN"/>
              </w:rPr>
              <w:t>会务</w:t>
            </w:r>
            <w:r>
              <w:rPr>
                <w:rFonts w:hint="eastAsia" w:ascii="仿宋_GB2312" w:hAnsi="仿宋_GB2312" w:eastAsia="仿宋_GB2312" w:cs="仿宋_GB2312"/>
                <w:b w:val="0"/>
                <w:bCs w:val="0"/>
                <w:color w:val="auto"/>
                <w:sz w:val="24"/>
                <w:szCs w:val="24"/>
                <w:highlight w:val="none"/>
                <w:lang w:eastAsia="zh-CN"/>
              </w:rPr>
              <w:t>服务承诺的内容及措施、物业客服中心服务承诺的内容及措施、绿化服务承诺的内容及措施）的完整性、合理性、</w:t>
            </w:r>
            <w:r>
              <w:rPr>
                <w:rFonts w:hint="eastAsia" w:ascii="仿宋_GB2312" w:hAnsi="仿宋_GB2312" w:eastAsia="仿宋_GB2312" w:cs="仿宋_GB2312"/>
                <w:b w:val="0"/>
                <w:bCs w:val="0"/>
                <w:color w:val="auto"/>
                <w:sz w:val="24"/>
                <w:szCs w:val="24"/>
                <w:highlight w:val="none"/>
                <w:lang w:val="en-US" w:eastAsia="zh-CN"/>
              </w:rPr>
              <w:t>科学性、创新性</w:t>
            </w:r>
            <w:r>
              <w:rPr>
                <w:rFonts w:hint="eastAsia" w:ascii="仿宋_GB2312" w:hAnsi="仿宋_GB2312" w:eastAsia="仿宋_GB2312" w:cs="仿宋_GB2312"/>
                <w:b w:val="0"/>
                <w:bCs w:val="0"/>
                <w:color w:val="auto"/>
                <w:sz w:val="24"/>
                <w:szCs w:val="24"/>
                <w:highlight w:val="none"/>
                <w:lang w:eastAsia="zh-CN"/>
              </w:rPr>
              <w:t>进行</w:t>
            </w:r>
            <w:r>
              <w:rPr>
                <w:rFonts w:hint="eastAsia" w:ascii="仿宋_GB2312" w:hAnsi="仿宋_GB2312" w:eastAsia="仿宋_GB2312" w:cs="仿宋_GB2312"/>
                <w:b w:val="0"/>
                <w:bCs w:val="0"/>
                <w:color w:val="auto"/>
                <w:sz w:val="24"/>
                <w:szCs w:val="24"/>
                <w:highlight w:val="none"/>
                <w:lang w:val="en-US" w:eastAsia="zh-CN"/>
              </w:rPr>
              <w:t>打分</w:t>
            </w:r>
            <w:r>
              <w:rPr>
                <w:rFonts w:hint="eastAsia" w:ascii="仿宋_GB2312" w:hAnsi="仿宋_GB2312" w:eastAsia="仿宋_GB2312" w:cs="仿宋_GB2312"/>
                <w:b w:val="0"/>
                <w:bCs w:val="0"/>
                <w:color w:val="auto"/>
                <w:sz w:val="24"/>
                <w:szCs w:val="24"/>
                <w:highlight w:val="none"/>
                <w:lang w:eastAsia="zh-CN"/>
              </w:rPr>
              <w:t>。计划</w:t>
            </w:r>
            <w:r>
              <w:rPr>
                <w:rFonts w:hint="eastAsia" w:ascii="仿宋_GB2312" w:hAnsi="仿宋_GB2312" w:eastAsia="仿宋_GB2312" w:cs="仿宋_GB2312"/>
                <w:b w:val="0"/>
                <w:bCs w:val="0"/>
                <w:color w:val="auto"/>
                <w:sz w:val="24"/>
                <w:szCs w:val="24"/>
                <w:highlight w:val="none"/>
                <w:lang w:val="en-US" w:eastAsia="zh-CN"/>
              </w:rPr>
              <w:t>完全满足项目需求，</w:t>
            </w:r>
            <w:r>
              <w:rPr>
                <w:rFonts w:hint="eastAsia" w:ascii="仿宋_GB2312" w:hAnsi="仿宋_GB2312" w:eastAsia="仿宋_GB2312" w:cs="仿宋_GB2312"/>
                <w:b w:val="0"/>
                <w:bCs w:val="0"/>
                <w:color w:val="auto"/>
                <w:sz w:val="24"/>
                <w:szCs w:val="24"/>
                <w:highlight w:val="none"/>
                <w:lang w:eastAsia="zh-CN"/>
              </w:rPr>
              <w:t>详细、完善、合理、</w:t>
            </w:r>
            <w:r>
              <w:rPr>
                <w:rFonts w:hint="eastAsia" w:ascii="仿宋_GB2312" w:hAnsi="仿宋_GB2312" w:eastAsia="仿宋_GB2312" w:cs="仿宋_GB2312"/>
                <w:b w:val="0"/>
                <w:bCs w:val="0"/>
                <w:color w:val="auto"/>
                <w:sz w:val="24"/>
                <w:szCs w:val="24"/>
                <w:highlight w:val="none"/>
                <w:lang w:val="en-US" w:eastAsia="zh-CN"/>
              </w:rPr>
              <w:t>措施</w:t>
            </w:r>
            <w:r>
              <w:rPr>
                <w:rFonts w:hint="eastAsia" w:ascii="仿宋_GB2312" w:hAnsi="仿宋_GB2312" w:eastAsia="仿宋_GB2312" w:cs="仿宋_GB2312"/>
                <w:b w:val="0"/>
                <w:bCs w:val="0"/>
                <w:color w:val="auto"/>
                <w:sz w:val="24"/>
                <w:szCs w:val="24"/>
                <w:highlight w:val="none"/>
                <w:lang w:eastAsia="zh-CN"/>
              </w:rPr>
              <w:t>可行的得</w:t>
            </w:r>
            <w:r>
              <w:rPr>
                <w:rFonts w:hint="eastAsia" w:ascii="仿宋_GB2312" w:hAnsi="仿宋_GB2312" w:eastAsia="仿宋_GB2312" w:cs="仿宋_GB2312"/>
                <w:b w:val="0"/>
                <w:bCs w:val="0"/>
                <w:color w:val="auto"/>
                <w:sz w:val="24"/>
                <w:szCs w:val="24"/>
                <w:highlight w:val="none"/>
                <w:lang w:val="en-US" w:eastAsia="zh-CN"/>
              </w:rPr>
              <w:t>12</w:t>
            </w:r>
            <w:r>
              <w:rPr>
                <w:rFonts w:hint="eastAsia" w:ascii="仿宋_GB2312" w:hAnsi="仿宋_GB2312" w:eastAsia="仿宋_GB2312" w:cs="仿宋_GB2312"/>
                <w:b w:val="0"/>
                <w:bCs w:val="0"/>
                <w:color w:val="auto"/>
                <w:sz w:val="24"/>
                <w:szCs w:val="24"/>
                <w:highlight w:val="none"/>
                <w:lang w:eastAsia="zh-CN"/>
              </w:rPr>
              <w:t>分；基本</w:t>
            </w:r>
            <w:r>
              <w:rPr>
                <w:rFonts w:hint="eastAsia" w:ascii="仿宋_GB2312" w:hAnsi="仿宋_GB2312" w:eastAsia="仿宋_GB2312" w:cs="仿宋_GB2312"/>
                <w:b w:val="0"/>
                <w:bCs w:val="0"/>
                <w:color w:val="auto"/>
                <w:sz w:val="24"/>
                <w:szCs w:val="24"/>
                <w:highlight w:val="none"/>
                <w:lang w:val="en-US" w:eastAsia="zh-CN"/>
              </w:rPr>
              <w:t>满足项目需求，内容合理、具有</w:t>
            </w:r>
            <w:r>
              <w:rPr>
                <w:rFonts w:hint="eastAsia" w:ascii="仿宋_GB2312" w:hAnsi="仿宋_GB2312" w:eastAsia="仿宋_GB2312" w:cs="仿宋_GB2312"/>
                <w:b w:val="0"/>
                <w:bCs w:val="0"/>
                <w:color w:val="auto"/>
                <w:sz w:val="24"/>
                <w:szCs w:val="24"/>
                <w:highlight w:val="none"/>
                <w:lang w:eastAsia="zh-CN"/>
              </w:rPr>
              <w:t>可行</w:t>
            </w:r>
            <w:r>
              <w:rPr>
                <w:rFonts w:hint="eastAsia" w:ascii="仿宋_GB2312" w:hAnsi="仿宋_GB2312" w:eastAsia="仿宋_GB2312" w:cs="仿宋_GB2312"/>
                <w:b w:val="0"/>
                <w:bCs w:val="0"/>
                <w:color w:val="auto"/>
                <w:sz w:val="24"/>
                <w:szCs w:val="24"/>
                <w:highlight w:val="none"/>
                <w:lang w:val="en-US" w:eastAsia="zh-CN"/>
              </w:rPr>
              <w:t>性</w:t>
            </w:r>
            <w:r>
              <w:rPr>
                <w:rFonts w:hint="eastAsia" w:ascii="仿宋_GB2312" w:hAnsi="仿宋_GB2312" w:eastAsia="仿宋_GB2312" w:cs="仿宋_GB2312"/>
                <w:b w:val="0"/>
                <w:bCs w:val="0"/>
                <w:color w:val="auto"/>
                <w:sz w:val="24"/>
                <w:szCs w:val="24"/>
                <w:highlight w:val="none"/>
                <w:lang w:eastAsia="zh-CN"/>
              </w:rPr>
              <w:t>的得</w:t>
            </w:r>
            <w:r>
              <w:rPr>
                <w:rFonts w:hint="eastAsia" w:ascii="仿宋_GB2312" w:hAnsi="仿宋_GB2312" w:eastAsia="仿宋_GB2312" w:cs="仿宋_GB2312"/>
                <w:b w:val="0"/>
                <w:bCs w:val="0"/>
                <w:color w:val="auto"/>
                <w:sz w:val="24"/>
                <w:szCs w:val="24"/>
                <w:highlight w:val="none"/>
                <w:lang w:val="en-US" w:eastAsia="zh-CN"/>
              </w:rPr>
              <w:t>8</w:t>
            </w:r>
            <w:r>
              <w:rPr>
                <w:rFonts w:hint="eastAsia" w:ascii="仿宋_GB2312" w:hAnsi="仿宋_GB2312" w:eastAsia="仿宋_GB2312" w:cs="仿宋_GB2312"/>
                <w:b w:val="0"/>
                <w:bCs w:val="0"/>
                <w:color w:val="auto"/>
                <w:sz w:val="24"/>
                <w:szCs w:val="24"/>
                <w:highlight w:val="none"/>
                <w:lang w:eastAsia="zh-CN"/>
              </w:rPr>
              <w:t>分；</w:t>
            </w:r>
            <w:r>
              <w:rPr>
                <w:rFonts w:hint="eastAsia" w:ascii="仿宋_GB2312" w:hAnsi="仿宋_GB2312" w:eastAsia="仿宋_GB2312" w:cs="仿宋_GB2312"/>
                <w:b w:val="0"/>
                <w:bCs w:val="0"/>
                <w:color w:val="auto"/>
                <w:sz w:val="24"/>
                <w:szCs w:val="24"/>
                <w:highlight w:val="none"/>
                <w:lang w:val="en-US" w:eastAsia="zh-CN"/>
              </w:rPr>
              <w:t>基本满足项目需求，</w:t>
            </w:r>
            <w:r>
              <w:rPr>
                <w:rFonts w:hint="eastAsia" w:ascii="仿宋_GB2312" w:hAnsi="仿宋_GB2312" w:eastAsia="仿宋_GB2312" w:cs="仿宋_GB2312"/>
                <w:b w:val="0"/>
                <w:bCs w:val="0"/>
                <w:color w:val="auto"/>
                <w:sz w:val="24"/>
                <w:szCs w:val="24"/>
                <w:highlight w:val="none"/>
                <w:lang w:eastAsia="zh-CN"/>
              </w:rPr>
              <w:t>描述全面、</w:t>
            </w:r>
            <w:r>
              <w:rPr>
                <w:rFonts w:hint="eastAsia" w:ascii="仿宋_GB2312" w:hAnsi="仿宋_GB2312" w:eastAsia="仿宋_GB2312" w:cs="仿宋_GB2312"/>
                <w:b w:val="0"/>
                <w:bCs w:val="0"/>
                <w:color w:val="auto"/>
                <w:sz w:val="24"/>
                <w:szCs w:val="24"/>
                <w:highlight w:val="none"/>
                <w:lang w:val="en-US" w:eastAsia="zh-CN"/>
              </w:rPr>
              <w:t>措施缺乏可行性</w:t>
            </w:r>
            <w:r>
              <w:rPr>
                <w:rFonts w:hint="eastAsia" w:ascii="仿宋_GB2312" w:hAnsi="仿宋_GB2312" w:eastAsia="仿宋_GB2312" w:cs="仿宋_GB2312"/>
                <w:b w:val="0"/>
                <w:bCs w:val="0"/>
                <w:color w:val="auto"/>
                <w:sz w:val="24"/>
                <w:szCs w:val="24"/>
                <w:highlight w:val="none"/>
                <w:lang w:eastAsia="zh-CN"/>
              </w:rPr>
              <w:t>的得</w:t>
            </w: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lang w:eastAsia="zh-CN"/>
              </w:rPr>
              <w:t>分，</w:t>
            </w:r>
            <w:r>
              <w:rPr>
                <w:rFonts w:hint="eastAsia" w:ascii="仿宋_GB2312" w:hAnsi="仿宋_GB2312" w:eastAsia="仿宋_GB2312" w:cs="仿宋_GB2312"/>
                <w:b w:val="0"/>
                <w:bCs w:val="0"/>
                <w:color w:val="auto"/>
                <w:sz w:val="24"/>
                <w:szCs w:val="24"/>
                <w:highlight w:val="none"/>
                <w:lang w:val="en-US" w:eastAsia="zh-CN"/>
              </w:rPr>
              <w:t>计划不满足项目需求，内容不合理得2分。</w:t>
            </w:r>
            <w:r>
              <w:rPr>
                <w:rFonts w:hint="eastAsia" w:ascii="仿宋_GB2312" w:hAnsi="仿宋_GB2312" w:eastAsia="仿宋_GB2312" w:cs="仿宋_GB2312"/>
                <w:b w:val="0"/>
                <w:bCs w:val="0"/>
                <w:color w:val="auto"/>
                <w:sz w:val="24"/>
                <w:szCs w:val="24"/>
                <w:highlight w:val="none"/>
                <w:lang w:eastAsia="zh-CN"/>
              </w:rPr>
              <w:t>缺项不得分</w:t>
            </w:r>
          </w:p>
        </w:tc>
      </w:tr>
      <w:tr w14:paraId="3570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tcPr>
          <w:p w14:paraId="0E3D1ABC">
            <w:pPr>
              <w:widowControl w:val="0"/>
              <w:rPr>
                <w:sz w:val="24"/>
                <w:szCs w:val="24"/>
                <w:vertAlign w:val="baseline"/>
              </w:rPr>
            </w:pPr>
          </w:p>
        </w:tc>
        <w:tc>
          <w:tcPr>
            <w:tcW w:w="810" w:type="dxa"/>
            <w:vMerge w:val="continue"/>
            <w:vAlign w:val="center"/>
          </w:tcPr>
          <w:p w14:paraId="645AA4A5">
            <w:pPr>
              <w:pStyle w:val="12"/>
              <w:widowControl w:val="0"/>
              <w:spacing w:before="0" w:beforeAutospacing="0" w:after="0" w:afterAutospacing="0"/>
              <w:ind w:firstLine="0" w:firstLineChars="0"/>
              <w:jc w:val="center"/>
              <w:rPr>
                <w:rFonts w:hint="eastAsia" w:ascii="仿宋_GB2312" w:hAnsi="仿宋_GB2312" w:eastAsia="仿宋_GB2312" w:cs="仿宋_GB2312"/>
                <w:b w:val="0"/>
                <w:bCs w:val="0"/>
                <w:color w:val="auto"/>
                <w:sz w:val="24"/>
                <w:szCs w:val="24"/>
                <w:highlight w:val="none"/>
                <w:lang w:val="en-US" w:eastAsia="zh-CN"/>
              </w:rPr>
            </w:pPr>
          </w:p>
        </w:tc>
        <w:tc>
          <w:tcPr>
            <w:tcW w:w="1050" w:type="dxa"/>
            <w:vAlign w:val="center"/>
          </w:tcPr>
          <w:p w14:paraId="7A9E426A">
            <w:pPr>
              <w:pStyle w:val="12"/>
              <w:widowControl w:val="0"/>
              <w:spacing w:before="0" w:beforeAutospacing="0" w:after="0" w:afterAutospacing="0"/>
              <w:ind w:firstLine="0" w:firstLineChars="0"/>
              <w:jc w:val="both"/>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val="en-US" w:eastAsia="zh-CN"/>
              </w:rPr>
              <w:t>设备配备方案（满分8分）</w:t>
            </w:r>
          </w:p>
        </w:tc>
        <w:tc>
          <w:tcPr>
            <w:tcW w:w="6285" w:type="dxa"/>
            <w:vAlign w:val="center"/>
          </w:tcPr>
          <w:p w14:paraId="554CD543">
            <w:pPr>
              <w:widowControl w:val="0"/>
              <w:shd w:val="clear" w:color="auto" w:fill="auto"/>
              <w:spacing w:line="312" w:lineRule="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评委会根据投标人制定的</w:t>
            </w:r>
            <w:r>
              <w:rPr>
                <w:rFonts w:hint="eastAsia" w:ascii="仿宋_GB2312" w:hAnsi="仿宋_GB2312" w:eastAsia="仿宋_GB2312" w:cs="仿宋_GB2312"/>
                <w:b w:val="0"/>
                <w:bCs w:val="0"/>
                <w:color w:val="auto"/>
                <w:sz w:val="24"/>
                <w:szCs w:val="24"/>
                <w:highlight w:val="none"/>
                <w:lang w:val="en-US" w:eastAsia="zh-CN"/>
              </w:rPr>
              <w:t>作业设备</w:t>
            </w:r>
            <w:r>
              <w:rPr>
                <w:rFonts w:hint="eastAsia" w:ascii="仿宋_GB2312" w:hAnsi="仿宋_GB2312" w:eastAsia="仿宋_GB2312" w:cs="仿宋_GB2312"/>
                <w:b w:val="0"/>
                <w:bCs w:val="0"/>
                <w:color w:val="auto"/>
                <w:sz w:val="24"/>
                <w:szCs w:val="24"/>
                <w:highlight w:val="none"/>
                <w:lang w:eastAsia="zh-CN"/>
              </w:rPr>
              <w:t>投入的完整性、合理性、</w:t>
            </w:r>
            <w:r>
              <w:rPr>
                <w:rFonts w:hint="eastAsia" w:ascii="仿宋_GB2312" w:hAnsi="仿宋_GB2312" w:eastAsia="仿宋_GB2312" w:cs="仿宋_GB2312"/>
                <w:b w:val="0"/>
                <w:bCs w:val="0"/>
                <w:color w:val="auto"/>
                <w:sz w:val="24"/>
                <w:szCs w:val="24"/>
                <w:highlight w:val="none"/>
                <w:lang w:val="en-US" w:eastAsia="zh-CN"/>
              </w:rPr>
              <w:t>科学性、创新性</w:t>
            </w:r>
            <w:r>
              <w:rPr>
                <w:rFonts w:hint="eastAsia" w:ascii="仿宋_GB2312" w:hAnsi="仿宋_GB2312" w:eastAsia="仿宋_GB2312" w:cs="仿宋_GB2312"/>
                <w:b w:val="0"/>
                <w:bCs w:val="0"/>
                <w:color w:val="auto"/>
                <w:sz w:val="24"/>
                <w:szCs w:val="24"/>
                <w:highlight w:val="none"/>
                <w:lang w:eastAsia="zh-CN"/>
              </w:rPr>
              <w:t>进行</w:t>
            </w:r>
            <w:r>
              <w:rPr>
                <w:rFonts w:hint="eastAsia" w:ascii="仿宋_GB2312" w:hAnsi="仿宋_GB2312" w:eastAsia="仿宋_GB2312" w:cs="仿宋_GB2312"/>
                <w:b w:val="0"/>
                <w:bCs w:val="0"/>
                <w:color w:val="auto"/>
                <w:sz w:val="24"/>
                <w:szCs w:val="24"/>
                <w:highlight w:val="none"/>
                <w:lang w:val="en-US" w:eastAsia="zh-CN"/>
              </w:rPr>
              <w:t>打分</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供应商应提供作业设备（自有或租赁）用于物业服务，包括但不限于：驾驶式扫地车、驾驶式洗地机、高压冲洗车、割灌（草）机等作业设备。设备图片和购买发票或租赁合同</w:t>
            </w:r>
            <w:r>
              <w:rPr>
                <w:rFonts w:hint="eastAsia" w:ascii="仿宋_GB2312" w:hAnsi="仿宋_GB2312" w:eastAsia="仿宋_GB2312" w:cs="仿宋_GB2312"/>
                <w:b w:val="0"/>
                <w:bCs w:val="0"/>
                <w:color w:val="auto"/>
                <w:sz w:val="24"/>
                <w:szCs w:val="24"/>
                <w:highlight w:val="none"/>
                <w:lang w:eastAsia="zh-CN"/>
              </w:rPr>
              <w:t>详细、</w:t>
            </w:r>
            <w:r>
              <w:rPr>
                <w:rFonts w:hint="eastAsia" w:ascii="仿宋_GB2312" w:hAnsi="仿宋_GB2312" w:eastAsia="仿宋_GB2312" w:cs="仿宋_GB2312"/>
                <w:b w:val="0"/>
                <w:bCs w:val="0"/>
                <w:color w:val="auto"/>
                <w:sz w:val="24"/>
                <w:szCs w:val="24"/>
                <w:highlight w:val="none"/>
                <w:lang w:val="en-US" w:eastAsia="zh-CN"/>
              </w:rPr>
              <w:t>设施配套齐全，完全满足项目要求，设备先进</w:t>
            </w:r>
            <w:r>
              <w:rPr>
                <w:rFonts w:hint="eastAsia" w:ascii="仿宋_GB2312" w:hAnsi="仿宋_GB2312" w:eastAsia="仿宋_GB2312" w:cs="仿宋_GB2312"/>
                <w:b w:val="0"/>
                <w:bCs w:val="0"/>
                <w:color w:val="auto"/>
                <w:sz w:val="24"/>
                <w:szCs w:val="24"/>
                <w:highlight w:val="none"/>
                <w:lang w:eastAsia="zh-CN"/>
              </w:rPr>
              <w:t>得</w:t>
            </w:r>
            <w:r>
              <w:rPr>
                <w:rFonts w:hint="eastAsia" w:ascii="仿宋_GB2312" w:hAnsi="仿宋_GB2312" w:eastAsia="仿宋_GB2312" w:cs="仿宋_GB2312"/>
                <w:b w:val="0"/>
                <w:bCs w:val="0"/>
                <w:color w:val="auto"/>
                <w:sz w:val="24"/>
                <w:szCs w:val="24"/>
                <w:highlight w:val="none"/>
                <w:lang w:val="en-US" w:eastAsia="zh-CN"/>
              </w:rPr>
              <w:t>8</w:t>
            </w:r>
            <w:r>
              <w:rPr>
                <w:rFonts w:hint="eastAsia" w:ascii="仿宋_GB2312" w:hAnsi="仿宋_GB2312" w:eastAsia="仿宋_GB2312" w:cs="仿宋_GB2312"/>
                <w:b w:val="0"/>
                <w:bCs w:val="0"/>
                <w:color w:val="auto"/>
                <w:sz w:val="24"/>
                <w:szCs w:val="24"/>
                <w:highlight w:val="none"/>
                <w:lang w:eastAsia="zh-CN"/>
              </w:rPr>
              <w:t>分；</w:t>
            </w:r>
            <w:r>
              <w:rPr>
                <w:rFonts w:hint="eastAsia" w:ascii="仿宋_GB2312" w:hAnsi="仿宋_GB2312" w:eastAsia="仿宋_GB2312" w:cs="仿宋_GB2312"/>
                <w:b w:val="0"/>
                <w:bCs w:val="0"/>
                <w:color w:val="auto"/>
                <w:sz w:val="24"/>
                <w:szCs w:val="24"/>
                <w:highlight w:val="none"/>
                <w:lang w:val="en-US" w:eastAsia="zh-CN"/>
              </w:rPr>
              <w:t>设备能满足项目要求</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配备方案</w:t>
            </w:r>
            <w:r>
              <w:rPr>
                <w:rFonts w:hint="eastAsia" w:ascii="仿宋_GB2312" w:hAnsi="仿宋_GB2312" w:eastAsia="仿宋_GB2312" w:cs="仿宋_GB2312"/>
                <w:b w:val="0"/>
                <w:bCs w:val="0"/>
                <w:color w:val="auto"/>
                <w:sz w:val="24"/>
                <w:szCs w:val="24"/>
                <w:highlight w:val="none"/>
                <w:lang w:eastAsia="zh-CN"/>
              </w:rPr>
              <w:t>可行的得</w:t>
            </w:r>
            <w:r>
              <w:rPr>
                <w:rFonts w:hint="eastAsia" w:ascii="仿宋_GB2312" w:hAnsi="仿宋_GB2312" w:eastAsia="仿宋_GB2312" w:cs="仿宋_GB2312"/>
                <w:b w:val="0"/>
                <w:bCs w:val="0"/>
                <w:color w:val="auto"/>
                <w:sz w:val="24"/>
                <w:szCs w:val="24"/>
                <w:highlight w:val="none"/>
                <w:lang w:val="en-US" w:eastAsia="zh-CN"/>
              </w:rPr>
              <w:t>5</w:t>
            </w:r>
            <w:r>
              <w:rPr>
                <w:rFonts w:hint="eastAsia" w:ascii="仿宋_GB2312" w:hAnsi="仿宋_GB2312" w:eastAsia="仿宋_GB2312" w:cs="仿宋_GB2312"/>
                <w:b w:val="0"/>
                <w:bCs w:val="0"/>
                <w:color w:val="auto"/>
                <w:sz w:val="24"/>
                <w:szCs w:val="24"/>
                <w:highlight w:val="none"/>
                <w:lang w:eastAsia="zh-CN"/>
              </w:rPr>
              <w:t>分；</w:t>
            </w:r>
            <w:r>
              <w:rPr>
                <w:rFonts w:hint="eastAsia" w:ascii="仿宋_GB2312" w:hAnsi="仿宋_GB2312" w:eastAsia="仿宋_GB2312" w:cs="仿宋_GB2312"/>
                <w:b w:val="0"/>
                <w:bCs w:val="0"/>
                <w:color w:val="auto"/>
                <w:sz w:val="24"/>
                <w:szCs w:val="24"/>
                <w:highlight w:val="none"/>
                <w:lang w:val="en-US" w:eastAsia="zh-CN"/>
              </w:rPr>
              <w:t>设备明显无法满足项目需求</w:t>
            </w:r>
            <w:r>
              <w:rPr>
                <w:rFonts w:hint="eastAsia" w:ascii="仿宋_GB2312" w:hAnsi="仿宋_GB2312" w:eastAsia="仿宋_GB2312" w:cs="仿宋_GB2312"/>
                <w:b w:val="0"/>
                <w:bCs w:val="0"/>
                <w:color w:val="auto"/>
                <w:sz w:val="24"/>
                <w:szCs w:val="24"/>
                <w:highlight w:val="none"/>
                <w:lang w:eastAsia="zh-CN"/>
              </w:rPr>
              <w:t>得</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分，缺项不得分。</w:t>
            </w:r>
          </w:p>
        </w:tc>
      </w:tr>
      <w:tr w14:paraId="0448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tcPr>
          <w:p w14:paraId="44B5CCBB">
            <w:pPr>
              <w:widowControl w:val="0"/>
              <w:rPr>
                <w:sz w:val="24"/>
                <w:szCs w:val="24"/>
                <w:vertAlign w:val="baseline"/>
              </w:rPr>
            </w:pPr>
          </w:p>
        </w:tc>
        <w:tc>
          <w:tcPr>
            <w:tcW w:w="810" w:type="dxa"/>
            <w:vMerge w:val="continue"/>
            <w:vAlign w:val="center"/>
          </w:tcPr>
          <w:p w14:paraId="44F5B2E8">
            <w:pPr>
              <w:pStyle w:val="12"/>
              <w:widowControl w:val="0"/>
              <w:spacing w:before="0" w:beforeAutospacing="0" w:after="0" w:afterAutospacing="0"/>
              <w:ind w:firstLine="0" w:firstLineChars="0"/>
              <w:jc w:val="center"/>
              <w:rPr>
                <w:rFonts w:hint="eastAsia" w:ascii="仿宋_GB2312" w:hAnsi="仿宋_GB2312" w:eastAsia="仿宋_GB2312" w:cs="仿宋_GB2312"/>
                <w:b w:val="0"/>
                <w:bCs w:val="0"/>
                <w:color w:val="auto"/>
                <w:sz w:val="24"/>
                <w:szCs w:val="24"/>
                <w:highlight w:val="none"/>
                <w:lang w:val="en-US" w:eastAsia="zh-CN"/>
              </w:rPr>
            </w:pPr>
          </w:p>
        </w:tc>
        <w:tc>
          <w:tcPr>
            <w:tcW w:w="1050" w:type="dxa"/>
            <w:vAlign w:val="center"/>
          </w:tcPr>
          <w:p w14:paraId="707975E6">
            <w:pPr>
              <w:widowControl w:val="0"/>
              <w:spacing w:line="360" w:lineRule="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物业管理制度（</w:t>
            </w:r>
            <w:r>
              <w:rPr>
                <w:rFonts w:hint="eastAsia" w:ascii="仿宋_GB2312" w:hAnsi="仿宋_GB2312" w:eastAsia="仿宋_GB2312" w:cs="仿宋_GB2312"/>
                <w:b w:val="0"/>
                <w:bCs w:val="0"/>
                <w:color w:val="auto"/>
                <w:sz w:val="24"/>
                <w:szCs w:val="24"/>
                <w:highlight w:val="none"/>
                <w:lang w:val="en-US" w:eastAsia="zh-CN"/>
              </w:rPr>
              <w:t>满分4分</w:t>
            </w:r>
            <w:r>
              <w:rPr>
                <w:rFonts w:hint="eastAsia" w:ascii="仿宋_GB2312" w:hAnsi="仿宋_GB2312" w:eastAsia="仿宋_GB2312" w:cs="仿宋_GB2312"/>
                <w:b w:val="0"/>
                <w:bCs w:val="0"/>
                <w:color w:val="auto"/>
                <w:sz w:val="24"/>
                <w:szCs w:val="24"/>
                <w:highlight w:val="none"/>
                <w:lang w:eastAsia="zh-CN"/>
              </w:rPr>
              <w:t>）</w:t>
            </w:r>
          </w:p>
        </w:tc>
        <w:tc>
          <w:tcPr>
            <w:tcW w:w="6285" w:type="dxa"/>
            <w:vAlign w:val="center"/>
          </w:tcPr>
          <w:p w14:paraId="42A0BE60">
            <w:pPr>
              <w:widowControl w:val="0"/>
              <w:shd w:val="clear" w:color="auto" w:fill="auto"/>
              <w:spacing w:line="312" w:lineRule="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评委会根据投标人制定的物业管理制度的完整性、合理性进行</w:t>
            </w:r>
            <w:r>
              <w:rPr>
                <w:rFonts w:hint="eastAsia" w:ascii="仿宋_GB2312" w:hAnsi="仿宋_GB2312" w:eastAsia="仿宋_GB2312" w:cs="仿宋_GB2312"/>
                <w:b w:val="0"/>
                <w:bCs w:val="0"/>
                <w:color w:val="auto"/>
                <w:sz w:val="24"/>
                <w:szCs w:val="24"/>
                <w:highlight w:val="none"/>
                <w:lang w:val="en-US" w:eastAsia="zh-CN"/>
              </w:rPr>
              <w:t>打分</w:t>
            </w:r>
            <w:r>
              <w:rPr>
                <w:rFonts w:hint="eastAsia" w:ascii="仿宋_GB2312" w:hAnsi="仿宋_GB2312" w:eastAsia="仿宋_GB2312" w:cs="仿宋_GB2312"/>
                <w:b w:val="0"/>
                <w:bCs w:val="0"/>
                <w:color w:val="auto"/>
                <w:sz w:val="24"/>
                <w:szCs w:val="24"/>
                <w:highlight w:val="none"/>
                <w:lang w:eastAsia="zh-CN"/>
              </w:rPr>
              <w:t>，制度详细、完善、合理可行的得</w:t>
            </w: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lang w:eastAsia="zh-CN"/>
              </w:rPr>
              <w:t>分；基本完善、</w:t>
            </w:r>
            <w:r>
              <w:rPr>
                <w:rFonts w:hint="eastAsia" w:ascii="仿宋_GB2312" w:hAnsi="仿宋_GB2312" w:eastAsia="仿宋_GB2312" w:cs="仿宋_GB2312"/>
                <w:b w:val="0"/>
                <w:bCs w:val="0"/>
                <w:color w:val="auto"/>
                <w:sz w:val="24"/>
                <w:szCs w:val="24"/>
                <w:highlight w:val="none"/>
                <w:lang w:val="en-US" w:eastAsia="zh-CN"/>
              </w:rPr>
              <w:t>具有</w:t>
            </w:r>
            <w:r>
              <w:rPr>
                <w:rFonts w:hint="eastAsia" w:ascii="仿宋_GB2312" w:hAnsi="仿宋_GB2312" w:eastAsia="仿宋_GB2312" w:cs="仿宋_GB2312"/>
                <w:b w:val="0"/>
                <w:bCs w:val="0"/>
                <w:color w:val="auto"/>
                <w:sz w:val="24"/>
                <w:szCs w:val="24"/>
                <w:highlight w:val="none"/>
                <w:lang w:eastAsia="zh-CN"/>
              </w:rPr>
              <w:t>可行</w:t>
            </w:r>
            <w:r>
              <w:rPr>
                <w:rFonts w:hint="eastAsia" w:ascii="仿宋_GB2312" w:hAnsi="仿宋_GB2312" w:eastAsia="仿宋_GB2312" w:cs="仿宋_GB2312"/>
                <w:b w:val="0"/>
                <w:bCs w:val="0"/>
                <w:color w:val="auto"/>
                <w:sz w:val="24"/>
                <w:szCs w:val="24"/>
                <w:highlight w:val="none"/>
                <w:lang w:val="en-US" w:eastAsia="zh-CN"/>
              </w:rPr>
              <w:t>性</w:t>
            </w:r>
            <w:r>
              <w:rPr>
                <w:rFonts w:hint="eastAsia" w:ascii="仿宋_GB2312" w:hAnsi="仿宋_GB2312" w:eastAsia="仿宋_GB2312" w:cs="仿宋_GB2312"/>
                <w:b w:val="0"/>
                <w:bCs w:val="0"/>
                <w:color w:val="auto"/>
                <w:sz w:val="24"/>
                <w:szCs w:val="24"/>
                <w:highlight w:val="none"/>
                <w:lang w:eastAsia="zh-CN"/>
              </w:rPr>
              <w:t>得</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分；描述不全面、</w:t>
            </w:r>
            <w:r>
              <w:rPr>
                <w:rFonts w:hint="eastAsia" w:ascii="仿宋_GB2312" w:hAnsi="仿宋_GB2312" w:eastAsia="仿宋_GB2312" w:cs="仿宋_GB2312"/>
                <w:b w:val="0"/>
                <w:bCs w:val="0"/>
                <w:color w:val="auto"/>
                <w:sz w:val="24"/>
                <w:szCs w:val="24"/>
                <w:highlight w:val="none"/>
                <w:lang w:val="en-US" w:eastAsia="zh-CN"/>
              </w:rPr>
              <w:t>不</w:t>
            </w:r>
            <w:r>
              <w:rPr>
                <w:rFonts w:hint="eastAsia" w:ascii="仿宋_GB2312" w:hAnsi="仿宋_GB2312" w:eastAsia="仿宋_GB2312" w:cs="仿宋_GB2312"/>
                <w:b w:val="0"/>
                <w:bCs w:val="0"/>
                <w:color w:val="auto"/>
                <w:sz w:val="24"/>
                <w:szCs w:val="24"/>
                <w:highlight w:val="none"/>
                <w:lang w:eastAsia="zh-CN"/>
              </w:rPr>
              <w:t>合理、</w:t>
            </w:r>
            <w:r>
              <w:rPr>
                <w:rFonts w:hint="eastAsia" w:ascii="仿宋_GB2312" w:hAnsi="仿宋_GB2312" w:eastAsia="仿宋_GB2312" w:cs="仿宋_GB2312"/>
                <w:b w:val="0"/>
                <w:bCs w:val="0"/>
                <w:color w:val="auto"/>
                <w:sz w:val="24"/>
                <w:szCs w:val="24"/>
                <w:highlight w:val="none"/>
                <w:lang w:val="en-US" w:eastAsia="zh-CN"/>
              </w:rPr>
              <w:t>不</w:t>
            </w:r>
            <w:r>
              <w:rPr>
                <w:rFonts w:hint="eastAsia" w:ascii="仿宋_GB2312" w:hAnsi="仿宋_GB2312" w:eastAsia="仿宋_GB2312" w:cs="仿宋_GB2312"/>
                <w:b w:val="0"/>
                <w:bCs w:val="0"/>
                <w:color w:val="auto"/>
                <w:sz w:val="24"/>
                <w:szCs w:val="24"/>
                <w:highlight w:val="none"/>
                <w:lang w:eastAsia="zh-CN"/>
              </w:rPr>
              <w:t>可行的得</w:t>
            </w: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lang w:eastAsia="zh-CN"/>
              </w:rPr>
              <w:t>分，缺项不得分；</w:t>
            </w:r>
          </w:p>
        </w:tc>
      </w:tr>
      <w:tr w14:paraId="79FB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tcPr>
          <w:p w14:paraId="0856DB1C">
            <w:pPr>
              <w:widowControl w:val="0"/>
              <w:rPr>
                <w:sz w:val="24"/>
                <w:szCs w:val="24"/>
                <w:vertAlign w:val="baseline"/>
              </w:rPr>
            </w:pPr>
          </w:p>
        </w:tc>
        <w:tc>
          <w:tcPr>
            <w:tcW w:w="810" w:type="dxa"/>
            <w:vMerge w:val="continue"/>
            <w:vAlign w:val="center"/>
          </w:tcPr>
          <w:p w14:paraId="423C181F">
            <w:pPr>
              <w:pStyle w:val="12"/>
              <w:widowControl w:val="0"/>
              <w:spacing w:before="0" w:beforeAutospacing="0" w:after="0" w:afterAutospacing="0"/>
              <w:ind w:firstLine="0" w:firstLineChars="0"/>
              <w:jc w:val="center"/>
              <w:rPr>
                <w:rFonts w:hint="eastAsia" w:ascii="仿宋_GB2312" w:hAnsi="仿宋_GB2312" w:eastAsia="仿宋_GB2312" w:cs="仿宋_GB2312"/>
                <w:b w:val="0"/>
                <w:bCs w:val="0"/>
                <w:color w:val="auto"/>
                <w:sz w:val="24"/>
                <w:szCs w:val="24"/>
                <w:highlight w:val="none"/>
                <w:lang w:val="en-US" w:eastAsia="zh-CN"/>
              </w:rPr>
            </w:pPr>
          </w:p>
        </w:tc>
        <w:tc>
          <w:tcPr>
            <w:tcW w:w="1050" w:type="dxa"/>
            <w:shd w:val="clear" w:color="auto" w:fill="auto"/>
            <w:vAlign w:val="center"/>
          </w:tcPr>
          <w:p w14:paraId="0189B220">
            <w:pPr>
              <w:widowControl w:val="0"/>
              <w:shd w:val="clear" w:color="auto" w:fill="auto"/>
              <w:spacing w:line="312" w:lineRule="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eastAsia="zh-CN"/>
              </w:rPr>
              <w:t>人员培训管理</w:t>
            </w:r>
            <w:r>
              <w:rPr>
                <w:rFonts w:hint="eastAsia" w:ascii="仿宋_GB2312" w:hAnsi="仿宋_GB2312" w:eastAsia="仿宋_GB2312" w:cs="仿宋_GB2312"/>
                <w:b w:val="0"/>
                <w:bCs w:val="0"/>
                <w:color w:val="auto"/>
                <w:sz w:val="24"/>
                <w:szCs w:val="24"/>
                <w:highlight w:val="none"/>
                <w:lang w:val="en-US" w:eastAsia="zh-CN"/>
              </w:rPr>
              <w:t>方案</w:t>
            </w:r>
          </w:p>
          <w:p w14:paraId="5813DD05">
            <w:pPr>
              <w:widowControl w:val="0"/>
              <w:shd w:val="clear" w:color="auto" w:fill="auto"/>
              <w:spacing w:line="312" w:lineRule="auto"/>
              <w:rPr>
                <w:rFonts w:hint="eastAsia" w:ascii="仿宋_GB2312" w:hAnsi="仿宋_GB2312" w:eastAsia="仿宋_GB2312" w:cs="仿宋_GB2312"/>
                <w:b w:val="0"/>
                <w:bCs w:val="0"/>
                <w:snapToGrid w:val="0"/>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auto"/>
                <w:sz w:val="24"/>
                <w:szCs w:val="24"/>
                <w:highlight w:val="none"/>
                <w:lang w:val="en-US" w:eastAsia="zh-CN"/>
              </w:rPr>
              <w:t>（满分4分）</w:t>
            </w:r>
          </w:p>
        </w:tc>
        <w:tc>
          <w:tcPr>
            <w:tcW w:w="6285" w:type="dxa"/>
            <w:shd w:val="clear" w:color="auto" w:fill="auto"/>
            <w:vAlign w:val="center"/>
          </w:tcPr>
          <w:p w14:paraId="0D65E215">
            <w:pPr>
              <w:widowControl w:val="0"/>
              <w:shd w:val="clear" w:color="auto" w:fill="auto"/>
              <w:spacing w:line="312" w:lineRule="auto"/>
              <w:rPr>
                <w:rFonts w:hint="eastAsia" w:ascii="仿宋_GB2312" w:hAnsi="仿宋_GB2312" w:eastAsia="仿宋_GB2312" w:cs="仿宋_GB2312"/>
                <w:b w:val="0"/>
                <w:bCs w:val="0"/>
                <w:snapToGrid w:val="0"/>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auto"/>
                <w:sz w:val="24"/>
                <w:szCs w:val="24"/>
                <w:highlight w:val="none"/>
                <w:lang w:eastAsia="zh-CN"/>
              </w:rPr>
              <w:t>评委会根据投标人制定的人员培训管理计划的完整性、合理性进行</w:t>
            </w:r>
            <w:r>
              <w:rPr>
                <w:rFonts w:hint="eastAsia" w:ascii="仿宋_GB2312" w:hAnsi="仿宋_GB2312" w:eastAsia="仿宋_GB2312" w:cs="仿宋_GB2312"/>
                <w:b w:val="0"/>
                <w:bCs w:val="0"/>
                <w:color w:val="auto"/>
                <w:sz w:val="24"/>
                <w:szCs w:val="24"/>
                <w:highlight w:val="none"/>
                <w:lang w:val="en-US" w:eastAsia="zh-CN"/>
              </w:rPr>
              <w:t>打分</w:t>
            </w:r>
            <w:r>
              <w:rPr>
                <w:rFonts w:hint="eastAsia" w:ascii="仿宋_GB2312" w:hAnsi="仿宋_GB2312" w:eastAsia="仿宋_GB2312" w:cs="仿宋_GB2312"/>
                <w:b w:val="0"/>
                <w:bCs w:val="0"/>
                <w:color w:val="auto"/>
                <w:sz w:val="24"/>
                <w:szCs w:val="24"/>
                <w:highlight w:val="none"/>
                <w:lang w:eastAsia="zh-CN"/>
              </w:rPr>
              <w:t>，计划</w:t>
            </w:r>
            <w:r>
              <w:rPr>
                <w:rFonts w:hint="eastAsia" w:ascii="仿宋_GB2312" w:hAnsi="仿宋_GB2312" w:eastAsia="仿宋_GB2312" w:cs="仿宋_GB2312"/>
                <w:b w:val="0"/>
                <w:bCs w:val="0"/>
                <w:color w:val="auto"/>
                <w:sz w:val="24"/>
                <w:szCs w:val="24"/>
                <w:highlight w:val="none"/>
                <w:lang w:val="en-US" w:eastAsia="zh-CN"/>
              </w:rPr>
              <w:t>满足项目需求，</w:t>
            </w:r>
            <w:r>
              <w:rPr>
                <w:rFonts w:hint="eastAsia" w:ascii="仿宋_GB2312" w:hAnsi="仿宋_GB2312" w:eastAsia="仿宋_GB2312" w:cs="仿宋_GB2312"/>
                <w:b w:val="0"/>
                <w:bCs w:val="0"/>
                <w:color w:val="auto"/>
                <w:sz w:val="24"/>
                <w:szCs w:val="24"/>
                <w:highlight w:val="none"/>
                <w:lang w:eastAsia="zh-CN"/>
              </w:rPr>
              <w:t>详细完善、合理、可行的得</w:t>
            </w: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lang w:eastAsia="zh-CN"/>
              </w:rPr>
              <w:t>分；基本完善、可行的得</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分；描述不合理、可行的得</w:t>
            </w: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lang w:eastAsia="zh-CN"/>
              </w:rPr>
              <w:t>分，缺项不得分；</w:t>
            </w:r>
          </w:p>
        </w:tc>
      </w:tr>
      <w:tr w14:paraId="2931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tcPr>
          <w:p w14:paraId="381CA03A">
            <w:pPr>
              <w:widowControl w:val="0"/>
              <w:rPr>
                <w:sz w:val="24"/>
                <w:szCs w:val="24"/>
                <w:vertAlign w:val="baseline"/>
              </w:rPr>
            </w:pPr>
          </w:p>
        </w:tc>
        <w:tc>
          <w:tcPr>
            <w:tcW w:w="810" w:type="dxa"/>
            <w:vMerge w:val="continue"/>
            <w:vAlign w:val="center"/>
          </w:tcPr>
          <w:p w14:paraId="17778B68">
            <w:pPr>
              <w:pStyle w:val="12"/>
              <w:widowControl w:val="0"/>
              <w:spacing w:before="0" w:beforeAutospacing="0" w:after="0" w:afterAutospacing="0"/>
              <w:ind w:firstLine="0" w:firstLineChars="0"/>
              <w:jc w:val="center"/>
              <w:rPr>
                <w:rFonts w:hint="eastAsia" w:ascii="仿宋_GB2312" w:hAnsi="仿宋_GB2312" w:eastAsia="仿宋_GB2312" w:cs="仿宋_GB2312"/>
                <w:b w:val="0"/>
                <w:bCs w:val="0"/>
                <w:color w:val="auto"/>
                <w:sz w:val="24"/>
                <w:szCs w:val="24"/>
                <w:highlight w:val="none"/>
                <w:lang w:val="en-US" w:eastAsia="zh-CN"/>
              </w:rPr>
            </w:pPr>
          </w:p>
        </w:tc>
        <w:tc>
          <w:tcPr>
            <w:tcW w:w="1050" w:type="dxa"/>
            <w:shd w:val="clear" w:color="auto" w:fill="auto"/>
            <w:vAlign w:val="center"/>
          </w:tcPr>
          <w:p w14:paraId="4A00DBDE">
            <w:pPr>
              <w:widowControl w:val="0"/>
              <w:shd w:val="clear" w:color="auto" w:fill="auto"/>
              <w:spacing w:line="312" w:lineRule="auto"/>
              <w:rPr>
                <w:rFonts w:hint="eastAsia" w:ascii="仿宋_GB2312" w:hAnsi="仿宋_GB2312" w:eastAsia="仿宋_GB2312" w:cs="仿宋_GB2312"/>
                <w:b w:val="0"/>
                <w:bCs w:val="0"/>
                <w:snapToGrid w:val="0"/>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auto"/>
                <w:sz w:val="24"/>
                <w:szCs w:val="24"/>
                <w:highlight w:val="none"/>
                <w:lang w:val="en-US" w:eastAsia="zh-CN"/>
              </w:rPr>
              <w:t>人员配备方案（满分6分）</w:t>
            </w:r>
          </w:p>
        </w:tc>
        <w:tc>
          <w:tcPr>
            <w:tcW w:w="6285" w:type="dxa"/>
            <w:shd w:val="clear" w:color="auto" w:fill="auto"/>
            <w:vAlign w:val="center"/>
          </w:tcPr>
          <w:p w14:paraId="2112D843">
            <w:pPr>
              <w:widowControl w:val="0"/>
              <w:shd w:val="clear" w:color="auto" w:fill="auto"/>
              <w:spacing w:line="312" w:lineRule="auto"/>
              <w:rPr>
                <w:rFonts w:hint="eastAsia" w:ascii="仿宋_GB2312" w:hAnsi="仿宋_GB2312" w:eastAsia="仿宋_GB2312" w:cs="仿宋_GB2312"/>
                <w:b w:val="0"/>
                <w:bCs w:val="0"/>
                <w:snapToGrid w:val="0"/>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auto"/>
                <w:sz w:val="24"/>
                <w:szCs w:val="24"/>
                <w:highlight w:val="none"/>
                <w:lang w:eastAsia="zh-CN"/>
              </w:rPr>
              <w:t>评委会根据投标人制定的管理及服务人员用工计划的完整性、合理性进行</w:t>
            </w:r>
            <w:r>
              <w:rPr>
                <w:rFonts w:hint="eastAsia" w:ascii="仿宋_GB2312" w:hAnsi="仿宋_GB2312" w:eastAsia="仿宋_GB2312" w:cs="仿宋_GB2312"/>
                <w:b w:val="0"/>
                <w:bCs w:val="0"/>
                <w:color w:val="auto"/>
                <w:sz w:val="24"/>
                <w:szCs w:val="24"/>
                <w:highlight w:val="none"/>
                <w:lang w:val="en-US" w:eastAsia="zh-CN"/>
              </w:rPr>
              <w:t>打分</w:t>
            </w:r>
            <w:r>
              <w:rPr>
                <w:rFonts w:hint="eastAsia" w:ascii="仿宋_GB2312" w:hAnsi="仿宋_GB2312" w:eastAsia="仿宋_GB2312" w:cs="仿宋_GB2312"/>
                <w:b w:val="0"/>
                <w:bCs w:val="0"/>
                <w:color w:val="auto"/>
                <w:sz w:val="24"/>
                <w:szCs w:val="24"/>
                <w:highlight w:val="none"/>
                <w:lang w:eastAsia="zh-CN"/>
              </w:rPr>
              <w:t>，计划详细、完善、合理、可行的得</w:t>
            </w:r>
            <w:r>
              <w:rPr>
                <w:rFonts w:hint="eastAsia" w:ascii="仿宋_GB2312" w:hAnsi="仿宋_GB2312" w:eastAsia="仿宋_GB2312" w:cs="仿宋_GB2312"/>
                <w:b w:val="0"/>
                <w:bCs w:val="0"/>
                <w:color w:val="auto"/>
                <w:sz w:val="24"/>
                <w:szCs w:val="24"/>
                <w:highlight w:val="none"/>
                <w:lang w:val="en-US" w:eastAsia="zh-CN"/>
              </w:rPr>
              <w:t>6</w:t>
            </w:r>
            <w:r>
              <w:rPr>
                <w:rFonts w:hint="eastAsia" w:ascii="仿宋_GB2312" w:hAnsi="仿宋_GB2312" w:eastAsia="仿宋_GB2312" w:cs="仿宋_GB2312"/>
                <w:b w:val="0"/>
                <w:bCs w:val="0"/>
                <w:color w:val="auto"/>
                <w:sz w:val="24"/>
                <w:szCs w:val="24"/>
                <w:highlight w:val="none"/>
                <w:lang w:eastAsia="zh-CN"/>
              </w:rPr>
              <w:t>分；基本完善、可行的得</w:t>
            </w: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lang w:eastAsia="zh-CN"/>
              </w:rPr>
              <w:t>分；描述不够全面、详细、合理、可行的得</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分，缺项不得分；</w:t>
            </w:r>
          </w:p>
        </w:tc>
      </w:tr>
      <w:tr w14:paraId="4C0B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tcPr>
          <w:p w14:paraId="280B9AC2">
            <w:pPr>
              <w:widowControl w:val="0"/>
              <w:rPr>
                <w:sz w:val="24"/>
                <w:szCs w:val="24"/>
                <w:vertAlign w:val="baseline"/>
              </w:rPr>
            </w:pPr>
          </w:p>
        </w:tc>
        <w:tc>
          <w:tcPr>
            <w:tcW w:w="810" w:type="dxa"/>
            <w:vMerge w:val="continue"/>
            <w:vAlign w:val="center"/>
          </w:tcPr>
          <w:p w14:paraId="1AAE3785">
            <w:pPr>
              <w:pStyle w:val="12"/>
              <w:widowControl w:val="0"/>
              <w:spacing w:before="0" w:beforeAutospacing="0" w:after="0" w:afterAutospacing="0"/>
              <w:ind w:firstLine="0" w:firstLineChars="0"/>
              <w:jc w:val="center"/>
              <w:rPr>
                <w:rFonts w:hint="eastAsia" w:ascii="仿宋_GB2312" w:hAnsi="仿宋_GB2312" w:eastAsia="仿宋_GB2312" w:cs="仿宋_GB2312"/>
                <w:b w:val="0"/>
                <w:bCs w:val="0"/>
                <w:color w:val="auto"/>
                <w:sz w:val="24"/>
                <w:szCs w:val="24"/>
                <w:highlight w:val="none"/>
                <w:lang w:val="en-US" w:eastAsia="zh-CN"/>
              </w:rPr>
            </w:pPr>
          </w:p>
        </w:tc>
        <w:tc>
          <w:tcPr>
            <w:tcW w:w="1050" w:type="dxa"/>
            <w:shd w:val="clear" w:color="auto" w:fill="auto"/>
            <w:vAlign w:val="center"/>
          </w:tcPr>
          <w:p w14:paraId="3F9F9E50">
            <w:pPr>
              <w:widowControl w:val="0"/>
              <w:autoSpaceDN w:val="0"/>
              <w:spacing w:line="360" w:lineRule="auto"/>
              <w:jc w:val="left"/>
              <w:textAlignment w:val="center"/>
              <w:rPr>
                <w:rFonts w:hint="eastAsia" w:ascii="仿宋_GB2312" w:hAnsi="仿宋_GB2312" w:eastAsia="仿宋_GB2312" w:cs="仿宋_GB2312"/>
                <w:b w:val="0"/>
                <w:bCs w:val="0"/>
                <w:snapToGrid w:val="0"/>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auto"/>
                <w:sz w:val="24"/>
                <w:szCs w:val="24"/>
                <w:highlight w:val="none"/>
                <w:lang w:eastAsia="zh-CN"/>
              </w:rPr>
              <w:t>应急预案（</w:t>
            </w:r>
            <w:r>
              <w:rPr>
                <w:rFonts w:hint="eastAsia" w:ascii="仿宋_GB2312" w:hAnsi="仿宋_GB2312" w:eastAsia="仿宋_GB2312" w:cs="仿宋_GB2312"/>
                <w:b w:val="0"/>
                <w:bCs w:val="0"/>
                <w:color w:val="auto"/>
                <w:sz w:val="24"/>
                <w:szCs w:val="24"/>
                <w:highlight w:val="none"/>
                <w:lang w:val="en-US" w:eastAsia="zh-CN"/>
              </w:rPr>
              <w:t>满分6分</w:t>
            </w:r>
            <w:r>
              <w:rPr>
                <w:rFonts w:hint="eastAsia" w:ascii="仿宋_GB2312" w:hAnsi="仿宋_GB2312" w:eastAsia="仿宋_GB2312" w:cs="仿宋_GB2312"/>
                <w:b w:val="0"/>
                <w:bCs w:val="0"/>
                <w:color w:val="auto"/>
                <w:sz w:val="24"/>
                <w:szCs w:val="24"/>
                <w:highlight w:val="none"/>
                <w:lang w:eastAsia="zh-CN"/>
              </w:rPr>
              <w:t>）</w:t>
            </w:r>
          </w:p>
        </w:tc>
        <w:tc>
          <w:tcPr>
            <w:tcW w:w="6285" w:type="dxa"/>
            <w:shd w:val="clear" w:color="auto" w:fill="auto"/>
            <w:vAlign w:val="center"/>
          </w:tcPr>
          <w:p w14:paraId="26A83475">
            <w:pPr>
              <w:widowControl w:val="0"/>
              <w:shd w:val="clear" w:color="auto" w:fill="auto"/>
              <w:spacing w:line="312" w:lineRule="auto"/>
              <w:rPr>
                <w:rFonts w:hint="eastAsia" w:ascii="仿宋_GB2312" w:hAnsi="仿宋_GB2312" w:eastAsia="仿宋_GB2312" w:cs="仿宋_GB2312"/>
                <w:b w:val="0"/>
                <w:bCs w:val="0"/>
                <w:snapToGrid w:val="0"/>
                <w:color w:val="auto"/>
                <w:kern w:val="0"/>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lang w:eastAsia="zh-CN"/>
              </w:rPr>
              <w:t>评委会根据投标人提供的应急预案的可行性、适用性，进行</w:t>
            </w:r>
            <w:r>
              <w:rPr>
                <w:rFonts w:hint="eastAsia" w:ascii="仿宋_GB2312" w:hAnsi="仿宋_GB2312" w:eastAsia="仿宋_GB2312" w:cs="仿宋_GB2312"/>
                <w:b w:val="0"/>
                <w:bCs w:val="0"/>
                <w:color w:val="auto"/>
                <w:sz w:val="24"/>
                <w:szCs w:val="24"/>
                <w:highlight w:val="none"/>
                <w:lang w:val="en-US" w:eastAsia="zh-CN"/>
              </w:rPr>
              <w:t>打分</w:t>
            </w:r>
            <w:r>
              <w:rPr>
                <w:rFonts w:hint="eastAsia" w:ascii="仿宋_GB2312" w:hAnsi="仿宋_GB2312" w:eastAsia="仿宋_GB2312" w:cs="仿宋_GB2312"/>
                <w:b w:val="0"/>
                <w:bCs w:val="0"/>
                <w:color w:val="auto"/>
                <w:sz w:val="24"/>
                <w:szCs w:val="24"/>
                <w:highlight w:val="none"/>
                <w:lang w:eastAsia="zh-CN"/>
              </w:rPr>
              <w:t>， 应急预案合理、可行、适用性强的得</w:t>
            </w:r>
            <w:r>
              <w:rPr>
                <w:rFonts w:hint="eastAsia" w:ascii="仿宋_GB2312" w:hAnsi="仿宋_GB2312" w:eastAsia="仿宋_GB2312" w:cs="仿宋_GB2312"/>
                <w:b w:val="0"/>
                <w:bCs w:val="0"/>
                <w:color w:val="auto"/>
                <w:sz w:val="24"/>
                <w:szCs w:val="24"/>
                <w:highlight w:val="none"/>
                <w:lang w:val="en-US" w:eastAsia="zh-CN"/>
              </w:rPr>
              <w:t>6</w:t>
            </w:r>
            <w:r>
              <w:rPr>
                <w:rFonts w:hint="eastAsia" w:ascii="仿宋_GB2312" w:hAnsi="仿宋_GB2312" w:eastAsia="仿宋_GB2312" w:cs="仿宋_GB2312"/>
                <w:b w:val="0"/>
                <w:bCs w:val="0"/>
                <w:color w:val="auto"/>
                <w:sz w:val="24"/>
                <w:szCs w:val="24"/>
                <w:highlight w:val="none"/>
                <w:lang w:eastAsia="zh-CN"/>
              </w:rPr>
              <w:t>分；基本</w:t>
            </w:r>
            <w:r>
              <w:rPr>
                <w:rFonts w:hint="eastAsia" w:ascii="仿宋_GB2312" w:hAnsi="仿宋_GB2312" w:eastAsia="仿宋_GB2312" w:cs="仿宋_GB2312"/>
                <w:b w:val="0"/>
                <w:bCs w:val="0"/>
                <w:color w:val="auto"/>
                <w:sz w:val="24"/>
                <w:szCs w:val="24"/>
                <w:highlight w:val="none"/>
                <w:lang w:val="en-US" w:eastAsia="zh-CN"/>
              </w:rPr>
              <w:t>满足项目需求</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方案</w:t>
            </w:r>
            <w:r>
              <w:rPr>
                <w:rFonts w:hint="eastAsia" w:ascii="仿宋_GB2312" w:hAnsi="仿宋_GB2312" w:eastAsia="仿宋_GB2312" w:cs="仿宋_GB2312"/>
                <w:b w:val="0"/>
                <w:bCs w:val="0"/>
                <w:color w:val="auto"/>
                <w:sz w:val="24"/>
                <w:szCs w:val="24"/>
                <w:highlight w:val="none"/>
                <w:lang w:eastAsia="zh-CN"/>
              </w:rPr>
              <w:t>可行的得</w:t>
            </w: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lang w:eastAsia="zh-CN"/>
              </w:rPr>
              <w:t>分；描述不够合理、可行的得</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分，缺项不得分；</w:t>
            </w:r>
          </w:p>
        </w:tc>
      </w:tr>
      <w:tr w14:paraId="4056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tcPr>
          <w:p w14:paraId="3529B2C7">
            <w:pPr>
              <w:widowControl w:val="0"/>
              <w:rPr>
                <w:sz w:val="24"/>
                <w:szCs w:val="24"/>
                <w:vertAlign w:val="baseline"/>
              </w:rPr>
            </w:pPr>
          </w:p>
        </w:tc>
        <w:tc>
          <w:tcPr>
            <w:tcW w:w="810" w:type="dxa"/>
            <w:vMerge w:val="restart"/>
            <w:vAlign w:val="center"/>
          </w:tcPr>
          <w:p w14:paraId="3D7FB6E9">
            <w:pPr>
              <w:pStyle w:val="12"/>
              <w:widowControl w:val="0"/>
              <w:spacing w:before="0" w:beforeAutospacing="0" w:after="0" w:afterAutospacing="0"/>
              <w:ind w:firstLine="0" w:firstLineChars="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商务部分</w:t>
            </w:r>
            <w:r>
              <w:rPr>
                <w:rFonts w:hint="eastAsia" w:ascii="仿宋_GB2312" w:hAnsi="仿宋_GB2312" w:eastAsia="仿宋_GB2312" w:cs="仿宋_GB2312"/>
                <w:b w:val="0"/>
                <w:bCs w:val="0"/>
                <w:color w:val="auto"/>
                <w:sz w:val="24"/>
                <w:szCs w:val="24"/>
                <w:highlight w:val="none"/>
                <w:lang w:eastAsia="zh-CN"/>
              </w:rPr>
              <w:t>（满分</w:t>
            </w:r>
            <w:r>
              <w:rPr>
                <w:rFonts w:hint="eastAsia" w:ascii="仿宋_GB2312" w:hAnsi="仿宋_GB2312" w:eastAsia="仿宋_GB2312" w:cs="仿宋_GB2312"/>
                <w:b w:val="0"/>
                <w:bCs w:val="0"/>
                <w:color w:val="auto"/>
                <w:sz w:val="24"/>
                <w:szCs w:val="24"/>
                <w:highlight w:val="none"/>
                <w:lang w:val="en-US" w:eastAsia="zh-CN"/>
              </w:rPr>
              <w:t>45</w:t>
            </w:r>
            <w:r>
              <w:rPr>
                <w:rFonts w:hint="eastAsia" w:ascii="仿宋_GB2312" w:hAnsi="仿宋_GB2312" w:eastAsia="仿宋_GB2312" w:cs="仿宋_GB2312"/>
                <w:b w:val="0"/>
                <w:bCs w:val="0"/>
                <w:color w:val="auto"/>
                <w:sz w:val="24"/>
                <w:szCs w:val="24"/>
                <w:highlight w:val="none"/>
                <w:lang w:eastAsia="zh-CN"/>
              </w:rPr>
              <w:t>分）</w:t>
            </w:r>
          </w:p>
        </w:tc>
        <w:tc>
          <w:tcPr>
            <w:tcW w:w="1050" w:type="dxa"/>
            <w:shd w:val="clear" w:color="auto" w:fill="auto"/>
            <w:vAlign w:val="center"/>
          </w:tcPr>
          <w:p w14:paraId="6E57E747">
            <w:pPr>
              <w:widowControl w:val="0"/>
              <w:autoSpaceDN w:val="0"/>
              <w:spacing w:line="360" w:lineRule="auto"/>
              <w:jc w:val="left"/>
              <w:textAlignment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 xml:space="preserve">投标人管理能力 </w:t>
            </w:r>
          </w:p>
          <w:p w14:paraId="6A61E75F">
            <w:pPr>
              <w:widowControl w:val="0"/>
              <w:autoSpaceDN w:val="0"/>
              <w:spacing w:line="360" w:lineRule="auto"/>
              <w:jc w:val="left"/>
              <w:textAlignment w:val="center"/>
              <w:rPr>
                <w:rFonts w:hint="eastAsia" w:ascii="仿宋_GB2312" w:hAnsi="仿宋_GB2312" w:eastAsia="仿宋_GB2312" w:cs="仿宋_GB2312"/>
                <w:b w:val="0"/>
                <w:bCs w:val="0"/>
                <w:snapToGrid w:val="0"/>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auto"/>
                <w:sz w:val="24"/>
                <w:szCs w:val="24"/>
                <w:highlight w:val="none"/>
                <w:lang w:eastAsia="zh-CN"/>
              </w:rPr>
              <w:t>（满分1</w:t>
            </w:r>
            <w:r>
              <w:rPr>
                <w:rFonts w:hint="eastAsia" w:ascii="仿宋_GB2312" w:hAnsi="仿宋_GB2312" w:eastAsia="仿宋_GB2312" w:cs="仿宋_GB2312"/>
                <w:b w:val="0"/>
                <w:bCs w:val="0"/>
                <w:color w:val="auto"/>
                <w:sz w:val="24"/>
                <w:szCs w:val="24"/>
                <w:highlight w:val="none"/>
                <w:lang w:val="en-US" w:eastAsia="zh-CN"/>
              </w:rPr>
              <w:t>5</w:t>
            </w:r>
            <w:r>
              <w:rPr>
                <w:rFonts w:hint="eastAsia" w:ascii="仿宋_GB2312" w:hAnsi="仿宋_GB2312" w:eastAsia="仿宋_GB2312" w:cs="仿宋_GB2312"/>
                <w:b w:val="0"/>
                <w:bCs w:val="0"/>
                <w:color w:val="auto"/>
                <w:sz w:val="24"/>
                <w:szCs w:val="24"/>
                <w:highlight w:val="none"/>
                <w:lang w:eastAsia="zh-CN"/>
              </w:rPr>
              <w:t xml:space="preserve">分） </w:t>
            </w:r>
          </w:p>
        </w:tc>
        <w:tc>
          <w:tcPr>
            <w:tcW w:w="6285" w:type="dxa"/>
            <w:shd w:val="clear" w:color="auto" w:fill="auto"/>
            <w:vAlign w:val="center"/>
          </w:tcPr>
          <w:p w14:paraId="3634058D">
            <w:pPr>
              <w:widowControl w:val="0"/>
              <w:shd w:val="clear" w:color="auto" w:fill="auto"/>
              <w:spacing w:line="312" w:lineRule="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lang w:eastAsia="zh-CN"/>
              </w:rPr>
              <w:t>）供应商提供</w:t>
            </w:r>
            <w:r>
              <w:rPr>
                <w:rFonts w:hint="eastAsia" w:ascii="仿宋_GB2312" w:hAnsi="仿宋_GB2312" w:eastAsia="仿宋_GB2312" w:cs="仿宋_GB2312"/>
                <w:b w:val="0"/>
                <w:bCs w:val="0"/>
                <w:color w:val="auto"/>
                <w:sz w:val="24"/>
                <w:szCs w:val="24"/>
                <w:highlight w:val="none"/>
                <w:lang w:val="en-US" w:eastAsia="zh-CN"/>
              </w:rPr>
              <w:t>单位办公楼物业服务</w:t>
            </w:r>
            <w:r>
              <w:rPr>
                <w:rFonts w:hint="eastAsia" w:ascii="仿宋_GB2312" w:hAnsi="仿宋_GB2312" w:eastAsia="仿宋_GB2312" w:cs="仿宋_GB2312"/>
                <w:b w:val="0"/>
                <w:bCs w:val="0"/>
                <w:color w:val="auto"/>
                <w:sz w:val="24"/>
                <w:szCs w:val="24"/>
                <w:highlight w:val="none"/>
                <w:lang w:eastAsia="zh-CN"/>
              </w:rPr>
              <w:t>质量管理体系认证、环境管理体系认证、健康安全管理体系认证证书、</w:t>
            </w:r>
            <w:r>
              <w:rPr>
                <w:rFonts w:hint="eastAsia" w:ascii="仿宋_GB2312" w:hAnsi="仿宋_GB2312" w:eastAsia="仿宋_GB2312" w:cs="仿宋_GB2312"/>
                <w:b w:val="0"/>
                <w:bCs w:val="0"/>
                <w:color w:val="auto"/>
                <w:sz w:val="24"/>
                <w:szCs w:val="24"/>
                <w:highlight w:val="none"/>
                <w:lang w:val="en-US" w:eastAsia="zh-CN"/>
              </w:rPr>
              <w:t>物业服务认证证书等</w:t>
            </w:r>
            <w:r>
              <w:rPr>
                <w:rFonts w:hint="eastAsia" w:ascii="仿宋_GB2312" w:hAnsi="仿宋_GB2312" w:eastAsia="仿宋_GB2312" w:cs="仿宋_GB2312"/>
                <w:b w:val="0"/>
                <w:bCs w:val="0"/>
                <w:color w:val="auto"/>
                <w:sz w:val="24"/>
                <w:szCs w:val="24"/>
                <w:highlight w:val="none"/>
                <w:lang w:eastAsia="zh-CN"/>
              </w:rPr>
              <w:t>提供一份证书得</w:t>
            </w: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sz w:val="24"/>
                <w:szCs w:val="24"/>
                <w:highlight w:val="none"/>
                <w:lang w:eastAsia="zh-CN"/>
              </w:rPr>
              <w:t>分，最多得</w:t>
            </w:r>
            <w:r>
              <w:rPr>
                <w:rFonts w:hint="eastAsia" w:ascii="仿宋_GB2312" w:hAnsi="仿宋_GB2312" w:eastAsia="仿宋_GB2312" w:cs="仿宋_GB2312"/>
                <w:b w:val="0"/>
                <w:bCs w:val="0"/>
                <w:color w:val="auto"/>
                <w:sz w:val="24"/>
                <w:szCs w:val="24"/>
                <w:highlight w:val="none"/>
                <w:lang w:val="en-US" w:eastAsia="zh-CN"/>
              </w:rPr>
              <w:t>12</w:t>
            </w:r>
            <w:r>
              <w:rPr>
                <w:rFonts w:hint="eastAsia" w:ascii="仿宋_GB2312" w:hAnsi="仿宋_GB2312" w:eastAsia="仿宋_GB2312" w:cs="仿宋_GB2312"/>
                <w:b w:val="0"/>
                <w:bCs w:val="0"/>
                <w:color w:val="auto"/>
                <w:sz w:val="24"/>
                <w:szCs w:val="24"/>
                <w:highlight w:val="none"/>
                <w:lang w:eastAsia="zh-CN"/>
              </w:rPr>
              <w:t>分。缺项不得分。</w:t>
            </w:r>
          </w:p>
          <w:p w14:paraId="538BDEC0">
            <w:pPr>
              <w:widowControl w:val="0"/>
              <w:shd w:val="clear" w:color="auto" w:fill="auto"/>
              <w:spacing w:line="312" w:lineRule="auto"/>
              <w:rPr>
                <w:rFonts w:hint="eastAsia" w:ascii="仿宋_GB2312" w:hAnsi="仿宋_GB2312" w:eastAsia="仿宋_GB2312" w:cs="仿宋_GB2312"/>
                <w:b w:val="0"/>
                <w:bCs w:val="0"/>
                <w:snapToGrid w:val="0"/>
                <w:color w:val="auto"/>
                <w:kern w:val="0"/>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）供应商提供有效期内的“AAA级企业信用等级证书”信用证书的得</w:t>
            </w: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sz w:val="24"/>
                <w:szCs w:val="24"/>
                <w:highlight w:val="none"/>
                <w:lang w:eastAsia="zh-CN"/>
              </w:rPr>
              <w:t>分。缺项不得分。</w:t>
            </w:r>
          </w:p>
        </w:tc>
      </w:tr>
      <w:tr w14:paraId="2369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tcPr>
          <w:p w14:paraId="0B215249">
            <w:pPr>
              <w:widowControl w:val="0"/>
              <w:rPr>
                <w:sz w:val="24"/>
                <w:szCs w:val="24"/>
                <w:vertAlign w:val="baseline"/>
              </w:rPr>
            </w:pPr>
          </w:p>
        </w:tc>
        <w:tc>
          <w:tcPr>
            <w:tcW w:w="810" w:type="dxa"/>
            <w:vMerge w:val="continue"/>
            <w:vAlign w:val="center"/>
          </w:tcPr>
          <w:p w14:paraId="38AB048C">
            <w:pPr>
              <w:pStyle w:val="12"/>
              <w:widowControl w:val="0"/>
              <w:spacing w:before="0" w:beforeAutospacing="0" w:after="0" w:afterAutospacing="0"/>
              <w:ind w:firstLine="0" w:firstLineChars="0"/>
              <w:jc w:val="center"/>
              <w:rPr>
                <w:rFonts w:hint="eastAsia" w:ascii="仿宋_GB2312" w:hAnsi="仿宋_GB2312" w:eastAsia="仿宋_GB2312" w:cs="仿宋_GB2312"/>
                <w:b w:val="0"/>
                <w:bCs w:val="0"/>
                <w:color w:val="auto"/>
                <w:sz w:val="24"/>
                <w:szCs w:val="24"/>
                <w:highlight w:val="none"/>
                <w:lang w:val="en-US" w:eastAsia="zh-CN"/>
              </w:rPr>
            </w:pPr>
          </w:p>
        </w:tc>
        <w:tc>
          <w:tcPr>
            <w:tcW w:w="1050" w:type="dxa"/>
            <w:shd w:val="clear" w:color="auto" w:fill="auto"/>
            <w:vAlign w:val="center"/>
          </w:tcPr>
          <w:p w14:paraId="6FCC71BA">
            <w:pPr>
              <w:widowControl w:val="0"/>
              <w:autoSpaceDN w:val="0"/>
              <w:spacing w:line="360" w:lineRule="auto"/>
              <w:jc w:val="left"/>
              <w:textAlignment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eastAsia="zh-CN"/>
              </w:rPr>
              <w:t xml:space="preserve">项目业绩 </w:t>
            </w:r>
            <w:r>
              <w:rPr>
                <w:rFonts w:hint="eastAsia" w:ascii="仿宋_GB2312" w:hAnsi="仿宋_GB2312" w:eastAsia="仿宋_GB2312" w:cs="仿宋_GB2312"/>
                <w:b w:val="0"/>
                <w:bCs w:val="0"/>
                <w:color w:val="auto"/>
                <w:sz w:val="24"/>
                <w:szCs w:val="24"/>
                <w:highlight w:val="none"/>
                <w:lang w:val="en-US" w:eastAsia="zh-CN"/>
              </w:rPr>
              <w:t xml:space="preserve"> </w:t>
            </w:r>
          </w:p>
          <w:p w14:paraId="1B63005D">
            <w:pPr>
              <w:widowControl w:val="0"/>
              <w:autoSpaceDN w:val="0"/>
              <w:spacing w:line="360" w:lineRule="auto"/>
              <w:jc w:val="left"/>
              <w:textAlignment w:val="center"/>
              <w:rPr>
                <w:rFonts w:hint="eastAsia" w:ascii="仿宋_GB2312" w:hAnsi="仿宋_GB2312" w:eastAsia="仿宋_GB2312" w:cs="仿宋_GB2312"/>
                <w:b w:val="0"/>
                <w:bCs w:val="0"/>
                <w:snapToGrid w:val="0"/>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auto"/>
                <w:sz w:val="24"/>
                <w:szCs w:val="24"/>
                <w:highlight w:val="none"/>
                <w:lang w:val="en-US" w:eastAsia="zh-CN"/>
              </w:rPr>
              <w:t>（</w:t>
            </w:r>
            <w:r>
              <w:rPr>
                <w:rFonts w:hint="eastAsia" w:ascii="仿宋_GB2312" w:hAnsi="仿宋_GB2312" w:eastAsia="仿宋_GB2312" w:cs="仿宋_GB2312"/>
                <w:b w:val="0"/>
                <w:bCs w:val="0"/>
                <w:color w:val="auto"/>
                <w:sz w:val="24"/>
                <w:szCs w:val="24"/>
                <w:highlight w:val="none"/>
                <w:lang w:eastAsia="zh-CN"/>
              </w:rPr>
              <w:t>满分</w:t>
            </w:r>
            <w:r>
              <w:rPr>
                <w:rFonts w:hint="eastAsia" w:ascii="仿宋_GB2312" w:hAnsi="仿宋_GB2312" w:eastAsia="仿宋_GB2312" w:cs="仿宋_GB2312"/>
                <w:b w:val="0"/>
                <w:bCs w:val="0"/>
                <w:color w:val="auto"/>
                <w:sz w:val="24"/>
                <w:szCs w:val="24"/>
                <w:highlight w:val="none"/>
                <w:lang w:val="en-US" w:eastAsia="zh-CN"/>
              </w:rPr>
              <w:t>10</w:t>
            </w:r>
            <w:r>
              <w:rPr>
                <w:rFonts w:hint="eastAsia" w:ascii="仿宋_GB2312" w:hAnsi="仿宋_GB2312" w:eastAsia="仿宋_GB2312" w:cs="仿宋_GB2312"/>
                <w:b w:val="0"/>
                <w:bCs w:val="0"/>
                <w:color w:val="auto"/>
                <w:sz w:val="24"/>
                <w:szCs w:val="24"/>
                <w:highlight w:val="none"/>
                <w:lang w:eastAsia="zh-CN"/>
              </w:rPr>
              <w:t>分）</w:t>
            </w:r>
          </w:p>
        </w:tc>
        <w:tc>
          <w:tcPr>
            <w:tcW w:w="6285" w:type="dxa"/>
            <w:shd w:val="clear" w:color="auto" w:fill="auto"/>
            <w:vAlign w:val="center"/>
          </w:tcPr>
          <w:p w14:paraId="2914D879">
            <w:pPr>
              <w:widowControl w:val="0"/>
              <w:shd w:val="clear" w:color="auto" w:fill="auto"/>
              <w:spacing w:line="312" w:lineRule="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2022年1月1日以来同类机关物业服务项目合同，每提供一份得2分，该项满分6分；</w:t>
            </w:r>
            <w:r>
              <w:rPr>
                <w:rFonts w:hint="eastAsia" w:ascii="仿宋_GB2312" w:hAnsi="仿宋_GB2312" w:eastAsia="仿宋_GB2312" w:cs="仿宋_GB2312"/>
                <w:b w:val="0"/>
                <w:bCs w:val="0"/>
                <w:color w:val="auto"/>
                <w:sz w:val="24"/>
                <w:szCs w:val="24"/>
                <w:highlight w:val="none"/>
                <w:lang w:eastAsia="zh-CN"/>
              </w:rPr>
              <w:t>缺项</w:t>
            </w:r>
            <w:r>
              <w:rPr>
                <w:rFonts w:hint="eastAsia" w:ascii="仿宋_GB2312" w:hAnsi="仿宋_GB2312" w:eastAsia="仿宋_GB2312" w:cs="仿宋_GB2312"/>
                <w:b w:val="0"/>
                <w:bCs w:val="0"/>
                <w:color w:val="auto"/>
                <w:sz w:val="24"/>
                <w:szCs w:val="24"/>
                <w:highlight w:val="none"/>
                <w:lang w:val="en-US" w:eastAsia="zh-CN"/>
              </w:rPr>
              <w:t>不得分</w:t>
            </w:r>
            <w:r>
              <w:rPr>
                <w:rFonts w:hint="eastAsia" w:ascii="仿宋_GB2312" w:hAnsi="仿宋_GB2312" w:eastAsia="仿宋_GB2312" w:cs="仿宋_GB2312"/>
                <w:b w:val="0"/>
                <w:bCs w:val="0"/>
                <w:color w:val="auto"/>
                <w:sz w:val="24"/>
                <w:szCs w:val="24"/>
                <w:highlight w:val="none"/>
                <w:lang w:eastAsia="zh-CN"/>
              </w:rPr>
              <w:t>。(以</w:t>
            </w:r>
            <w:r>
              <w:rPr>
                <w:rFonts w:hint="eastAsia" w:ascii="仿宋_GB2312" w:hAnsi="仿宋_GB2312" w:eastAsia="仿宋_GB2312" w:cs="仿宋_GB2312"/>
                <w:b w:val="0"/>
                <w:bCs w:val="0"/>
                <w:color w:val="auto"/>
                <w:sz w:val="24"/>
                <w:szCs w:val="24"/>
                <w:highlight w:val="none"/>
                <w:lang w:val="en-US" w:eastAsia="zh-CN"/>
              </w:rPr>
              <w:t>项目</w:t>
            </w:r>
            <w:r>
              <w:rPr>
                <w:rFonts w:hint="eastAsia" w:ascii="仿宋_GB2312" w:hAnsi="仿宋_GB2312" w:eastAsia="仿宋_GB2312" w:cs="仿宋_GB2312"/>
                <w:b w:val="0"/>
                <w:bCs w:val="0"/>
                <w:color w:val="auto"/>
                <w:sz w:val="24"/>
                <w:szCs w:val="24"/>
                <w:highlight w:val="none"/>
                <w:lang w:eastAsia="zh-CN"/>
              </w:rPr>
              <w:t>扫描件为准)</w:t>
            </w:r>
          </w:p>
          <w:p w14:paraId="0FB799CE">
            <w:pPr>
              <w:widowControl w:val="0"/>
              <w:shd w:val="clear" w:color="auto" w:fill="auto"/>
              <w:spacing w:line="312" w:lineRule="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）投标人提供拟任本项目经理</w:t>
            </w:r>
            <w:r>
              <w:rPr>
                <w:rFonts w:hint="eastAsia" w:ascii="仿宋_GB2312" w:hAnsi="仿宋_GB2312" w:eastAsia="仿宋_GB2312" w:cs="仿宋_GB2312"/>
                <w:b w:val="0"/>
                <w:bCs w:val="0"/>
                <w:color w:val="auto"/>
                <w:sz w:val="24"/>
                <w:szCs w:val="24"/>
                <w:highlight w:val="none"/>
                <w:lang w:val="en-US" w:eastAsia="zh-CN"/>
              </w:rPr>
              <w:t>职业资格证书</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每提供一份得1分，</w:t>
            </w:r>
            <w:r>
              <w:rPr>
                <w:rFonts w:hint="eastAsia" w:ascii="仿宋_GB2312" w:hAnsi="仿宋_GB2312" w:eastAsia="仿宋_GB2312" w:cs="仿宋_GB2312"/>
                <w:b w:val="0"/>
                <w:bCs w:val="0"/>
                <w:color w:val="auto"/>
                <w:sz w:val="24"/>
                <w:szCs w:val="24"/>
                <w:highlight w:val="none"/>
                <w:lang w:eastAsia="zh-CN"/>
              </w:rPr>
              <w:t>最多得</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分；缺项</w:t>
            </w:r>
            <w:r>
              <w:rPr>
                <w:rFonts w:hint="eastAsia" w:ascii="仿宋_GB2312" w:hAnsi="仿宋_GB2312" w:eastAsia="仿宋_GB2312" w:cs="仿宋_GB2312"/>
                <w:b w:val="0"/>
                <w:bCs w:val="0"/>
                <w:color w:val="auto"/>
                <w:sz w:val="24"/>
                <w:szCs w:val="24"/>
                <w:highlight w:val="none"/>
                <w:lang w:val="en-US" w:eastAsia="zh-CN"/>
              </w:rPr>
              <w:t>不得分</w:t>
            </w:r>
            <w:r>
              <w:rPr>
                <w:rFonts w:hint="eastAsia" w:ascii="仿宋_GB2312" w:hAnsi="仿宋_GB2312" w:eastAsia="仿宋_GB2312" w:cs="仿宋_GB2312"/>
                <w:b w:val="0"/>
                <w:bCs w:val="0"/>
                <w:color w:val="auto"/>
                <w:sz w:val="24"/>
                <w:szCs w:val="24"/>
                <w:highlight w:val="none"/>
                <w:lang w:eastAsia="zh-CN"/>
              </w:rPr>
              <w:t>。(以投标文件中物业职业资格证书扫描件为准)</w:t>
            </w:r>
          </w:p>
          <w:p w14:paraId="47560DEF">
            <w:pPr>
              <w:widowControl w:val="0"/>
              <w:shd w:val="clear" w:color="auto" w:fill="auto"/>
              <w:spacing w:line="312" w:lineRule="auto"/>
              <w:rPr>
                <w:rFonts w:hint="eastAsia" w:ascii="仿宋_GB2312" w:hAnsi="仿宋_GB2312" w:eastAsia="仿宋_GB2312" w:cs="仿宋_GB2312"/>
                <w:b w:val="0"/>
                <w:bCs w:val="0"/>
                <w:snapToGrid w:val="0"/>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sz w:val="24"/>
                <w:szCs w:val="24"/>
                <w:highlight w:val="none"/>
                <w:lang w:eastAsia="zh-CN"/>
              </w:rPr>
              <w:t>）投标人提供本项目绿地管护岗位人员绿化工证或花卉工证的，每</w:t>
            </w:r>
            <w:r>
              <w:rPr>
                <w:rFonts w:hint="eastAsia" w:ascii="仿宋_GB2312" w:hAnsi="仿宋_GB2312" w:eastAsia="仿宋_GB2312" w:cs="仿宋_GB2312"/>
                <w:b w:val="0"/>
                <w:bCs w:val="0"/>
                <w:color w:val="auto"/>
                <w:sz w:val="24"/>
                <w:szCs w:val="24"/>
                <w:highlight w:val="none"/>
                <w:lang w:val="en-US" w:eastAsia="zh-CN"/>
              </w:rPr>
              <w:t>提供</w:t>
            </w:r>
            <w:r>
              <w:rPr>
                <w:rFonts w:hint="eastAsia" w:ascii="仿宋_GB2312" w:hAnsi="仿宋_GB2312" w:eastAsia="仿宋_GB2312" w:cs="仿宋_GB2312"/>
                <w:b w:val="0"/>
                <w:bCs w:val="0"/>
                <w:color w:val="auto"/>
                <w:sz w:val="24"/>
                <w:szCs w:val="24"/>
                <w:highlight w:val="none"/>
                <w:lang w:eastAsia="zh-CN"/>
              </w:rPr>
              <w:t>一</w:t>
            </w:r>
            <w:r>
              <w:rPr>
                <w:rFonts w:hint="eastAsia" w:ascii="仿宋_GB2312" w:hAnsi="仿宋_GB2312" w:eastAsia="仿宋_GB2312" w:cs="仿宋_GB2312"/>
                <w:b w:val="0"/>
                <w:bCs w:val="0"/>
                <w:color w:val="auto"/>
                <w:sz w:val="24"/>
                <w:szCs w:val="24"/>
                <w:highlight w:val="none"/>
                <w:lang w:val="en-US" w:eastAsia="zh-CN"/>
              </w:rPr>
              <w:t>份</w:t>
            </w:r>
            <w:r>
              <w:rPr>
                <w:rFonts w:hint="eastAsia" w:ascii="仿宋_GB2312" w:hAnsi="仿宋_GB2312" w:eastAsia="仿宋_GB2312" w:cs="仿宋_GB2312"/>
                <w:b w:val="0"/>
                <w:bCs w:val="0"/>
                <w:color w:val="auto"/>
                <w:sz w:val="24"/>
                <w:szCs w:val="24"/>
                <w:highlight w:val="none"/>
                <w:lang w:eastAsia="zh-CN"/>
              </w:rPr>
              <w:t>得1分，最多得</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分；缺项</w:t>
            </w:r>
            <w:r>
              <w:rPr>
                <w:rFonts w:hint="eastAsia" w:ascii="仿宋_GB2312" w:hAnsi="仿宋_GB2312" w:eastAsia="仿宋_GB2312" w:cs="仿宋_GB2312"/>
                <w:b w:val="0"/>
                <w:bCs w:val="0"/>
                <w:color w:val="auto"/>
                <w:sz w:val="24"/>
                <w:szCs w:val="24"/>
                <w:highlight w:val="none"/>
                <w:lang w:val="en-US" w:eastAsia="zh-CN"/>
              </w:rPr>
              <w:t>不得分</w:t>
            </w:r>
            <w:r>
              <w:rPr>
                <w:rFonts w:hint="eastAsia" w:ascii="仿宋_GB2312" w:hAnsi="仿宋_GB2312" w:eastAsia="仿宋_GB2312" w:cs="仿宋_GB2312"/>
                <w:b w:val="0"/>
                <w:bCs w:val="0"/>
                <w:color w:val="auto"/>
                <w:sz w:val="24"/>
                <w:szCs w:val="24"/>
                <w:highlight w:val="none"/>
                <w:lang w:eastAsia="zh-CN"/>
              </w:rPr>
              <w:t>。(以投标文件中扫描件为准)</w:t>
            </w:r>
          </w:p>
        </w:tc>
      </w:tr>
      <w:tr w14:paraId="07E9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tcPr>
          <w:p w14:paraId="6B0F0817">
            <w:pPr>
              <w:widowControl w:val="0"/>
              <w:rPr>
                <w:sz w:val="24"/>
                <w:szCs w:val="24"/>
                <w:vertAlign w:val="baseline"/>
              </w:rPr>
            </w:pPr>
          </w:p>
        </w:tc>
        <w:tc>
          <w:tcPr>
            <w:tcW w:w="810" w:type="dxa"/>
            <w:vMerge w:val="continue"/>
            <w:vAlign w:val="center"/>
          </w:tcPr>
          <w:p w14:paraId="0C3DB411">
            <w:pPr>
              <w:pStyle w:val="12"/>
              <w:widowControl w:val="0"/>
              <w:spacing w:before="0" w:beforeAutospacing="0" w:after="0" w:afterAutospacing="0"/>
              <w:ind w:firstLine="0" w:firstLineChars="0"/>
              <w:jc w:val="center"/>
              <w:rPr>
                <w:rFonts w:hint="eastAsia" w:ascii="仿宋_GB2312" w:hAnsi="仿宋_GB2312" w:eastAsia="仿宋_GB2312" w:cs="仿宋_GB2312"/>
                <w:b w:val="0"/>
                <w:bCs w:val="0"/>
                <w:color w:val="auto"/>
                <w:sz w:val="24"/>
                <w:szCs w:val="24"/>
                <w:highlight w:val="none"/>
                <w:lang w:val="en-US" w:eastAsia="zh-CN"/>
              </w:rPr>
            </w:pPr>
          </w:p>
        </w:tc>
        <w:tc>
          <w:tcPr>
            <w:tcW w:w="1050" w:type="dxa"/>
            <w:shd w:val="clear" w:color="auto" w:fill="auto"/>
            <w:vAlign w:val="center"/>
          </w:tcPr>
          <w:p w14:paraId="60D5BD8C">
            <w:pPr>
              <w:widowControl w:val="0"/>
              <w:shd w:val="clear" w:color="auto" w:fill="auto"/>
              <w:spacing w:line="312" w:lineRule="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 xml:space="preserve">提升服务质效相关证书  </w:t>
            </w:r>
          </w:p>
          <w:p w14:paraId="59CA9787">
            <w:pPr>
              <w:widowControl w:val="0"/>
              <w:shd w:val="clear" w:color="auto" w:fill="auto"/>
              <w:spacing w:line="312" w:lineRule="auto"/>
              <w:rPr>
                <w:rFonts w:hint="eastAsia" w:ascii="仿宋_GB2312" w:hAnsi="仿宋_GB2312" w:eastAsia="仿宋_GB2312" w:cs="仿宋_GB2312"/>
                <w:b w:val="0"/>
                <w:bCs w:val="0"/>
                <w:snapToGrid w:val="0"/>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auto"/>
                <w:sz w:val="24"/>
                <w:szCs w:val="24"/>
                <w:highlight w:val="none"/>
                <w:lang w:eastAsia="zh-CN"/>
              </w:rPr>
              <w:t>（满分</w:t>
            </w:r>
            <w:r>
              <w:rPr>
                <w:rFonts w:hint="eastAsia" w:ascii="仿宋_GB2312" w:hAnsi="仿宋_GB2312" w:eastAsia="仿宋_GB2312" w:cs="仿宋_GB2312"/>
                <w:b w:val="0"/>
                <w:bCs w:val="0"/>
                <w:color w:val="auto"/>
                <w:sz w:val="24"/>
                <w:szCs w:val="24"/>
                <w:highlight w:val="none"/>
                <w:lang w:val="en-US" w:eastAsia="zh-CN"/>
              </w:rPr>
              <w:t>6</w:t>
            </w:r>
            <w:r>
              <w:rPr>
                <w:rFonts w:hint="eastAsia" w:ascii="仿宋_GB2312" w:hAnsi="仿宋_GB2312" w:eastAsia="仿宋_GB2312" w:cs="仿宋_GB2312"/>
                <w:b w:val="0"/>
                <w:bCs w:val="0"/>
                <w:color w:val="auto"/>
                <w:sz w:val="24"/>
                <w:szCs w:val="24"/>
                <w:highlight w:val="none"/>
                <w:lang w:eastAsia="zh-CN"/>
              </w:rPr>
              <w:t>分）</w:t>
            </w:r>
          </w:p>
        </w:tc>
        <w:tc>
          <w:tcPr>
            <w:tcW w:w="6285" w:type="dxa"/>
            <w:shd w:val="clear" w:color="auto" w:fill="auto"/>
            <w:vAlign w:val="center"/>
          </w:tcPr>
          <w:p w14:paraId="194E4F4A">
            <w:pPr>
              <w:widowControl w:val="0"/>
              <w:shd w:val="clear" w:color="auto" w:fill="auto"/>
              <w:spacing w:line="312" w:lineRule="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lang w:eastAsia="zh-CN"/>
              </w:rPr>
              <w:t>）评委会根据投标人提供的</w:t>
            </w:r>
            <w:r>
              <w:rPr>
                <w:rFonts w:hint="eastAsia" w:ascii="仿宋_GB2312" w:hAnsi="仿宋_GB2312" w:eastAsia="仿宋_GB2312" w:cs="仿宋_GB2312"/>
                <w:b w:val="0"/>
                <w:bCs w:val="0"/>
                <w:color w:val="auto"/>
                <w:sz w:val="24"/>
                <w:szCs w:val="24"/>
                <w:highlight w:val="none"/>
                <w:lang w:val="en-US" w:eastAsia="zh-CN"/>
              </w:rPr>
              <w:t>主</w:t>
            </w:r>
            <w:r>
              <w:rPr>
                <w:rFonts w:hint="eastAsia" w:ascii="仿宋_GB2312" w:hAnsi="仿宋_GB2312" w:eastAsia="仿宋_GB2312" w:cs="仿宋_GB2312"/>
                <w:b w:val="0"/>
                <w:bCs w:val="0"/>
                <w:color w:val="auto"/>
                <w:sz w:val="24"/>
                <w:szCs w:val="24"/>
                <w:highlight w:val="none"/>
                <w:lang w:eastAsia="zh-CN"/>
              </w:rPr>
              <w:t>管部门统一评比颁发的国家级奖项（单位或个人），得</w:t>
            </w: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sz w:val="24"/>
                <w:szCs w:val="24"/>
                <w:highlight w:val="none"/>
                <w:lang w:eastAsia="zh-CN"/>
              </w:rPr>
              <w:t>分，缺项不得分。(以投标文件中奖项扫描件为准)</w:t>
            </w:r>
          </w:p>
          <w:p w14:paraId="177DBCA0">
            <w:pPr>
              <w:widowControl w:val="0"/>
              <w:shd w:val="clear" w:color="auto" w:fill="auto"/>
              <w:spacing w:line="312" w:lineRule="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）评委会根据投标人提供的由</w:t>
            </w:r>
            <w:r>
              <w:rPr>
                <w:rFonts w:hint="eastAsia" w:ascii="仿宋_GB2312" w:hAnsi="仿宋_GB2312" w:eastAsia="仿宋_GB2312" w:cs="仿宋_GB2312"/>
                <w:b w:val="0"/>
                <w:bCs w:val="0"/>
                <w:color w:val="auto"/>
                <w:sz w:val="24"/>
                <w:szCs w:val="24"/>
                <w:highlight w:val="none"/>
                <w:lang w:val="en-US" w:eastAsia="zh-CN"/>
              </w:rPr>
              <w:t>主</w:t>
            </w:r>
            <w:r>
              <w:rPr>
                <w:rFonts w:hint="eastAsia" w:ascii="仿宋_GB2312" w:hAnsi="仿宋_GB2312" w:eastAsia="仿宋_GB2312" w:cs="仿宋_GB2312"/>
                <w:b w:val="0"/>
                <w:bCs w:val="0"/>
                <w:color w:val="auto"/>
                <w:sz w:val="24"/>
                <w:szCs w:val="24"/>
                <w:highlight w:val="none"/>
                <w:lang w:eastAsia="zh-CN"/>
              </w:rPr>
              <w:t>管部门统一评比颁发的省级奖项（单位或个人），得</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分，缺项不得分。(以投标文件中奖项扫描件为准)</w:t>
            </w:r>
          </w:p>
          <w:p w14:paraId="6402F1F2">
            <w:pPr>
              <w:widowControl w:val="0"/>
              <w:shd w:val="clear" w:color="auto" w:fill="auto"/>
              <w:spacing w:line="312" w:lineRule="auto"/>
              <w:rPr>
                <w:rFonts w:hint="eastAsia" w:ascii="仿宋_GB2312" w:hAnsi="仿宋_GB2312" w:eastAsia="仿宋_GB2312" w:cs="仿宋_GB2312"/>
                <w:b w:val="0"/>
                <w:bCs w:val="0"/>
                <w:snapToGrid w:val="0"/>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sz w:val="24"/>
                <w:szCs w:val="24"/>
                <w:highlight w:val="none"/>
                <w:lang w:eastAsia="zh-CN"/>
              </w:rPr>
              <w:t>）评委会根据投标人提供的由</w:t>
            </w:r>
            <w:r>
              <w:rPr>
                <w:rFonts w:hint="eastAsia" w:ascii="仿宋_GB2312" w:hAnsi="仿宋_GB2312" w:eastAsia="仿宋_GB2312" w:cs="仿宋_GB2312"/>
                <w:b w:val="0"/>
                <w:bCs w:val="0"/>
                <w:color w:val="auto"/>
                <w:sz w:val="24"/>
                <w:szCs w:val="24"/>
                <w:highlight w:val="none"/>
                <w:lang w:val="en-US" w:eastAsia="zh-CN"/>
              </w:rPr>
              <w:t>主</w:t>
            </w:r>
            <w:r>
              <w:rPr>
                <w:rFonts w:hint="eastAsia" w:ascii="仿宋_GB2312" w:hAnsi="仿宋_GB2312" w:eastAsia="仿宋_GB2312" w:cs="仿宋_GB2312"/>
                <w:b w:val="0"/>
                <w:bCs w:val="0"/>
                <w:color w:val="auto"/>
                <w:sz w:val="24"/>
                <w:szCs w:val="24"/>
                <w:highlight w:val="none"/>
                <w:lang w:eastAsia="zh-CN"/>
              </w:rPr>
              <w:t>管部门统一评比颁发的市级奖项（单位或个人），得</w:t>
            </w: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lang w:eastAsia="zh-CN"/>
              </w:rPr>
              <w:t>分，缺项不得分。(以投标文件中奖项扫描件为准)</w:t>
            </w:r>
          </w:p>
        </w:tc>
      </w:tr>
      <w:tr w14:paraId="1AC3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tcPr>
          <w:p w14:paraId="658AB4C5">
            <w:pPr>
              <w:widowControl w:val="0"/>
              <w:rPr>
                <w:sz w:val="24"/>
                <w:szCs w:val="24"/>
                <w:vertAlign w:val="baseline"/>
              </w:rPr>
            </w:pPr>
          </w:p>
        </w:tc>
        <w:tc>
          <w:tcPr>
            <w:tcW w:w="810" w:type="dxa"/>
            <w:vMerge w:val="continue"/>
            <w:vAlign w:val="center"/>
          </w:tcPr>
          <w:p w14:paraId="22A9EDBA">
            <w:pPr>
              <w:pStyle w:val="12"/>
              <w:widowControl w:val="0"/>
              <w:spacing w:before="0" w:beforeAutospacing="0" w:after="0" w:afterAutospacing="0"/>
              <w:ind w:firstLine="0" w:firstLineChars="0"/>
              <w:jc w:val="center"/>
              <w:rPr>
                <w:rFonts w:hint="eastAsia" w:ascii="仿宋_GB2312" w:hAnsi="仿宋_GB2312" w:eastAsia="仿宋_GB2312" w:cs="仿宋_GB2312"/>
                <w:b w:val="0"/>
                <w:bCs w:val="0"/>
                <w:color w:val="auto"/>
                <w:sz w:val="24"/>
                <w:szCs w:val="24"/>
                <w:highlight w:val="none"/>
                <w:lang w:val="en-US" w:eastAsia="zh-CN"/>
              </w:rPr>
            </w:pPr>
          </w:p>
        </w:tc>
        <w:tc>
          <w:tcPr>
            <w:tcW w:w="1050" w:type="dxa"/>
            <w:shd w:val="clear" w:color="auto" w:fill="auto"/>
            <w:vAlign w:val="center"/>
          </w:tcPr>
          <w:p w14:paraId="465B37AF">
            <w:pPr>
              <w:widowControl w:val="0"/>
              <w:autoSpaceDN w:val="0"/>
              <w:spacing w:line="360" w:lineRule="auto"/>
              <w:jc w:val="left"/>
              <w:textAlignment w:val="center"/>
              <w:rPr>
                <w:rFonts w:hint="eastAsia" w:ascii="仿宋_GB2312" w:hAnsi="仿宋_GB2312" w:eastAsia="仿宋_GB2312" w:cs="仿宋_GB2312"/>
                <w:b w:val="0"/>
                <w:bCs w:val="0"/>
                <w:snapToGrid w:val="0"/>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auto"/>
                <w:sz w:val="24"/>
                <w:szCs w:val="24"/>
                <w:highlight w:val="none"/>
                <w:lang w:eastAsia="zh-CN"/>
              </w:rPr>
              <w:t>参加</w:t>
            </w:r>
            <w:r>
              <w:rPr>
                <w:rFonts w:hint="eastAsia" w:ascii="仿宋_GB2312" w:hAnsi="仿宋_GB2312" w:eastAsia="仿宋_GB2312" w:cs="仿宋_GB2312"/>
                <w:b w:val="0"/>
                <w:bCs w:val="0"/>
                <w:color w:val="auto"/>
                <w:sz w:val="24"/>
                <w:szCs w:val="24"/>
                <w:highlight w:val="none"/>
                <w:lang w:val="en-US" w:eastAsia="zh-CN"/>
              </w:rPr>
              <w:t>社会</w:t>
            </w:r>
            <w:r>
              <w:rPr>
                <w:rFonts w:hint="eastAsia" w:ascii="仿宋_GB2312" w:hAnsi="仿宋_GB2312" w:eastAsia="仿宋_GB2312" w:cs="仿宋_GB2312"/>
                <w:b w:val="0"/>
                <w:bCs w:val="0"/>
                <w:color w:val="auto"/>
                <w:sz w:val="24"/>
                <w:szCs w:val="24"/>
                <w:highlight w:val="none"/>
                <w:lang w:eastAsia="zh-CN"/>
              </w:rPr>
              <w:t>公益事业</w:t>
            </w: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lang w:eastAsia="zh-CN"/>
              </w:rPr>
              <w:t>满分</w:t>
            </w:r>
            <w:r>
              <w:rPr>
                <w:rFonts w:hint="eastAsia" w:ascii="仿宋_GB2312" w:hAnsi="仿宋_GB2312" w:eastAsia="仿宋_GB2312" w:cs="仿宋_GB2312"/>
                <w:b w:val="0"/>
                <w:bCs w:val="0"/>
                <w:color w:val="auto"/>
                <w:sz w:val="24"/>
                <w:szCs w:val="24"/>
                <w:highlight w:val="none"/>
                <w:lang w:val="en-US" w:eastAsia="zh-CN"/>
              </w:rPr>
              <w:t>7</w:t>
            </w:r>
            <w:r>
              <w:rPr>
                <w:rFonts w:hint="eastAsia" w:ascii="仿宋_GB2312" w:hAnsi="仿宋_GB2312" w:eastAsia="仿宋_GB2312" w:cs="仿宋_GB2312"/>
                <w:b w:val="0"/>
                <w:bCs w:val="0"/>
                <w:color w:val="auto"/>
                <w:sz w:val="24"/>
                <w:szCs w:val="24"/>
                <w:highlight w:val="none"/>
                <w:lang w:eastAsia="zh-CN"/>
              </w:rPr>
              <w:t>分）</w:t>
            </w:r>
          </w:p>
        </w:tc>
        <w:tc>
          <w:tcPr>
            <w:tcW w:w="6285" w:type="dxa"/>
            <w:shd w:val="clear" w:color="auto" w:fill="auto"/>
            <w:vAlign w:val="center"/>
          </w:tcPr>
          <w:p w14:paraId="05E74860">
            <w:pPr>
              <w:widowControl w:val="0"/>
              <w:shd w:val="clear" w:color="auto" w:fill="auto"/>
              <w:spacing w:line="312" w:lineRule="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lang w:eastAsia="zh-CN"/>
              </w:rPr>
              <w:t>）安置残疾人就业。得</w:t>
            </w: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sz w:val="24"/>
                <w:szCs w:val="24"/>
                <w:highlight w:val="none"/>
                <w:lang w:eastAsia="zh-CN"/>
              </w:rPr>
              <w:t>分(以</w:t>
            </w:r>
            <w:r>
              <w:rPr>
                <w:rFonts w:hint="eastAsia" w:ascii="仿宋_GB2312" w:hAnsi="仿宋_GB2312" w:eastAsia="仿宋_GB2312" w:cs="仿宋_GB2312"/>
                <w:b w:val="0"/>
                <w:bCs w:val="0"/>
                <w:color w:val="auto"/>
                <w:sz w:val="24"/>
                <w:szCs w:val="24"/>
                <w:highlight w:val="none"/>
                <w:lang w:val="en-US" w:eastAsia="zh-CN"/>
              </w:rPr>
              <w:t>社保部门出具的社保缴纳凭证</w:t>
            </w:r>
            <w:r>
              <w:rPr>
                <w:rFonts w:hint="eastAsia" w:ascii="仿宋_GB2312" w:hAnsi="仿宋_GB2312" w:eastAsia="仿宋_GB2312" w:cs="仿宋_GB2312"/>
                <w:b w:val="0"/>
                <w:bCs w:val="0"/>
                <w:color w:val="auto"/>
                <w:sz w:val="24"/>
                <w:szCs w:val="24"/>
                <w:highlight w:val="none"/>
                <w:lang w:eastAsia="zh-CN"/>
              </w:rPr>
              <w:t>扫描件为准，</w:t>
            </w:r>
            <w:r>
              <w:rPr>
                <w:rFonts w:hint="eastAsia" w:ascii="仿宋_GB2312" w:hAnsi="仿宋_GB2312" w:eastAsia="仿宋_GB2312" w:cs="仿宋_GB2312"/>
                <w:b w:val="0"/>
                <w:bCs w:val="0"/>
                <w:color w:val="auto"/>
                <w:sz w:val="24"/>
                <w:szCs w:val="24"/>
                <w:highlight w:val="none"/>
                <w:lang w:val="en-US" w:eastAsia="zh-CN"/>
              </w:rPr>
              <w:t>提供一份可得满分</w:t>
            </w:r>
            <w:r>
              <w:rPr>
                <w:rFonts w:hint="eastAsia" w:ascii="仿宋_GB2312" w:hAnsi="仿宋_GB2312" w:eastAsia="仿宋_GB2312" w:cs="仿宋_GB2312"/>
                <w:b w:val="0"/>
                <w:bCs w:val="0"/>
                <w:color w:val="auto"/>
                <w:sz w:val="24"/>
                <w:szCs w:val="24"/>
                <w:highlight w:val="none"/>
                <w:lang w:eastAsia="zh-CN"/>
              </w:rPr>
              <w:t>)</w:t>
            </w:r>
          </w:p>
          <w:p w14:paraId="3FEDF1E5">
            <w:pPr>
              <w:widowControl w:val="0"/>
              <w:shd w:val="clear" w:color="auto" w:fill="auto"/>
              <w:spacing w:line="312" w:lineRule="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）扶贫、济困。得</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分(以被捐赠人收款证明扫描件为准，</w:t>
            </w:r>
            <w:r>
              <w:rPr>
                <w:rFonts w:hint="eastAsia" w:ascii="仿宋_GB2312" w:hAnsi="仿宋_GB2312" w:eastAsia="仿宋_GB2312" w:cs="仿宋_GB2312"/>
                <w:b w:val="0"/>
                <w:bCs w:val="0"/>
                <w:color w:val="auto"/>
                <w:sz w:val="24"/>
                <w:szCs w:val="24"/>
                <w:highlight w:val="none"/>
                <w:lang w:val="en-US" w:eastAsia="zh-CN"/>
              </w:rPr>
              <w:t>提供一份可得满分</w:t>
            </w:r>
            <w:r>
              <w:rPr>
                <w:rFonts w:hint="eastAsia" w:ascii="仿宋_GB2312" w:hAnsi="仿宋_GB2312" w:eastAsia="仿宋_GB2312" w:cs="仿宋_GB2312"/>
                <w:b w:val="0"/>
                <w:bCs w:val="0"/>
                <w:color w:val="auto"/>
                <w:sz w:val="24"/>
                <w:szCs w:val="24"/>
                <w:highlight w:val="none"/>
                <w:lang w:eastAsia="zh-CN"/>
              </w:rPr>
              <w:t>)</w:t>
            </w:r>
          </w:p>
          <w:p w14:paraId="47EE3A95">
            <w:pPr>
              <w:widowControl w:val="0"/>
              <w:shd w:val="clear" w:color="auto" w:fill="auto"/>
              <w:spacing w:line="312" w:lineRule="auto"/>
              <w:rPr>
                <w:rFonts w:hint="eastAsia" w:ascii="仿宋_GB2312" w:hAnsi="仿宋_GB2312" w:eastAsia="仿宋_GB2312" w:cs="仿宋_GB2312"/>
                <w:b w:val="0"/>
                <w:bCs w:val="0"/>
                <w:snapToGrid w:val="0"/>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sz w:val="24"/>
                <w:szCs w:val="24"/>
                <w:highlight w:val="none"/>
                <w:lang w:eastAsia="zh-CN"/>
              </w:rPr>
              <w:t>）捐资助学。得</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分(以被捐赠人收款证明扫描件为准，</w:t>
            </w:r>
            <w:r>
              <w:rPr>
                <w:rFonts w:hint="eastAsia" w:ascii="仿宋_GB2312" w:hAnsi="仿宋_GB2312" w:eastAsia="仿宋_GB2312" w:cs="仿宋_GB2312"/>
                <w:b w:val="0"/>
                <w:bCs w:val="0"/>
                <w:color w:val="auto"/>
                <w:sz w:val="24"/>
                <w:szCs w:val="24"/>
                <w:highlight w:val="none"/>
                <w:lang w:val="en-US" w:eastAsia="zh-CN"/>
              </w:rPr>
              <w:t>提供一份可得满分</w:t>
            </w:r>
            <w:r>
              <w:rPr>
                <w:rFonts w:hint="eastAsia" w:ascii="仿宋_GB2312" w:hAnsi="仿宋_GB2312" w:eastAsia="仿宋_GB2312" w:cs="仿宋_GB2312"/>
                <w:b w:val="0"/>
                <w:bCs w:val="0"/>
                <w:color w:val="auto"/>
                <w:sz w:val="24"/>
                <w:szCs w:val="24"/>
                <w:highlight w:val="none"/>
                <w:lang w:eastAsia="zh-CN"/>
              </w:rPr>
              <w:t>)缺项不得分。</w:t>
            </w:r>
          </w:p>
        </w:tc>
      </w:tr>
      <w:tr w14:paraId="0A72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tcPr>
          <w:p w14:paraId="241C95DF">
            <w:pPr>
              <w:widowControl w:val="0"/>
              <w:rPr>
                <w:sz w:val="24"/>
                <w:szCs w:val="24"/>
                <w:vertAlign w:val="baseline"/>
              </w:rPr>
            </w:pPr>
          </w:p>
        </w:tc>
        <w:tc>
          <w:tcPr>
            <w:tcW w:w="810" w:type="dxa"/>
            <w:vMerge w:val="continue"/>
            <w:vAlign w:val="center"/>
          </w:tcPr>
          <w:p w14:paraId="0DBF96B4">
            <w:pPr>
              <w:pStyle w:val="12"/>
              <w:widowControl w:val="0"/>
              <w:spacing w:before="0" w:beforeAutospacing="0" w:after="0" w:afterAutospacing="0"/>
              <w:ind w:firstLine="0" w:firstLineChars="0"/>
              <w:jc w:val="center"/>
              <w:rPr>
                <w:rFonts w:hint="eastAsia" w:ascii="仿宋_GB2312" w:hAnsi="仿宋_GB2312" w:eastAsia="仿宋_GB2312" w:cs="仿宋_GB2312"/>
                <w:b w:val="0"/>
                <w:bCs w:val="0"/>
                <w:color w:val="auto"/>
                <w:sz w:val="24"/>
                <w:szCs w:val="24"/>
                <w:highlight w:val="none"/>
                <w:lang w:val="en-US" w:eastAsia="zh-CN"/>
              </w:rPr>
            </w:pPr>
          </w:p>
        </w:tc>
        <w:tc>
          <w:tcPr>
            <w:tcW w:w="1050" w:type="dxa"/>
            <w:shd w:val="clear" w:color="auto" w:fill="auto"/>
            <w:vAlign w:val="center"/>
          </w:tcPr>
          <w:p w14:paraId="46BFD02E">
            <w:pPr>
              <w:widowControl w:val="0"/>
              <w:autoSpaceDN w:val="0"/>
              <w:spacing w:line="360" w:lineRule="auto"/>
              <w:jc w:val="left"/>
              <w:textAlignment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信用评价</w:t>
            </w: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lang w:eastAsia="zh-CN"/>
              </w:rPr>
              <w:t>满分</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分）</w:t>
            </w:r>
          </w:p>
        </w:tc>
        <w:tc>
          <w:tcPr>
            <w:tcW w:w="6285" w:type="dxa"/>
            <w:shd w:val="clear" w:color="auto" w:fill="auto"/>
            <w:vAlign w:val="center"/>
          </w:tcPr>
          <w:p w14:paraId="0A0804B3">
            <w:pPr>
              <w:widowControl w:val="0"/>
              <w:shd w:val="clear" w:color="auto" w:fill="auto"/>
              <w:spacing w:line="312" w:lineRule="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根据《南阳市政府采购信用评价实施办法》，投标人登录“南阳市政府采购信用管理系统”打印并提交《南阳市政府采购供应商信用记录表》，诚信评价为三星级的加1分，四星级的加2分，其他不得分；</w:t>
            </w:r>
          </w:p>
        </w:tc>
      </w:tr>
      <w:tr w14:paraId="3699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tcPr>
          <w:p w14:paraId="7FAB74EE">
            <w:pPr>
              <w:widowControl w:val="0"/>
              <w:rPr>
                <w:sz w:val="24"/>
                <w:szCs w:val="24"/>
                <w:vertAlign w:val="baseline"/>
              </w:rPr>
            </w:pPr>
          </w:p>
        </w:tc>
        <w:tc>
          <w:tcPr>
            <w:tcW w:w="810" w:type="dxa"/>
            <w:vMerge w:val="continue"/>
            <w:vAlign w:val="center"/>
          </w:tcPr>
          <w:p w14:paraId="5B3E7EEC">
            <w:pPr>
              <w:pStyle w:val="12"/>
              <w:widowControl w:val="0"/>
              <w:spacing w:before="0" w:beforeAutospacing="0" w:after="0" w:afterAutospacing="0"/>
              <w:ind w:firstLine="0" w:firstLineChars="0"/>
              <w:jc w:val="center"/>
              <w:rPr>
                <w:rFonts w:hint="eastAsia" w:ascii="仿宋_GB2312" w:hAnsi="仿宋_GB2312" w:eastAsia="仿宋_GB2312" w:cs="仿宋_GB2312"/>
                <w:b w:val="0"/>
                <w:bCs w:val="0"/>
                <w:color w:val="auto"/>
                <w:sz w:val="24"/>
                <w:szCs w:val="24"/>
                <w:highlight w:val="none"/>
                <w:lang w:val="en-US" w:eastAsia="zh-CN"/>
              </w:rPr>
            </w:pPr>
          </w:p>
        </w:tc>
        <w:tc>
          <w:tcPr>
            <w:tcW w:w="1050" w:type="dxa"/>
            <w:shd w:val="clear" w:color="auto" w:fill="auto"/>
            <w:vAlign w:val="center"/>
          </w:tcPr>
          <w:p w14:paraId="7C5F23FD">
            <w:pPr>
              <w:widowControl w:val="0"/>
              <w:autoSpaceDN w:val="0"/>
              <w:spacing w:line="360" w:lineRule="auto"/>
              <w:jc w:val="left"/>
              <w:textAlignment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000000" w:themeColor="text1"/>
                <w:sz w:val="24"/>
                <w:szCs w:val="24"/>
                <w:lang w:val="en-US" w:eastAsia="zh-CN" w:bidi="ar-SA"/>
                <w14:textFill>
                  <w14:solidFill>
                    <w14:schemeClr w14:val="tx1"/>
                  </w14:solidFill>
                </w14:textFill>
              </w:rPr>
              <w:t>标书制作（5分）</w:t>
            </w:r>
          </w:p>
        </w:tc>
        <w:tc>
          <w:tcPr>
            <w:tcW w:w="6285" w:type="dxa"/>
            <w:shd w:val="clear" w:color="auto" w:fill="auto"/>
            <w:vAlign w:val="center"/>
          </w:tcPr>
          <w:p w14:paraId="39AE80D0">
            <w:pPr>
              <w:widowControl w:val="0"/>
              <w:shd w:val="clear" w:color="auto" w:fill="auto"/>
              <w:spacing w:line="312" w:lineRule="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val="en-US" w:eastAsia="zh-CN"/>
              </w:rPr>
              <w:t>投标文件符合招标文件所有条款，标书制作规范最多得5分；若投标文件与招标文件要求有偏离，但不影响实质性响应，评委会根据情况扣1-2分；</w:t>
            </w:r>
          </w:p>
        </w:tc>
      </w:tr>
    </w:tbl>
    <w:p w14:paraId="63FD5655">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616C23E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11.</w:t>
      </w:r>
      <w:r>
        <w:rPr>
          <w:rFonts w:hint="eastAsia" w:ascii="宋体" w:hAnsi="宋体" w:eastAsia="宋体" w:cs="宋体"/>
          <w:snapToGrid w:val="0"/>
          <w:color w:val="000000"/>
          <w:kern w:val="0"/>
          <w:sz w:val="24"/>
          <w:szCs w:val="24"/>
          <w:lang w:val="en-US" w:eastAsia="en-US" w:bidi="ar-SA"/>
        </w:rPr>
        <w:t>有下列情况之一的，</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宣布本项目终止：</w:t>
      </w:r>
    </w:p>
    <w:p w14:paraId="4D2EB5C5">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11.1 </w:t>
      </w:r>
      <w:r>
        <w:rPr>
          <w:rFonts w:hint="eastAsia" w:ascii="宋体" w:hAnsi="宋体" w:eastAsia="宋体" w:cs="宋体"/>
          <w:snapToGrid w:val="0"/>
          <w:color w:val="000000"/>
          <w:kern w:val="0"/>
          <w:sz w:val="24"/>
          <w:szCs w:val="24"/>
          <w:lang w:val="en-US" w:eastAsia="en-US" w:bidi="ar-SA"/>
        </w:rPr>
        <w:t>因情况变化，不再符合规定的竞争性磋商采购方式适用情形的；</w:t>
      </w:r>
    </w:p>
    <w:p w14:paraId="43DD4FB5">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11.2 </w:t>
      </w:r>
      <w:r>
        <w:rPr>
          <w:rFonts w:hint="eastAsia" w:ascii="宋体" w:hAnsi="宋体" w:eastAsia="宋体" w:cs="宋体"/>
          <w:snapToGrid w:val="0"/>
          <w:color w:val="000000"/>
          <w:kern w:val="0"/>
          <w:sz w:val="24"/>
          <w:szCs w:val="24"/>
          <w:lang w:val="en-US" w:eastAsia="en-US" w:bidi="ar-SA"/>
        </w:rPr>
        <w:t>出现影响采购公正的违法、违规行为的；</w:t>
      </w:r>
    </w:p>
    <w:p w14:paraId="77992702">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11.3 </w:t>
      </w:r>
      <w:r>
        <w:rPr>
          <w:rFonts w:hint="eastAsia" w:ascii="宋体" w:hAnsi="宋体" w:eastAsia="宋体" w:cs="宋体"/>
          <w:snapToGrid w:val="0"/>
          <w:color w:val="000000"/>
          <w:kern w:val="0"/>
          <w:sz w:val="24"/>
          <w:szCs w:val="24"/>
          <w:lang w:val="en-US" w:eastAsia="en-US" w:bidi="ar-SA"/>
        </w:rPr>
        <w:t>法律法规规定的其他情况。</w:t>
      </w:r>
    </w:p>
    <w:p w14:paraId="5ED1CCE9">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sz w:val="28"/>
          <w:szCs w:val="28"/>
          <w:lang w:val="en-US" w:eastAsia="zh-CN"/>
        </w:rPr>
      </w:pPr>
      <w:r>
        <w:rPr>
          <w:rFonts w:hint="eastAsia" w:ascii="宋体" w:hAnsi="宋体" w:eastAsia="宋体" w:cs="宋体"/>
          <w:snapToGrid w:val="0"/>
          <w:color w:val="000000"/>
          <w:kern w:val="0"/>
          <w:sz w:val="24"/>
          <w:szCs w:val="24"/>
          <w:lang w:val="en-US" w:eastAsia="zh-CN" w:bidi="ar-SA"/>
        </w:rPr>
        <w:t>12.</w:t>
      </w:r>
      <w:r>
        <w:rPr>
          <w:rFonts w:hint="eastAsia" w:ascii="宋体" w:hAnsi="宋体" w:eastAsia="宋体" w:cs="宋体"/>
          <w:snapToGrid w:val="0"/>
          <w:color w:val="000000"/>
          <w:kern w:val="0"/>
          <w:sz w:val="24"/>
          <w:szCs w:val="24"/>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lang w:eastAsia="zh-CN"/>
        </w:rPr>
        <w:t>﹝20</w:t>
      </w:r>
      <w:r>
        <w:rPr>
          <w:rFonts w:hint="eastAsia" w:asciiTheme="minorEastAsia" w:hAnsiTheme="minorEastAsia" w:eastAsiaTheme="minorEastAsia" w:cstheme="minorEastAsia"/>
          <w:spacing w:val="-13"/>
          <w:sz w:val="24"/>
          <w:szCs w:val="24"/>
          <w:lang w:val="en-US" w:eastAsia="zh-CN"/>
        </w:rPr>
        <w:t>15</w:t>
      </w:r>
      <w:r>
        <w:rPr>
          <w:rFonts w:hint="eastAsia" w:asciiTheme="minorEastAsia" w:hAnsiTheme="minorEastAsia" w:eastAsiaTheme="minorEastAsia" w:cstheme="minorEastAsia"/>
          <w:spacing w:val="-13"/>
          <w:sz w:val="24"/>
          <w:szCs w:val="24"/>
          <w:lang w:eastAsia="zh-CN"/>
        </w:rPr>
        <w:t>﹞</w:t>
      </w:r>
      <w:r>
        <w:rPr>
          <w:rFonts w:hint="eastAsia" w:ascii="宋体" w:hAnsi="宋体" w:eastAsia="宋体" w:cs="宋体"/>
          <w:snapToGrid w:val="0"/>
          <w:color w:val="000000"/>
          <w:kern w:val="0"/>
          <w:sz w:val="24"/>
          <w:szCs w:val="24"/>
          <w:lang w:val="en-US" w:eastAsia="en-US" w:bidi="ar-SA"/>
        </w:rPr>
        <w:t>124号）等规定执行。</w:t>
      </w:r>
    </w:p>
    <w:p w14:paraId="351C2E2F">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zh-CN" w:bidi="ar-SA"/>
        </w:rPr>
      </w:pPr>
    </w:p>
    <w:p w14:paraId="04B3A83F">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六、</w:t>
      </w:r>
      <w:r>
        <w:rPr>
          <w:rFonts w:hint="eastAsia" w:ascii="宋体" w:hAnsi="宋体" w:eastAsia="宋体" w:cs="宋体"/>
          <w:b/>
          <w:bCs/>
          <w:snapToGrid w:val="0"/>
          <w:color w:val="000000"/>
          <w:kern w:val="0"/>
          <w:sz w:val="24"/>
          <w:szCs w:val="24"/>
          <w:lang w:val="en-US" w:eastAsia="en-US" w:bidi="ar-SA"/>
        </w:rPr>
        <w:t>成交</w:t>
      </w:r>
      <w:r>
        <w:rPr>
          <w:rFonts w:hint="eastAsia" w:ascii="宋体" w:hAnsi="宋体" w:eastAsia="宋体" w:cs="宋体"/>
          <w:b/>
          <w:bCs/>
          <w:snapToGrid w:val="0"/>
          <w:color w:val="000000"/>
          <w:kern w:val="0"/>
          <w:sz w:val="24"/>
          <w:szCs w:val="24"/>
          <w:lang w:val="en-US" w:eastAsia="zh-CN" w:bidi="ar-SA"/>
        </w:rPr>
        <w:t>通知及</w:t>
      </w:r>
      <w:r>
        <w:rPr>
          <w:rFonts w:hint="eastAsia" w:ascii="宋体" w:hAnsi="宋体" w:eastAsia="宋体" w:cs="宋体"/>
          <w:b/>
          <w:bCs/>
          <w:snapToGrid w:val="0"/>
          <w:color w:val="000000"/>
          <w:kern w:val="0"/>
          <w:sz w:val="24"/>
          <w:szCs w:val="24"/>
          <w:lang w:val="en-US" w:eastAsia="en-US" w:bidi="ar-SA"/>
        </w:rPr>
        <w:t>签订合同</w:t>
      </w:r>
    </w:p>
    <w:p w14:paraId="507D10C6">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成交结果公布</w:t>
      </w:r>
    </w:p>
    <w:p w14:paraId="6C818155">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 </w:t>
      </w:r>
      <w:r>
        <w:rPr>
          <w:rFonts w:hint="eastAsia" w:ascii="宋体" w:hAnsi="宋体" w:eastAsia="宋体" w:cs="宋体"/>
          <w:snapToGrid w:val="0"/>
          <w:color w:val="000000"/>
          <w:kern w:val="0"/>
          <w:sz w:val="24"/>
          <w:szCs w:val="24"/>
          <w:lang w:val="en-US" w:eastAsia="en-US" w:bidi="ar-SA"/>
        </w:rPr>
        <w:t>成交供应商确定后，</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将在“河南省政府采购网”和“</w:t>
      </w:r>
      <w:r>
        <w:rPr>
          <w:rFonts w:hint="eastAsia" w:ascii="宋体" w:hAnsi="宋体" w:eastAsia="宋体" w:cs="宋体"/>
          <w:snapToGrid w:val="0"/>
          <w:color w:val="000000"/>
          <w:kern w:val="0"/>
          <w:sz w:val="24"/>
          <w:szCs w:val="24"/>
          <w:lang w:val="en-US" w:eastAsia="zh-CN" w:bidi="ar-SA"/>
        </w:rPr>
        <w:t>全国公共资源交易平台（河南省·南阳市）</w:t>
      </w:r>
      <w:r>
        <w:rPr>
          <w:rFonts w:hint="eastAsia" w:ascii="宋体" w:hAnsi="宋体" w:eastAsia="宋体" w:cs="宋体"/>
          <w:snapToGrid w:val="0"/>
          <w:color w:val="000000"/>
          <w:kern w:val="0"/>
          <w:sz w:val="24"/>
          <w:szCs w:val="24"/>
          <w:lang w:val="en-US" w:eastAsia="en-US" w:bidi="ar-SA"/>
        </w:rPr>
        <w:t>”上发布成交公告。</w:t>
      </w:r>
    </w:p>
    <w:p w14:paraId="40050F3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1.2 </w:t>
      </w:r>
      <w:r>
        <w:rPr>
          <w:rFonts w:hint="eastAsia" w:ascii="宋体" w:hAnsi="宋体" w:eastAsia="宋体" w:cs="宋体"/>
          <w:snapToGrid w:val="0"/>
          <w:color w:val="000000"/>
          <w:kern w:val="0"/>
          <w:sz w:val="24"/>
          <w:szCs w:val="24"/>
          <w:lang w:val="en-US" w:eastAsia="en-US" w:bidi="ar-SA"/>
        </w:rPr>
        <w:t>如项目终止，成交结果公告以“河南省政府采购网”发布的为准。</w:t>
      </w:r>
    </w:p>
    <w:p w14:paraId="5DDCED4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发出成交通知书</w:t>
      </w:r>
    </w:p>
    <w:p w14:paraId="0134FB13">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2.1 </w:t>
      </w:r>
      <w:r>
        <w:rPr>
          <w:rFonts w:hint="eastAsia" w:ascii="宋体" w:hAnsi="宋体" w:eastAsia="宋体" w:cs="宋体"/>
          <w:snapToGrid w:val="0"/>
          <w:color w:val="000000"/>
          <w:kern w:val="0"/>
          <w:sz w:val="24"/>
          <w:szCs w:val="24"/>
          <w:lang w:val="en-US" w:eastAsia="en-US" w:bidi="ar-SA"/>
        </w:rPr>
        <w:t>根据成交结果，</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通过“南阳市公共资源交易中心</w:t>
      </w:r>
      <w:r>
        <w:rPr>
          <w:rFonts w:hint="eastAsia" w:ascii="宋体" w:hAnsi="宋体" w:eastAsia="宋体" w:cs="宋体"/>
          <w:snapToGrid w:val="0"/>
          <w:color w:val="000000"/>
          <w:kern w:val="0"/>
          <w:sz w:val="24"/>
          <w:szCs w:val="24"/>
          <w:lang w:val="en-US" w:eastAsia="zh-CN" w:bidi="ar-SA"/>
        </w:rPr>
        <w:t>公共服务平台</w:t>
      </w:r>
      <w:r>
        <w:rPr>
          <w:rFonts w:hint="eastAsia" w:ascii="宋体" w:hAnsi="宋体" w:eastAsia="宋体" w:cs="宋体"/>
          <w:snapToGrid w:val="0"/>
          <w:color w:val="000000"/>
          <w:kern w:val="0"/>
          <w:sz w:val="24"/>
          <w:szCs w:val="24"/>
          <w:lang w:val="en-US" w:eastAsia="en-US" w:bidi="ar-SA"/>
        </w:rPr>
        <w:t>”向成交供应商发出电子成交通知书，成交供应商可登陆</w:t>
      </w:r>
      <w:r>
        <w:rPr>
          <w:rFonts w:hint="eastAsia" w:ascii="宋体" w:hAnsi="宋体" w:eastAsia="宋体" w:cs="宋体"/>
          <w:snapToGrid w:val="0"/>
          <w:color w:val="000000"/>
          <w:kern w:val="0"/>
          <w:sz w:val="24"/>
          <w:szCs w:val="24"/>
          <w:lang w:val="en-US" w:eastAsia="zh-CN" w:bidi="ar-SA"/>
        </w:rPr>
        <w:t>南阳市公共资源交易平台会员系统</w:t>
      </w:r>
      <w:r>
        <w:rPr>
          <w:rFonts w:hint="eastAsia" w:ascii="宋体" w:hAnsi="宋体" w:eastAsia="宋体" w:cs="宋体"/>
          <w:snapToGrid w:val="0"/>
          <w:color w:val="000000"/>
          <w:kern w:val="0"/>
          <w:sz w:val="24"/>
          <w:szCs w:val="24"/>
          <w:lang w:val="en-US" w:eastAsia="en-US" w:bidi="ar-SA"/>
        </w:rPr>
        <w:t>，自行打印加盖电子签章的成交通知书。</w:t>
      </w:r>
    </w:p>
    <w:p w14:paraId="3044D94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2.2 </w:t>
      </w:r>
      <w:r>
        <w:rPr>
          <w:rFonts w:hint="eastAsia" w:ascii="宋体" w:hAnsi="宋体" w:eastAsia="宋体" w:cs="宋体"/>
          <w:snapToGrid w:val="0"/>
          <w:color w:val="000000"/>
          <w:kern w:val="0"/>
          <w:sz w:val="24"/>
          <w:szCs w:val="24"/>
          <w:lang w:val="en-US" w:eastAsia="en-US" w:bidi="ar-SA"/>
        </w:rPr>
        <w:t>《成交通知书》是签订政府采购合同的重要依据，对采购人与成交供应商具有法律效力。</w:t>
      </w:r>
    </w:p>
    <w:p w14:paraId="3087B31C">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签订合同</w:t>
      </w:r>
    </w:p>
    <w:p w14:paraId="04625BB0">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3.1 </w:t>
      </w:r>
      <w:r>
        <w:rPr>
          <w:rFonts w:hint="eastAsia" w:ascii="宋体" w:hAnsi="宋体" w:eastAsia="宋体" w:cs="宋体"/>
          <w:snapToGrid w:val="0"/>
          <w:color w:val="000000"/>
          <w:kern w:val="0"/>
          <w:sz w:val="24"/>
          <w:szCs w:val="24"/>
          <w:lang w:val="en-US" w:eastAsia="en-US" w:bidi="ar-SA"/>
        </w:rPr>
        <w:t>成交供应商和采购人应在《成交通知书》发出</w:t>
      </w:r>
      <w:r>
        <w:rPr>
          <w:rFonts w:hint="eastAsia" w:ascii="宋体" w:hAnsi="宋体" w:eastAsia="宋体" w:cs="宋体"/>
          <w:snapToGrid w:val="0"/>
          <w:color w:val="000000"/>
          <w:kern w:val="0"/>
          <w:sz w:val="24"/>
          <w:szCs w:val="24"/>
          <w:lang w:val="en-US" w:eastAsia="zh-CN" w:bidi="ar-SA"/>
        </w:rPr>
        <w:t>后及时</w:t>
      </w:r>
      <w:r>
        <w:rPr>
          <w:rFonts w:hint="eastAsia" w:ascii="宋体" w:hAnsi="宋体" w:eastAsia="宋体" w:cs="宋体"/>
          <w:snapToGrid w:val="0"/>
          <w:color w:val="000000"/>
          <w:kern w:val="0"/>
          <w:sz w:val="24"/>
          <w:szCs w:val="24"/>
          <w:lang w:val="en-US" w:eastAsia="en-US" w:bidi="ar-SA"/>
        </w:rPr>
        <w:t>签订政府采购合同，逾期无故不签订的，按《政府采购竞争性磋商采购方式管理暂行办法》及有关规定处理。</w:t>
      </w:r>
    </w:p>
    <w:p w14:paraId="1CF229F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3.2 </w:t>
      </w:r>
      <w:r>
        <w:rPr>
          <w:rFonts w:hint="eastAsia" w:ascii="宋体" w:hAnsi="宋体" w:eastAsia="宋体" w:cs="宋体"/>
          <w:snapToGrid w:val="0"/>
          <w:color w:val="000000"/>
          <w:kern w:val="0"/>
          <w:sz w:val="24"/>
          <w:szCs w:val="24"/>
          <w:lang w:val="en-US" w:eastAsia="en-US" w:bidi="ar-SA"/>
        </w:rPr>
        <w:t>竞争性磋商文件、响应文件、供应商在磋商过程中的承诺以及确认材料，均为合同的有效组成部分。</w:t>
      </w:r>
    </w:p>
    <w:p w14:paraId="2094D90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3.3 </w:t>
      </w:r>
      <w:r>
        <w:rPr>
          <w:rFonts w:hint="eastAsia" w:ascii="宋体" w:hAnsi="宋体" w:eastAsia="宋体" w:cs="宋体"/>
          <w:snapToGrid w:val="0"/>
          <w:color w:val="000000"/>
          <w:kern w:val="0"/>
          <w:sz w:val="24"/>
          <w:szCs w:val="24"/>
          <w:lang w:val="en-US" w:eastAsia="en-US" w:bidi="ar-SA"/>
        </w:rPr>
        <w:t>如果成交供应商不按其响应文件承诺和竞争性磋商文件要求签订政府采购合同，采购人将取消其成交资格。</w:t>
      </w:r>
    </w:p>
    <w:p w14:paraId="387574E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p>
    <w:p w14:paraId="49D404FD">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七、</w:t>
      </w:r>
      <w:r>
        <w:rPr>
          <w:rFonts w:hint="eastAsia" w:ascii="宋体" w:hAnsi="宋体" w:eastAsia="宋体" w:cs="宋体"/>
          <w:b/>
          <w:bCs/>
          <w:snapToGrid w:val="0"/>
          <w:color w:val="000000"/>
          <w:kern w:val="0"/>
          <w:sz w:val="24"/>
          <w:szCs w:val="24"/>
          <w:lang w:val="en-US" w:eastAsia="en-US" w:bidi="ar-SA"/>
        </w:rPr>
        <w:t>质疑与答复</w:t>
      </w:r>
    </w:p>
    <w:p w14:paraId="34422F6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2A14589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1BAC642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39A0AD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14:paraId="379E863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5041D59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69B233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7FD0E4EC">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zh-CN" w:bidi="ar-SA"/>
        </w:rPr>
      </w:pPr>
    </w:p>
    <w:p w14:paraId="42164761">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八、</w:t>
      </w:r>
      <w:r>
        <w:rPr>
          <w:rFonts w:hint="eastAsia" w:ascii="宋体" w:hAnsi="宋体" w:eastAsia="宋体" w:cs="宋体"/>
          <w:b/>
          <w:bCs/>
          <w:snapToGrid w:val="0"/>
          <w:color w:val="000000"/>
          <w:kern w:val="0"/>
          <w:sz w:val="24"/>
          <w:szCs w:val="24"/>
          <w:lang w:val="en-US" w:eastAsia="en-US" w:bidi="ar-SA"/>
        </w:rPr>
        <w:t>注意事项</w:t>
      </w:r>
    </w:p>
    <w:p w14:paraId="02E952D3">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提出。</w:t>
      </w:r>
    </w:p>
    <w:p w14:paraId="3B5E559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供应商必须由法定代表人或授权代表参加磋商，随时接受磋商小组的询问、质疑，并按照磋商小组的要求答复。</w:t>
      </w:r>
    </w:p>
    <w:p w14:paraId="76406205">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供应商自行承担参加竞争性磋商的全部费用。</w:t>
      </w:r>
    </w:p>
    <w:p w14:paraId="4E18E67F">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宋体" w:hAnsi="宋体" w:eastAsia="宋体" w:cs="宋体"/>
          <w:snapToGrid w:val="0"/>
          <w:color w:val="000000"/>
          <w:kern w:val="0"/>
          <w:sz w:val="24"/>
          <w:szCs w:val="24"/>
          <w:lang w:val="en-US" w:eastAsia="zh-CN" w:bidi="ar-SA"/>
        </w:rPr>
        <w:t>4.</w:t>
      </w:r>
      <w:r>
        <w:rPr>
          <w:rFonts w:hint="eastAsia" w:ascii="宋体" w:hAnsi="宋体" w:eastAsia="宋体" w:cs="宋体"/>
          <w:snapToGrid w:val="0"/>
          <w:color w:val="000000"/>
          <w:kern w:val="0"/>
          <w:sz w:val="24"/>
          <w:szCs w:val="24"/>
          <w:lang w:val="en-US" w:eastAsia="en-US" w:bidi="ar-SA"/>
        </w:rPr>
        <w:t>本竞争性磋商文件最终解释权归</w:t>
      </w:r>
      <w:r>
        <w:rPr>
          <w:rFonts w:hint="eastAsia" w:ascii="宋体" w:hAnsi="宋体" w:eastAsia="宋体" w:cs="宋体"/>
          <w:snapToGrid w:val="0"/>
          <w:color w:val="000000"/>
          <w:kern w:val="0"/>
          <w:sz w:val="24"/>
          <w:szCs w:val="24"/>
          <w:lang w:val="en-US" w:eastAsia="zh-CN" w:bidi="ar-SA"/>
        </w:rPr>
        <w:t>采购代理机构</w:t>
      </w:r>
      <w:r>
        <w:rPr>
          <w:rFonts w:hint="eastAsia" w:ascii="宋体" w:hAnsi="宋体" w:eastAsia="宋体" w:cs="宋体"/>
          <w:snapToGrid w:val="0"/>
          <w:color w:val="000000"/>
          <w:kern w:val="0"/>
          <w:sz w:val="24"/>
          <w:szCs w:val="24"/>
          <w:lang w:val="en-US" w:eastAsia="en-US" w:bidi="ar-SA"/>
        </w:rPr>
        <w:t>。</w:t>
      </w:r>
    </w:p>
    <w:p w14:paraId="4B12D4A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309B322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42E40F8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55C3696">
      <w:pPr>
        <w:pStyle w:val="4"/>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E916A07">
      <w:pP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17F1FF34">
      <w:pPr>
        <w:pStyle w:val="4"/>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C6CDFAE">
      <w:pP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0F93907">
      <w:pPr>
        <w:pStyle w:val="4"/>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38C06D77">
      <w:pP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5F17E59">
      <w:pPr>
        <w:pStyle w:val="4"/>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BCD3AA4">
      <w:pP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A9CFDCB">
      <w:pPr>
        <w:pStyle w:val="4"/>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105451D9">
      <w:pP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896A28D">
      <w:pP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6A1CC46">
      <w:pPr>
        <w:pStyle w:val="4"/>
        <w:rPr>
          <w:rFonts w:hint="eastAsia"/>
          <w:lang w:val="en-US" w:eastAsia="zh-CN"/>
        </w:rPr>
      </w:pPr>
    </w:p>
    <w:p w14:paraId="774B969E">
      <w:pPr>
        <w:rPr>
          <w:rFonts w:hint="eastAsia"/>
          <w:lang w:val="en-US" w:eastAsia="zh-CN"/>
        </w:rPr>
      </w:pPr>
    </w:p>
    <w:p w14:paraId="01DDB1EA">
      <w:pPr>
        <w:pStyle w:val="4"/>
        <w:rPr>
          <w:rFonts w:hint="eastAsia"/>
          <w:lang w:val="en-US" w:eastAsia="zh-CN"/>
        </w:rPr>
      </w:pPr>
    </w:p>
    <w:p w14:paraId="53EA2011">
      <w:pPr>
        <w:rPr>
          <w:rFonts w:hint="eastAsia"/>
          <w:lang w:val="en-US" w:eastAsia="zh-CN"/>
        </w:rPr>
      </w:pPr>
    </w:p>
    <w:p w14:paraId="381BCE9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449E4B3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3B91658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79F0E83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6E2B564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5FE811B2">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20499790">
      <w:pPr>
        <w:keepNext w:val="0"/>
        <w:keepLines w:val="0"/>
        <w:pageBreakBefore w:val="0"/>
        <w:kinsoku/>
        <w:wordWrap w:val="0"/>
        <w:overflowPunct/>
        <w:topLinePunct w:val="0"/>
        <w:bidi w:val="0"/>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7BAD4341">
      <w:pPr>
        <w:keepNext w:val="0"/>
        <w:keepLines w:val="0"/>
        <w:pageBreakBefore w:val="0"/>
        <w:kinsoku/>
        <w:wordWrap w:val="0"/>
        <w:overflowPunct/>
        <w:topLinePunct w:val="0"/>
        <w:bidi w:val="0"/>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13167774">
      <w:pPr>
        <w:keepNext w:val="0"/>
        <w:keepLines w:val="0"/>
        <w:pageBreakBefore w:val="0"/>
        <w:kinsoku/>
        <w:wordWrap w:val="0"/>
        <w:overflowPunct/>
        <w:topLinePunct w:val="0"/>
        <w:bidi w:val="0"/>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5BEA3303">
      <w:pPr>
        <w:keepNext w:val="0"/>
        <w:keepLines w:val="0"/>
        <w:pageBreakBefore w:val="0"/>
        <w:kinsoku/>
        <w:wordWrap w:val="0"/>
        <w:overflowPunct/>
        <w:topLinePunct w:val="0"/>
        <w:bidi w:val="0"/>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50EBB286">
      <w:pPr>
        <w:keepNext w:val="0"/>
        <w:keepLines w:val="0"/>
        <w:pageBreakBefore w:val="0"/>
        <w:kinsoku/>
        <w:wordWrap w:val="0"/>
        <w:overflowPunct/>
        <w:topLinePunct w:val="0"/>
        <w:bidi w:val="0"/>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5590D641">
      <w:pPr>
        <w:keepNext w:val="0"/>
        <w:keepLines w:val="0"/>
        <w:pageBreakBefore w:val="0"/>
        <w:kinsoku/>
        <w:wordWrap w:val="0"/>
        <w:overflowPunct/>
        <w:topLinePunct w:val="0"/>
        <w:bidi w:val="0"/>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19079F32">
      <w:pPr>
        <w:keepNext w:val="0"/>
        <w:keepLines w:val="0"/>
        <w:pageBreakBefore w:val="0"/>
        <w:kinsoku/>
        <w:wordWrap w:val="0"/>
        <w:overflowPunct/>
        <w:topLinePunct w:val="0"/>
        <w:bidi w:val="0"/>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30196338">
      <w:pPr>
        <w:keepNext w:val="0"/>
        <w:keepLines w:val="0"/>
        <w:pageBreakBefore w:val="0"/>
        <w:kinsoku/>
        <w:wordWrap w:val="0"/>
        <w:overflowPunct/>
        <w:topLinePunct w:val="0"/>
        <w:bidi w:val="0"/>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06ACEBAF">
      <w:pPr>
        <w:keepNext w:val="0"/>
        <w:keepLines w:val="0"/>
        <w:pageBreakBefore w:val="0"/>
        <w:kinsoku/>
        <w:wordWrap w:val="0"/>
        <w:overflowPunct/>
        <w:topLinePunct w:val="0"/>
        <w:bidi w:val="0"/>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246B4900">
      <w:pPr>
        <w:keepNext w:val="0"/>
        <w:keepLines w:val="0"/>
        <w:pageBreakBefore w:val="0"/>
        <w:kinsoku/>
        <w:wordWrap w:val="0"/>
        <w:overflowPunct/>
        <w:topLinePunct w:val="0"/>
        <w:bidi w:val="0"/>
        <w:spacing w:after="0" w:line="360" w:lineRule="auto"/>
        <w:jc w:val="center"/>
        <w:rPr>
          <w:rFonts w:ascii="Arial"/>
          <w:sz w:val="21"/>
        </w:rPr>
      </w:pP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合同草案条款</w:t>
      </w:r>
    </w:p>
    <w:p w14:paraId="67F83FEB">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14:paraId="33E9C71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7FE0FC3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14:paraId="2E144D82">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14:paraId="69C5B1E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4</w:t>
      </w:r>
      <w:r>
        <w:rPr>
          <w:rFonts w:hint="eastAsia" w:asciiTheme="minorEastAsia" w:hAnsiTheme="minorEastAsia" w:eastAsiaTheme="minorEastAsia" w:cstheme="minorEastAsia"/>
          <w:spacing w:val="-13"/>
          <w:sz w:val="24"/>
          <w:szCs w:val="24"/>
        </w:rPr>
        <w:t>.政府采购合同（草案）4.政府采购合同设定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付款支付方式的，预付款支付比例原则上不低于合同金额的50%；对于中小企业，预付款支付比例原则上不低于合同金额的70%。</w:t>
      </w:r>
    </w:p>
    <w:p w14:paraId="3C2307E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14:paraId="0B0D72D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14:paraId="09233A6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w:t>
      </w:r>
    </w:p>
    <w:p w14:paraId="4B24B8EE">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sz w:val="24"/>
          <w:szCs w:val="24"/>
        </w:rPr>
        <w:sectPr>
          <w:headerReference r:id="rId6" w:type="default"/>
          <w:footerReference r:id="rId7" w:type="default"/>
          <w:pgSz w:w="11907" w:h="16840"/>
          <w:pgMar w:top="1440" w:right="1800" w:bottom="1440" w:left="1800" w:header="878" w:footer="886" w:gutter="0"/>
          <w:pgNumType w:fmt="decimal" w:start="1"/>
          <w:cols w:space="720" w:num="1"/>
        </w:sectPr>
      </w:pPr>
      <w:r>
        <w:rPr>
          <w:rFonts w:hint="eastAsia" w:asciiTheme="minorEastAsia" w:hAnsiTheme="minorEastAsia" w:eastAsiaTheme="minorEastAsia" w:cstheme="minorEastAsia"/>
          <w:spacing w:val="-13"/>
          <w:sz w:val="24"/>
          <w:szCs w:val="24"/>
        </w:rPr>
        <w:t>心政府采购需求标准（试行）》（财库〔2023〕7号）的有关要求，并在合同中明确对相关指标的验收方式和违约责任。</w:t>
      </w:r>
    </w:p>
    <w:p w14:paraId="55AE9FFD">
      <w:pPr>
        <w:pStyle w:val="2"/>
        <w:keepNext w:val="0"/>
        <w:keepLines w:val="0"/>
        <w:pageBreakBefore w:val="0"/>
        <w:kinsoku/>
        <w:wordWrap w:val="0"/>
        <w:overflowPunct/>
        <w:topLinePunct w:val="0"/>
        <w:bidi w:val="0"/>
        <w:spacing w:before="353" w:line="360" w:lineRule="auto"/>
        <w:jc w:val="center"/>
        <w:rPr>
          <w:rFonts w:ascii="Arial"/>
          <w:sz w:val="21"/>
        </w:rPr>
      </w:pPr>
      <w:r>
        <w:rPr>
          <w:spacing w:val="-5"/>
          <w:sz w:val="36"/>
          <w:szCs w:val="36"/>
          <w14:textOutline w14:w="2306" w14:cap="flat" w14:cmpd="sng">
            <w14:solidFill>
              <w14:srgbClr w14:val="000000"/>
            </w14:solidFill>
            <w14:prstDash w14:val="solid"/>
            <w14:miter w14:val="0"/>
          </w14:textOutline>
        </w:rPr>
        <w:t>第六章</w:t>
      </w:r>
      <w:r>
        <w:rPr>
          <w:rFonts w:hint="eastAsia"/>
          <w:spacing w:val="-5"/>
          <w:sz w:val="36"/>
          <w:szCs w:val="36"/>
          <w:lang w:val="en-US" w:eastAsia="zh-CN"/>
          <w14:textOutline w14:w="2306" w14:cap="flat" w14:cmpd="sng">
            <w14:solidFill>
              <w14:srgbClr w14:val="000000"/>
            </w14:solidFill>
            <w14:prstDash w14:val="solid"/>
            <w14:miter w14:val="0"/>
          </w14:textOutline>
        </w:rPr>
        <w:t xml:space="preserve"> </w:t>
      </w:r>
      <w:r>
        <w:rPr>
          <w:spacing w:val="-5"/>
          <w:sz w:val="36"/>
          <w:szCs w:val="36"/>
          <w14:textOutline w14:w="2306" w14:cap="flat" w14:cmpd="sng">
            <w14:solidFill>
              <w14:srgbClr w14:val="000000"/>
            </w14:solidFill>
            <w14:prstDash w14:val="solid"/>
            <w14:miter w14:val="0"/>
          </w14:textOutline>
        </w:rPr>
        <w:t>响应文件格式</w:t>
      </w:r>
    </w:p>
    <w:p w14:paraId="65C270D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z w:val="24"/>
          <w:szCs w:val="24"/>
        </w:rPr>
      </w:pPr>
      <w:r>
        <w:rPr>
          <w:spacing w:val="-1"/>
          <w:sz w:val="24"/>
          <w:szCs w:val="24"/>
          <w14:textOutline w14:w="1537" w14:cap="flat" w14:cmpd="sng">
            <w14:solidFill>
              <w14:srgbClr w14:val="000000"/>
            </w14:solidFill>
            <w14:prstDash w14:val="solid"/>
            <w14:miter w14:val="0"/>
          </w14:textOutline>
        </w:rPr>
        <w:t>供应商编制文件须知</w:t>
      </w:r>
    </w:p>
    <w:p w14:paraId="7AD415E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1.供应商</w:t>
      </w:r>
      <w:r>
        <w:rPr>
          <w:rFonts w:hint="eastAsia" w:asciiTheme="minorEastAsia" w:hAnsiTheme="minorEastAsia" w:eastAsiaTheme="minorEastAsia" w:cstheme="minorEastAsia"/>
          <w:spacing w:val="-3"/>
          <w:sz w:val="24"/>
          <w:szCs w:val="24"/>
        </w:rPr>
        <w:t>按照本部分的顺序编制</w:t>
      </w:r>
      <w:r>
        <w:rPr>
          <w:rFonts w:hint="eastAsia" w:asciiTheme="minorEastAsia" w:hAnsiTheme="minorEastAsia" w:eastAsiaTheme="minorEastAsia" w:cstheme="minorEastAsia"/>
          <w:spacing w:val="-3"/>
          <w:sz w:val="24"/>
          <w:szCs w:val="24"/>
          <w:lang w:val="en-US" w:eastAsia="zh-CN"/>
        </w:rPr>
        <w:t>响应文件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56DAE8A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z w:val="24"/>
          <w:szCs w:val="24"/>
        </w:rPr>
      </w:pPr>
      <w:r>
        <w:rPr>
          <w:rFonts w:hint="eastAsia" w:ascii="Arial" w:hAnsi="Arial" w:eastAsia="宋体" w:cs="Arial"/>
          <w:spacing w:val="-1"/>
          <w:sz w:val="24"/>
          <w:szCs w:val="24"/>
          <w:lang w:val="en-US" w:eastAsia="zh-CN"/>
        </w:rPr>
        <w:t>2.</w:t>
      </w:r>
      <w:r>
        <w:rPr>
          <w:spacing w:val="-1"/>
          <w:sz w:val="24"/>
          <w:szCs w:val="24"/>
        </w:rPr>
        <w:t>全部声明和问题的回答及所附材料必须是真实的、准确的和完整</w:t>
      </w:r>
      <w:r>
        <w:rPr>
          <w:spacing w:val="-2"/>
          <w:sz w:val="24"/>
          <w:szCs w:val="24"/>
        </w:rPr>
        <w:t>的。</w:t>
      </w:r>
    </w:p>
    <w:p w14:paraId="69C671B5">
      <w:pPr>
        <w:keepNext w:val="0"/>
        <w:keepLines w:val="0"/>
        <w:pageBreakBefore w:val="0"/>
        <w:kinsoku/>
        <w:wordWrap w:val="0"/>
        <w:overflowPunct/>
        <w:topLinePunct w:val="0"/>
        <w:bidi w:val="0"/>
        <w:spacing w:line="219" w:lineRule="auto"/>
        <w:jc w:val="both"/>
        <w:rPr>
          <w:sz w:val="24"/>
          <w:szCs w:val="24"/>
        </w:rPr>
        <w:sectPr>
          <w:headerReference r:id="rId8" w:type="default"/>
          <w:footerReference r:id="rId9" w:type="default"/>
          <w:pgSz w:w="11907" w:h="16840"/>
          <w:pgMar w:top="1440" w:right="1800" w:bottom="1440" w:left="1800" w:header="878" w:footer="886" w:gutter="0"/>
          <w:pgNumType w:fmt="decimal"/>
          <w:cols w:space="720" w:num="1"/>
        </w:sectPr>
      </w:pPr>
    </w:p>
    <w:p w14:paraId="1A80A6A3">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响应函格式</w:t>
      </w:r>
    </w:p>
    <w:p w14:paraId="131B0C58">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18C10F0B">
      <w:pPr>
        <w:keepNext w:val="0"/>
        <w:keepLines w:val="0"/>
        <w:pageBreakBefore w:val="0"/>
        <w:kinsoku/>
        <w:wordWrap w:val="0"/>
        <w:overflowPunct/>
        <w:topLinePunct w:val="0"/>
        <w:bidi w:val="0"/>
        <w:spacing w:after="0" w:line="360" w:lineRule="auto"/>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响应函</w:t>
      </w:r>
    </w:p>
    <w:p w14:paraId="2E38D667">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24B64CA8">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14:paraId="1BED7C79">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根据贵方项目编号为____________的</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要求，签字代表_________（全名、职务）经正式授权并代表_________（供应商名称、地址）提交包含响应文件组成第</w:t>
      </w:r>
      <w:r>
        <w:rPr>
          <w:rFonts w:hint="eastAsia" w:asciiTheme="minorEastAsia" w:hAnsiTheme="minorEastAsia" w:eastAsiaTheme="minorEastAsia" w:cstheme="minorEastAsia"/>
          <w:snapToGrid w:val="0"/>
          <w:color w:val="000000"/>
          <w:spacing w:val="-3"/>
          <w:kern w:val="0"/>
          <w:sz w:val="24"/>
          <w:szCs w:val="24"/>
          <w:lang w:val="en-US" w:eastAsia="zh-CN" w:bidi="ar-SA"/>
        </w:rPr>
        <w:t>1</w:t>
      </w:r>
      <w:r>
        <w:rPr>
          <w:rFonts w:hint="eastAsia" w:asciiTheme="minorEastAsia" w:hAnsiTheme="minorEastAsia" w:eastAsiaTheme="minorEastAsia" w:cstheme="minorEastAsia"/>
          <w:snapToGrid w:val="0"/>
          <w:color w:val="000000"/>
          <w:spacing w:val="-3"/>
          <w:kern w:val="0"/>
          <w:sz w:val="24"/>
          <w:szCs w:val="24"/>
          <w:lang w:val="en-US" w:eastAsia="en-US" w:bidi="ar-SA"/>
        </w:rPr>
        <w:t>项至第</w:t>
      </w:r>
      <w:r>
        <w:rPr>
          <w:rFonts w:hint="eastAsia" w:asciiTheme="minorEastAsia" w:hAnsiTheme="minorEastAsia" w:eastAsiaTheme="minorEastAsia" w:cstheme="minorEastAsia"/>
          <w:snapToGrid w:val="0"/>
          <w:color w:val="000000"/>
          <w:spacing w:val="-3"/>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3"/>
          <w:kern w:val="0"/>
          <w:sz w:val="24"/>
          <w:szCs w:val="24"/>
          <w:lang w:val="en-US" w:eastAsia="en-US" w:bidi="ar-SA"/>
        </w:rPr>
        <w:t>项的响应文件电子版本一份。</w:t>
      </w:r>
    </w:p>
    <w:p w14:paraId="2EA561FB">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据此函，签字代表宣布同意并郑重承诺如下：</w:t>
      </w:r>
    </w:p>
    <w:p w14:paraId="0C4A200C">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1、我方递交的响应文件中所有的资料均为真实的、准确的，无任何虚假内容。若存在有虚假内容，我方愿意承担法律责任。</w:t>
      </w:r>
    </w:p>
    <w:p w14:paraId="69320CDE">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2、我方已详细审查全部</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，包括修改文件（如有的话）以及全部参考资料和有关附件。我们完全理解并同意放弃对这方面有不明白及误解的权利。</w:t>
      </w:r>
    </w:p>
    <w:p w14:paraId="2EA5D98D">
      <w:pPr>
        <w:pStyle w:val="2"/>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3、若成交，我方将按照</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的具体规定与采购人签订供货安装调试</w:t>
      </w:r>
      <w:r>
        <w:rPr>
          <w:rFonts w:hint="eastAsia" w:asciiTheme="minorEastAsia" w:hAnsiTheme="minorEastAsia" w:eastAsiaTheme="minorEastAsia" w:cstheme="minorEastAsia"/>
          <w:snapToGrid w:val="0"/>
          <w:color w:val="000000"/>
          <w:spacing w:val="-3"/>
          <w:kern w:val="0"/>
          <w:sz w:val="24"/>
          <w:szCs w:val="24"/>
          <w:lang w:val="en-US" w:eastAsia="zh-CN" w:bidi="ar-SA"/>
        </w:rPr>
        <w:t>或服务</w:t>
      </w:r>
      <w:r>
        <w:rPr>
          <w:rFonts w:hint="eastAsia" w:asciiTheme="minorEastAsia" w:hAnsiTheme="minorEastAsia" w:eastAsiaTheme="minorEastAsia" w:cstheme="minorEastAsia"/>
          <w:snapToGrid w:val="0"/>
          <w:color w:val="000000"/>
          <w:spacing w:val="-3"/>
          <w:kern w:val="0"/>
          <w:sz w:val="24"/>
          <w:szCs w:val="24"/>
          <w:lang w:val="en-US" w:eastAsia="en-US" w:bidi="ar-SA"/>
        </w:rPr>
        <w:t>合同，并且严格按合同履行义务，按时交付使用，保证设备</w:t>
      </w:r>
      <w:r>
        <w:rPr>
          <w:rFonts w:hint="eastAsia" w:asciiTheme="minorEastAsia" w:hAnsiTheme="minorEastAsia" w:eastAsiaTheme="minorEastAsia" w:cstheme="minorEastAsia"/>
          <w:snapToGrid w:val="0"/>
          <w:color w:val="000000"/>
          <w:spacing w:val="-3"/>
          <w:kern w:val="0"/>
          <w:sz w:val="24"/>
          <w:szCs w:val="24"/>
          <w:lang w:val="en-US" w:eastAsia="zh-CN" w:bidi="ar-SA"/>
        </w:rPr>
        <w:t>或服务</w:t>
      </w:r>
      <w:r>
        <w:rPr>
          <w:rFonts w:hint="eastAsia" w:asciiTheme="minorEastAsia" w:hAnsiTheme="minorEastAsia" w:eastAsiaTheme="minorEastAsia" w:cstheme="minorEastAsia"/>
          <w:snapToGrid w:val="0"/>
          <w:color w:val="000000"/>
          <w:spacing w:val="-3"/>
          <w:kern w:val="0"/>
          <w:sz w:val="24"/>
          <w:szCs w:val="24"/>
          <w:lang w:val="en-US" w:eastAsia="en-US" w:bidi="ar-SA"/>
        </w:rPr>
        <w:t>质量符合</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要求，并提供优质服务。如果在合同执行过程中，发现问题，我方一定尽快对其进行调整，并承担相应的经济责任。</w:t>
      </w:r>
    </w:p>
    <w:p w14:paraId="11D137D7">
      <w:pPr>
        <w:pStyle w:val="2"/>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4、我方保证，严格遵守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w:t>
      </w:r>
      <w:r>
        <w:rPr>
          <w:rFonts w:hint="eastAsia" w:ascii="宋体" w:hAnsi="宋体" w:eastAsia="宋体" w:cs="宋体"/>
          <w:snapToGrid w:val="0"/>
          <w:color w:val="000000"/>
          <w:kern w:val="0"/>
          <w:sz w:val="24"/>
          <w:szCs w:val="24"/>
          <w:lang w:val="en-US" w:eastAsia="en-US" w:bidi="ar-SA"/>
        </w:rPr>
        <w:t>《政府采购竞争性磋商采购方式管理暂行办法》</w:t>
      </w:r>
      <w:r>
        <w:rPr>
          <w:rFonts w:hint="eastAsia" w:asciiTheme="minorEastAsia" w:hAnsiTheme="minorEastAsia" w:eastAsiaTheme="minorEastAsia" w:cstheme="minorEastAsia"/>
          <w:snapToGrid w:val="0"/>
          <w:color w:val="000000"/>
          <w:spacing w:val="-3"/>
          <w:kern w:val="0"/>
          <w:sz w:val="24"/>
          <w:szCs w:val="24"/>
          <w:lang w:val="en-US" w:eastAsia="en-US" w:bidi="ar-SA"/>
        </w:rPr>
        <w:t>及其他相关法律法规的规定，若有违反上述法律法规的行为，愿意接受处罚并承担相应的法律责任。</w:t>
      </w:r>
    </w:p>
    <w:p w14:paraId="5E118CE6">
      <w:pPr>
        <w:pStyle w:val="2"/>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5、本承诺将成为合同不可分割的一部分，与合同具有同等的法律效力。</w:t>
      </w:r>
    </w:p>
    <w:p w14:paraId="35AF53FC">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335877FB">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供应商名称（公章）：</w:t>
      </w:r>
    </w:p>
    <w:p w14:paraId="4350C23A">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法定代表人或负责人或被授权人签名（或盖章）：</w:t>
      </w:r>
    </w:p>
    <w:p w14:paraId="0CE78702">
      <w:pPr>
        <w:keepNext w:val="0"/>
        <w:keepLines w:val="0"/>
        <w:pageBreakBefore w:val="0"/>
        <w:widowControl w:val="0"/>
        <w:kinsoku/>
        <w:wordWrap w:val="0"/>
        <w:overflowPunct/>
        <w:topLinePunct w:val="0"/>
        <w:autoSpaceDE w:val="0"/>
        <w:autoSpaceDN w:val="0"/>
        <w:bidi w:val="0"/>
        <w:adjustRightInd w:val="0"/>
        <w:spacing w:line="360" w:lineRule="auto"/>
        <w:ind w:firstLine="1200" w:firstLineChars="5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DD2683C">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28B797BE">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7E95AF3F">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2523C819">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二、法定代表人或负责人授权委托书格式：</w:t>
      </w:r>
    </w:p>
    <w:p w14:paraId="3B05DC03">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28ED46FB">
      <w:pPr>
        <w:keepNext w:val="0"/>
        <w:keepLines w:val="0"/>
        <w:pageBreakBefore w:val="0"/>
        <w:kinsoku/>
        <w:wordWrap w:val="0"/>
        <w:overflowPunct/>
        <w:topLinePunct w:val="0"/>
        <w:bidi w:val="0"/>
        <w:spacing w:after="0" w:line="360" w:lineRule="auto"/>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法定代表人或负责人授权委托书</w:t>
      </w:r>
    </w:p>
    <w:p w14:paraId="2347849B">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619513A2">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14:paraId="237B9831">
      <w:pPr>
        <w:keepNext w:val="0"/>
        <w:keepLines w:val="0"/>
        <w:pageBreakBefore w:val="0"/>
        <w:kinsoku/>
        <w:wordWrap w:val="0"/>
        <w:overflowPunct/>
        <w:topLinePunct w:val="0"/>
        <w:bidi w:val="0"/>
        <w:spacing w:after="0" w:line="360" w:lineRule="auto"/>
        <w:ind w:firstLine="702" w:firstLineChars="3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我_________（姓名）系_________（供应商名称）的法定代表人或负责人，现授权委托本单位在职职工（姓名）以我方的名义参加项目的</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w:t>
      </w:r>
      <w:r>
        <w:rPr>
          <w:rFonts w:hint="eastAsia" w:asciiTheme="minorEastAsia" w:hAnsiTheme="minorEastAsia" w:eastAsiaTheme="minorEastAsia" w:cstheme="minorEastAsia"/>
          <w:snapToGrid w:val="0"/>
          <w:color w:val="000000"/>
          <w:spacing w:val="-3"/>
          <w:kern w:val="0"/>
          <w:sz w:val="24"/>
          <w:szCs w:val="24"/>
          <w:lang w:val="en-US" w:eastAsia="en-US" w:bidi="ar-SA"/>
        </w:rPr>
        <w:t>活动，并代表我方全权办理针对上述项目的具体事务和签署相关文件。我方对被授权人的签名事项负全部责任。</w:t>
      </w:r>
    </w:p>
    <w:p w14:paraId="5AE631D1">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在撤销授权的书面通知以前，本授权书一直有效。被授权人在授权书有效期内签署的所有文件不因授权的撤销而失效。</w:t>
      </w:r>
    </w:p>
    <w:p w14:paraId="69EE395F">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被授权人无转委托权，特此委托。</w:t>
      </w:r>
    </w:p>
    <w:p w14:paraId="7D92506A">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3C986A6D">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法定代表人或负责人签名（或盖章）：</w:t>
      </w:r>
    </w:p>
    <w:p w14:paraId="6C0A9AAF">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被授权人签名（或盖章）：</w:t>
      </w:r>
    </w:p>
    <w:p w14:paraId="51B64524">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职务：</w:t>
      </w:r>
    </w:p>
    <w:p w14:paraId="6F2076F7">
      <w:pPr>
        <w:keepNext w:val="0"/>
        <w:keepLines w:val="0"/>
        <w:pageBreakBefore w:val="0"/>
        <w:kinsoku/>
        <w:wordWrap w:val="0"/>
        <w:overflowPunct/>
        <w:topLinePunct w:val="0"/>
        <w:bidi w:val="0"/>
        <w:spacing w:after="0" w:line="360" w:lineRule="auto"/>
        <w:ind w:firstLine="2634" w:firstLineChars="1126"/>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联系电话：</w:t>
      </w:r>
    </w:p>
    <w:p w14:paraId="024A3B0F">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325EC075">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法定代表人或负责人、被授权人身份证复印件</w:t>
      </w:r>
    </w:p>
    <w:p w14:paraId="3FC7A8F8">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423AC516">
      <w:pPr>
        <w:keepNext w:val="0"/>
        <w:keepLines w:val="0"/>
        <w:pageBreakBefore w:val="0"/>
        <w:kinsoku/>
        <w:wordWrap w:val="0"/>
        <w:overflowPunct/>
        <w:topLinePunct w:val="0"/>
        <w:bidi w:val="0"/>
        <w:spacing w:after="0" w:line="360" w:lineRule="auto"/>
        <w:ind w:firstLine="6786" w:firstLineChars="29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183A1ED7">
      <w:pPr>
        <w:keepNext w:val="0"/>
        <w:keepLines w:val="0"/>
        <w:pageBreakBefore w:val="0"/>
        <w:kinsoku/>
        <w:wordWrap w:val="0"/>
        <w:overflowPunct/>
        <w:topLinePunct w:val="0"/>
        <w:bidi w:val="0"/>
        <w:spacing w:after="0" w:line="360" w:lineRule="auto"/>
        <w:ind w:firstLine="5382" w:firstLineChars="23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供应商公章：</w:t>
      </w:r>
    </w:p>
    <w:p w14:paraId="38CBE935">
      <w:pPr>
        <w:keepNext w:val="0"/>
        <w:keepLines w:val="0"/>
        <w:pageBreakBefore w:val="0"/>
        <w:widowControl w:val="0"/>
        <w:kinsoku/>
        <w:wordWrap w:val="0"/>
        <w:overflowPunct/>
        <w:topLinePunct w:val="0"/>
        <w:autoSpaceDE w:val="0"/>
        <w:autoSpaceDN w:val="0"/>
        <w:bidi w:val="0"/>
        <w:adjustRightInd w:val="0"/>
        <w:spacing w:line="360" w:lineRule="auto"/>
        <w:ind w:firstLine="5280" w:firstLineChars="2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5B1FF19">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sectPr>
          <w:headerReference r:id="rId10" w:type="default"/>
          <w:footerReference r:id="rId11" w:type="default"/>
          <w:pgSz w:w="11906" w:h="16838"/>
          <w:pgMar w:top="1440" w:right="1800" w:bottom="1440" w:left="1800" w:header="851" w:footer="992" w:gutter="0"/>
          <w:pgNumType w:fmt="decimal"/>
          <w:cols w:space="720" w:num="1"/>
          <w:docGrid w:type="lines" w:linePitch="312" w:charSpace="0"/>
        </w:sectPr>
      </w:pPr>
    </w:p>
    <w:p w14:paraId="31E47AD2">
      <w:pPr>
        <w:keepNext w:val="0"/>
        <w:keepLines w:val="0"/>
        <w:pageBreakBefore w:val="0"/>
        <w:numPr>
          <w:ilvl w:val="0"/>
          <w:numId w:val="2"/>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报价一览表格式：</w:t>
      </w:r>
    </w:p>
    <w:tbl>
      <w:tblPr>
        <w:tblStyle w:val="14"/>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186D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7E6F73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344303A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4893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0C9F08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3084F6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29A2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4B4372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194FFF0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7C0F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3E3E1D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磋商报价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2D04C9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w:t>
            </w:r>
          </w:p>
        </w:tc>
      </w:tr>
      <w:tr w14:paraId="078A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0B7635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2BBFC8F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672F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5BEFC3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服务质量</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0EDB1E7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3771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260EA9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617BB1E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7F4DB65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bl>
    <w:p w14:paraId="3742014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供应商（公章）：法定代表人（负责人）或授权代表（签字）：</w:t>
      </w:r>
    </w:p>
    <w:p w14:paraId="10F69121">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zh-CN"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6F919877">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sectPr>
          <w:headerReference r:id="rId12" w:type="default"/>
          <w:footerReference r:id="rId13" w:type="default"/>
          <w:pgSz w:w="11906" w:h="16838"/>
          <w:pgMar w:top="1440" w:right="1800" w:bottom="1440" w:left="1800" w:header="851" w:footer="992" w:gutter="0"/>
          <w:pgNumType w:fmt="decimal"/>
          <w:cols w:space="720" w:num="1"/>
          <w:docGrid w:type="lines" w:linePitch="312" w:charSpace="0"/>
        </w:sectPr>
      </w:pPr>
    </w:p>
    <w:p w14:paraId="79011B50">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20E24685">
      <w:pPr>
        <w:keepNext w:val="0"/>
        <w:keepLines w:val="0"/>
        <w:pageBreakBefore w:val="0"/>
        <w:widowControl/>
        <w:numPr>
          <w:ilvl w:val="0"/>
          <w:numId w:val="2"/>
        </w:numPr>
        <w:kinsoku/>
        <w:wordWrap w:val="0"/>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营业执照副本、依法缴纳税收和社会保障资金的缴费凭证、审计或财务报告、</w:t>
      </w:r>
      <w:r>
        <w:rPr>
          <w:rFonts w:hint="eastAsia" w:asciiTheme="minorEastAsia" w:hAnsiTheme="minorEastAsia" w:eastAsiaTheme="minorEastAsia" w:cstheme="minorEastAsia"/>
          <w:b/>
          <w:bCs/>
          <w:sz w:val="24"/>
          <w:szCs w:val="24"/>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4"/>
          <w:szCs w:val="24"/>
          <w:lang w:val="en-US" w:eastAsia="zh-CN" w:bidi="ar-SA"/>
        </w:rPr>
        <w:t>近三年内在经营活动</w:t>
      </w:r>
    </w:p>
    <w:p w14:paraId="1A56276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中没有重大违法记录的声明等；</w:t>
      </w:r>
    </w:p>
    <w:p w14:paraId="6E4442B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val="en-US" w:eastAsia="zh-CN"/>
        </w:rPr>
      </w:pPr>
    </w:p>
    <w:p w14:paraId="794964B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审计或财务报告</w:t>
      </w:r>
      <w:r>
        <w:rPr>
          <w:rFonts w:hint="eastAsia" w:asciiTheme="minorEastAsia" w:hAnsiTheme="minorEastAsia" w:eastAsiaTheme="minorEastAsia" w:cstheme="minorEastAsia"/>
          <w:b w:val="0"/>
          <w:bCs w:val="0"/>
          <w:sz w:val="24"/>
          <w:szCs w:val="24"/>
          <w:lang w:eastAsia="zh-CN"/>
        </w:rPr>
        <w:t>说明：</w:t>
      </w:r>
    </w:p>
    <w:p w14:paraId="053C2162">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与银行之间业务往来正常，企业信誉良好等。</w:t>
      </w:r>
    </w:p>
    <w:p w14:paraId="6253A8FE">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提供企业有关财务会计制度。</w:t>
      </w:r>
    </w:p>
    <w:p w14:paraId="2D1A731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p>
    <w:p w14:paraId="1E3D44B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近三年内在经营活动中没有重大违法记录的声明（格式）</w:t>
      </w:r>
    </w:p>
    <w:p w14:paraId="618323D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64411A8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声明函</w:t>
      </w:r>
    </w:p>
    <w:p w14:paraId="13E087E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5D3C02B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（法定代表人或其授权代表）代表</w:t>
      </w:r>
      <w:r>
        <w:rPr>
          <w:rFonts w:hint="eastAsia" w:asciiTheme="minorEastAsia" w:hAnsiTheme="minorEastAsia" w:eastAsiaTheme="minorEastAsia" w:cstheme="minorEastAsia"/>
          <w:b w:val="0"/>
          <w:bCs w:val="0"/>
          <w:sz w:val="24"/>
          <w:szCs w:val="24"/>
          <w:u w:val="single"/>
          <w:lang w:eastAsia="zh-CN"/>
        </w:rPr>
        <w:t>（</w:t>
      </w:r>
      <w:r>
        <w:rPr>
          <w:rFonts w:hint="eastAsia" w:asciiTheme="minorEastAsia" w:hAnsiTheme="minorEastAsia" w:eastAsiaTheme="minorEastAsia" w:cstheme="minorEastAsia"/>
          <w:b w:val="0"/>
          <w:bCs w:val="0"/>
          <w:sz w:val="24"/>
          <w:szCs w:val="24"/>
          <w:lang w:eastAsia="zh-CN"/>
        </w:rPr>
        <w:t>公司全称）向本项目的采购人和采购代理机构郑重声明如下：</w:t>
      </w:r>
    </w:p>
    <w:p w14:paraId="01E9DE0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我公司近三年来的经营活动中，未因违法经营受到刑事处罚或者责令停产停业、吊销许可证或者执照、较大数额罚款等行政处罚。</w:t>
      </w:r>
    </w:p>
    <w:p w14:paraId="0DB8AEE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特此声明。</w:t>
      </w:r>
    </w:p>
    <w:p w14:paraId="1BF2D98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3E43206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71599C7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供应商（盖章）：</w:t>
      </w:r>
    </w:p>
    <w:p w14:paraId="55904D8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法定代表人或其授权代表（签字）：</w:t>
      </w:r>
    </w:p>
    <w:p w14:paraId="2165C5E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67A4B7F">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18A09395">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7DE9A87E">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26EF7A06">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6CC2FC0">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7CF22B62">
      <w:pPr>
        <w:keepNext w:val="0"/>
        <w:keepLines w:val="0"/>
        <w:pageBreakBefore w:val="0"/>
        <w:numPr>
          <w:ilvl w:val="0"/>
          <w:numId w:val="2"/>
        </w:numPr>
        <w:kinsoku/>
        <w:wordWrap w:val="0"/>
        <w:overflowPunct/>
        <w:topLinePunct w:val="0"/>
        <w:bidi w:val="0"/>
        <w:snapToGrid w:val="0"/>
        <w:spacing w:line="360" w:lineRule="auto"/>
        <w:ind w:left="0" w:leftChars="0" w:firstLine="0" w:firstLineChars="0"/>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商务偏差表、服务方案（设备配备方案、物业管理制度、人员培训管理方案、人员配备方案、应急预案）等；</w:t>
      </w:r>
    </w:p>
    <w:p w14:paraId="04ED81EC">
      <w:pPr>
        <w:pStyle w:val="4"/>
        <w:keepNext/>
        <w:keepLines/>
        <w:numPr>
          <w:ilvl w:val="0"/>
          <w:numId w:val="0"/>
        </w:numPr>
        <w:kinsoku w:val="0"/>
        <w:autoSpaceDE w:val="0"/>
        <w:autoSpaceDN w:val="0"/>
        <w:adjustRightInd w:val="0"/>
        <w:snapToGrid w:val="0"/>
        <w:spacing w:line="360" w:lineRule="auto"/>
        <w:jc w:val="left"/>
        <w:textAlignment w:val="baseline"/>
        <w:outlineLvl w:val="1"/>
        <w:rPr>
          <w:rFonts w:hint="eastAsia"/>
        </w:rPr>
      </w:pPr>
    </w:p>
    <w:p w14:paraId="399DA3E5">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14:paraId="58462747">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商务偏差表</w:t>
      </w:r>
    </w:p>
    <w:p w14:paraId="6719C84E">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14:paraId="5B0A2F2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2721"/>
        <w:gridCol w:w="2250"/>
        <w:gridCol w:w="1275"/>
      </w:tblGrid>
      <w:tr w14:paraId="0531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1D8D9B4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6D28370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lang w:eastAsia="zh-CN"/>
              </w:rPr>
              <w:t>文件</w:t>
            </w:r>
          </w:p>
          <w:p w14:paraId="70312F0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2721" w:type="dxa"/>
            <w:tcBorders>
              <w:top w:val="single" w:color="auto" w:sz="4" w:space="0"/>
              <w:left w:val="single" w:color="auto" w:sz="4" w:space="0"/>
              <w:bottom w:val="single" w:color="auto" w:sz="4" w:space="0"/>
              <w:right w:val="single" w:color="auto" w:sz="4" w:space="0"/>
            </w:tcBorders>
            <w:noWrap w:val="0"/>
            <w:vAlign w:val="bottom"/>
          </w:tcPr>
          <w:p w14:paraId="105CCA4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w:t>
            </w:r>
          </w:p>
          <w:p w14:paraId="4E55F4A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44E6A55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4AF307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6C6B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BFF8D2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C68900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721" w:type="dxa"/>
            <w:tcBorders>
              <w:top w:val="single" w:color="auto" w:sz="4" w:space="0"/>
              <w:left w:val="single" w:color="auto" w:sz="4" w:space="0"/>
              <w:bottom w:val="single" w:color="auto" w:sz="4" w:space="0"/>
              <w:right w:val="single" w:color="auto" w:sz="4" w:space="0"/>
            </w:tcBorders>
            <w:noWrap w:val="0"/>
            <w:vAlign w:val="top"/>
          </w:tcPr>
          <w:p w14:paraId="123076B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noWrap w:val="0"/>
            <w:vAlign w:val="top"/>
          </w:tcPr>
          <w:p w14:paraId="17BB404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1C1F99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133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4C49992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249749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721" w:type="dxa"/>
            <w:tcBorders>
              <w:top w:val="single" w:color="auto" w:sz="4" w:space="0"/>
              <w:left w:val="single" w:color="auto" w:sz="4" w:space="0"/>
              <w:bottom w:val="single" w:color="auto" w:sz="4" w:space="0"/>
              <w:right w:val="single" w:color="auto" w:sz="4" w:space="0"/>
            </w:tcBorders>
            <w:noWrap w:val="0"/>
            <w:vAlign w:val="top"/>
          </w:tcPr>
          <w:p w14:paraId="29A931D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noWrap w:val="0"/>
            <w:vAlign w:val="top"/>
          </w:tcPr>
          <w:p w14:paraId="271C9BF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B95059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BC5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4C629E1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475E23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721" w:type="dxa"/>
            <w:tcBorders>
              <w:top w:val="single" w:color="auto" w:sz="4" w:space="0"/>
              <w:left w:val="single" w:color="auto" w:sz="4" w:space="0"/>
              <w:bottom w:val="single" w:color="auto" w:sz="4" w:space="0"/>
              <w:right w:val="single" w:color="auto" w:sz="4" w:space="0"/>
            </w:tcBorders>
            <w:noWrap w:val="0"/>
            <w:vAlign w:val="top"/>
          </w:tcPr>
          <w:p w14:paraId="6372F80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noWrap w:val="0"/>
            <w:vAlign w:val="top"/>
          </w:tcPr>
          <w:p w14:paraId="405F402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1CA68C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A97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EC07EA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398C8E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721" w:type="dxa"/>
            <w:tcBorders>
              <w:top w:val="single" w:color="auto" w:sz="4" w:space="0"/>
              <w:left w:val="single" w:color="auto" w:sz="4" w:space="0"/>
              <w:bottom w:val="single" w:color="auto" w:sz="4" w:space="0"/>
              <w:right w:val="single" w:color="auto" w:sz="4" w:space="0"/>
            </w:tcBorders>
            <w:noWrap w:val="0"/>
            <w:vAlign w:val="top"/>
          </w:tcPr>
          <w:p w14:paraId="1D0A4FA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noWrap w:val="0"/>
            <w:vAlign w:val="top"/>
          </w:tcPr>
          <w:p w14:paraId="7675AC9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8AB061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2A4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A9803B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8EB31F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721" w:type="dxa"/>
            <w:tcBorders>
              <w:top w:val="single" w:color="auto" w:sz="4" w:space="0"/>
              <w:left w:val="single" w:color="auto" w:sz="4" w:space="0"/>
              <w:bottom w:val="single" w:color="auto" w:sz="4" w:space="0"/>
              <w:right w:val="single" w:color="auto" w:sz="4" w:space="0"/>
            </w:tcBorders>
            <w:noWrap w:val="0"/>
            <w:vAlign w:val="top"/>
          </w:tcPr>
          <w:p w14:paraId="614C529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noWrap w:val="0"/>
            <w:vAlign w:val="top"/>
          </w:tcPr>
          <w:p w14:paraId="2CE94D4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F03603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71E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E0CCBD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E2580A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721" w:type="dxa"/>
            <w:tcBorders>
              <w:top w:val="single" w:color="auto" w:sz="4" w:space="0"/>
              <w:left w:val="single" w:color="auto" w:sz="4" w:space="0"/>
              <w:bottom w:val="single" w:color="auto" w:sz="4" w:space="0"/>
              <w:right w:val="single" w:color="auto" w:sz="4" w:space="0"/>
            </w:tcBorders>
            <w:noWrap w:val="0"/>
            <w:vAlign w:val="top"/>
          </w:tcPr>
          <w:p w14:paraId="5FEA1F5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noWrap w:val="0"/>
            <w:vAlign w:val="top"/>
          </w:tcPr>
          <w:p w14:paraId="22A78A7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2B6506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2EF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E67665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8DB2DE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721" w:type="dxa"/>
            <w:tcBorders>
              <w:top w:val="single" w:color="auto" w:sz="4" w:space="0"/>
              <w:left w:val="single" w:color="auto" w:sz="4" w:space="0"/>
              <w:bottom w:val="single" w:color="auto" w:sz="4" w:space="0"/>
              <w:right w:val="single" w:color="auto" w:sz="4" w:space="0"/>
            </w:tcBorders>
            <w:noWrap w:val="0"/>
            <w:vAlign w:val="top"/>
          </w:tcPr>
          <w:p w14:paraId="3BE9F78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noWrap w:val="0"/>
            <w:vAlign w:val="top"/>
          </w:tcPr>
          <w:p w14:paraId="28E1221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EC89CC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425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FC0CE2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CDECF5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721" w:type="dxa"/>
            <w:tcBorders>
              <w:top w:val="single" w:color="auto" w:sz="4" w:space="0"/>
              <w:left w:val="single" w:color="auto" w:sz="4" w:space="0"/>
              <w:bottom w:val="single" w:color="auto" w:sz="4" w:space="0"/>
              <w:right w:val="single" w:color="auto" w:sz="4" w:space="0"/>
            </w:tcBorders>
            <w:noWrap w:val="0"/>
            <w:vAlign w:val="top"/>
          </w:tcPr>
          <w:p w14:paraId="1B4366C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noWrap w:val="0"/>
            <w:vAlign w:val="top"/>
          </w:tcPr>
          <w:p w14:paraId="08FE046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D32E7D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947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8A894F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1C5F1E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721" w:type="dxa"/>
            <w:tcBorders>
              <w:top w:val="single" w:color="auto" w:sz="4" w:space="0"/>
              <w:left w:val="single" w:color="auto" w:sz="4" w:space="0"/>
              <w:bottom w:val="single" w:color="auto" w:sz="4" w:space="0"/>
              <w:right w:val="single" w:color="auto" w:sz="4" w:space="0"/>
            </w:tcBorders>
            <w:noWrap w:val="0"/>
            <w:vAlign w:val="top"/>
          </w:tcPr>
          <w:p w14:paraId="41CD12C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noWrap w:val="0"/>
            <w:vAlign w:val="top"/>
          </w:tcPr>
          <w:p w14:paraId="0DC3C63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777C2B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12C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3B426F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F46D1C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721" w:type="dxa"/>
            <w:tcBorders>
              <w:top w:val="single" w:color="auto" w:sz="4" w:space="0"/>
              <w:left w:val="single" w:color="auto" w:sz="4" w:space="0"/>
              <w:bottom w:val="single" w:color="auto" w:sz="4" w:space="0"/>
              <w:right w:val="single" w:color="auto" w:sz="4" w:space="0"/>
            </w:tcBorders>
            <w:noWrap w:val="0"/>
            <w:vAlign w:val="top"/>
          </w:tcPr>
          <w:p w14:paraId="3D9140D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noWrap w:val="0"/>
            <w:vAlign w:val="top"/>
          </w:tcPr>
          <w:p w14:paraId="2DBB3AD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28AA16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1516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222E3D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26143E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721" w:type="dxa"/>
            <w:tcBorders>
              <w:top w:val="single" w:color="auto" w:sz="4" w:space="0"/>
              <w:left w:val="single" w:color="auto" w:sz="4" w:space="0"/>
              <w:bottom w:val="single" w:color="auto" w:sz="4" w:space="0"/>
              <w:right w:val="single" w:color="auto" w:sz="4" w:space="0"/>
            </w:tcBorders>
            <w:noWrap w:val="0"/>
            <w:vAlign w:val="top"/>
          </w:tcPr>
          <w:p w14:paraId="32390D3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noWrap w:val="0"/>
            <w:vAlign w:val="top"/>
          </w:tcPr>
          <w:p w14:paraId="5041D5E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8BBB59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4A193C3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bCs/>
          <w:spacing w:val="2"/>
          <w:sz w:val="24"/>
          <w:szCs w:val="24"/>
        </w:rPr>
        <w:t>供应商</w:t>
      </w:r>
      <w:r>
        <w:rPr>
          <w:rFonts w:hint="eastAsia" w:asciiTheme="minorEastAsia" w:hAnsiTheme="minorEastAsia" w:eastAsiaTheme="minorEastAsia" w:cstheme="minorEastAsia"/>
          <w:b/>
          <w:sz w:val="24"/>
          <w:szCs w:val="24"/>
          <w:lang w:eastAsia="zh-CN"/>
        </w:rPr>
        <w:t>（公章）：法定代表人（负责人）或授权代表（签字）：</w:t>
      </w:r>
    </w:p>
    <w:p w14:paraId="219E4E37">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rPr>
        <w:sectPr>
          <w:headerReference r:id="rId14" w:type="default"/>
          <w:footerReference r:id="rId15" w:type="default"/>
          <w:pgSz w:w="11907" w:h="16840"/>
          <w:pgMar w:top="1440" w:right="1800" w:bottom="1440" w:left="1800" w:header="851" w:footer="992" w:gutter="0"/>
          <w:pgNumType w:fmt="decimal"/>
          <w:cols w:space="720" w:num="1"/>
          <w:docGrid w:linePitch="332" w:charSpace="0"/>
        </w:sect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5AC594CC">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0F6FFF7">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六、供应商诚信承诺书</w:t>
      </w:r>
    </w:p>
    <w:p w14:paraId="6C4A92A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p>
    <w:p w14:paraId="78C55F7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t>诚信承诺书</w:t>
      </w:r>
    </w:p>
    <w:p w14:paraId="2D404AFC">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5CCBA87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39644BA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w:t>
      </w:r>
      <w:r>
        <w:rPr>
          <w:rFonts w:hint="eastAsia" w:asciiTheme="minorEastAsia" w:hAnsiTheme="minorEastAsia" w:eastAsiaTheme="minorEastAsia" w:cstheme="minorEastAsia"/>
          <w:b w:val="0"/>
          <w:bCs w:val="0"/>
          <w:sz w:val="24"/>
          <w:szCs w:val="24"/>
          <w:lang w:val="en-US" w:eastAsia="zh-CN"/>
        </w:rPr>
        <w:t>采购</w:t>
      </w:r>
      <w:r>
        <w:rPr>
          <w:rFonts w:hint="eastAsia" w:asciiTheme="minorEastAsia" w:hAnsiTheme="minorEastAsia" w:eastAsiaTheme="minorEastAsia" w:cstheme="minorEastAsia"/>
          <w:b w:val="0"/>
          <w:bCs w:val="0"/>
          <w:sz w:val="24"/>
          <w:szCs w:val="24"/>
          <w:lang w:eastAsia="zh-CN"/>
        </w:rPr>
        <w:t>在电子</w:t>
      </w:r>
      <w:r>
        <w:rPr>
          <w:rFonts w:hint="eastAsia" w:asciiTheme="minorEastAsia" w:hAnsiTheme="minorEastAsia" w:eastAsiaTheme="minorEastAsia" w:cstheme="minorEastAsia"/>
          <w:b w:val="0"/>
          <w:bCs w:val="0"/>
          <w:sz w:val="24"/>
          <w:szCs w:val="24"/>
          <w:lang w:val="en-US" w:eastAsia="zh-CN"/>
        </w:rPr>
        <w:t>响应</w:t>
      </w:r>
      <w:r>
        <w:rPr>
          <w:rFonts w:hint="eastAsia" w:asciiTheme="minorEastAsia" w:hAnsiTheme="minorEastAsia" w:eastAsiaTheme="minorEastAsia" w:cstheme="minorEastAsia"/>
          <w:b w:val="0"/>
          <w:bCs w:val="0"/>
          <w:sz w:val="24"/>
          <w:szCs w:val="24"/>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74E794D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7D855D4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3B0C4647">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448D89C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承诺人法定地址：</w:t>
      </w:r>
    </w:p>
    <w:p w14:paraId="05E1964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授权代表（签字或盖章）：</w:t>
      </w:r>
    </w:p>
    <w:p w14:paraId="15B649C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电话：</w:t>
      </w:r>
    </w:p>
    <w:p w14:paraId="1D2085F1">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6E56921">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57C4A7F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233520F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BA0E8B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1969A7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0F0378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8FE68B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129577B8">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2A088C4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759CA14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18351E5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七、供应商认为需要的其他文件资料</w:t>
      </w:r>
    </w:p>
    <w:p w14:paraId="7A6E657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5FEAB04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t>中小企业声明函（服务）格式</w:t>
      </w:r>
    </w:p>
    <w:p w14:paraId="1F40B51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3645AC2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14:paraId="743D6C2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14:paraId="16630B9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（中型企业、小型企业、微型企业</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p>
    <w:p w14:paraId="0F6AA52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p>
    <w:p w14:paraId="59B59A2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6394342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01185FA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为大企业的情形，也不</w:t>
      </w:r>
    </w:p>
    <w:p w14:paraId="75F829F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存在与大企业的负责人为同一人的情形。</w:t>
      </w:r>
    </w:p>
    <w:p w14:paraId="31D9CC9B">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14:paraId="7C31DB7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698D08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6536F0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14:paraId="1C238BBD">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3F7083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lang w:val="en-US" w:eastAsia="zh-CN"/>
        </w:rPr>
      </w:pPr>
    </w:p>
    <w:p w14:paraId="5487039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14:paraId="45EE644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0DF890E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残疾人福利性单位声明函格式</w:t>
      </w:r>
    </w:p>
    <w:p w14:paraId="5742DFE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6085C1C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35BCD4C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0F35E6C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8"/>
          <w:sz w:val="24"/>
          <w:szCs w:val="24"/>
        </w:rPr>
        <w:t xml:space="preserve"> </w:t>
      </w:r>
      <w:r>
        <w:rPr>
          <w:rFonts w:hint="eastAsia" w:asciiTheme="minorEastAsia" w:hAnsiTheme="minorEastAsia" w:eastAsiaTheme="minorEastAsia" w:cstheme="minorEastAsia"/>
          <w:spacing w:val="10"/>
          <w:sz w:val="24"/>
          <w:szCs w:val="24"/>
        </w:rPr>
        <w:t>单位的</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10"/>
          <w:sz w:val="24"/>
          <w:szCs w:val="24"/>
        </w:rPr>
        <w:t>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31593E4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57D64A0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640777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EF2D7D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6343BEAD">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A4418B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rPr>
      </w:pPr>
    </w:p>
    <w:p w14:paraId="408F374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5220625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07C257E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2CF4248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4063EF9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6A72E9E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12B4E22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0CAF040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64660A0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6F8C477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62B813B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1AF55FA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5DEC9F0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0C11522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3DB2A307">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3B248661">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5894D4D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E69D81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p>
    <w:p w14:paraId="1F37821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eastAsia="zh-CN"/>
        </w:rPr>
      </w:pPr>
    </w:p>
    <w:p w14:paraId="7F6041D8">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eastAsia="zh-CN"/>
        </w:rPr>
      </w:pPr>
    </w:p>
    <w:p w14:paraId="35843DB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zh-CN" w:eastAsia="zh-CN"/>
        </w:rPr>
      </w:pPr>
    </w:p>
    <w:p w14:paraId="75A112C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zh-CN" w:eastAsia="zh-CN"/>
        </w:rPr>
      </w:pPr>
    </w:p>
    <w:p w14:paraId="198AC34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44A64D1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3ABD85E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4EE6866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2E13ED6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4B922F7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0EC68D2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68"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en-US" w:bidi="ar-SA"/>
        </w:rPr>
      </w:pPr>
    </w:p>
    <w:sectPr>
      <w:headerReference r:id="rId16" w:type="default"/>
      <w:footerReference r:id="rId17"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Arial Unicode MS">
    <w:altName w:val="Arial"/>
    <w:panose1 w:val="00000000000000000000"/>
    <w:charset w:val="00"/>
    <w:family w:val="auto"/>
    <w:pitch w:val="default"/>
    <w:sig w:usb0="00000000" w:usb1="00000000" w:usb2="00000000" w:usb3="00000000" w:csb0="0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2A420">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3C4CB">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C13C4CB">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241D2">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4CB1FE">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A4CB1FE">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DFE82">
                          <w:pPr>
                            <w:pStyle w:val="9"/>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60288;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goR2GDMCAABj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6vsSv1QAAAAgBAAAPAAAAAAAAAAEAIAAAACIAAABkcnMvZG93bnJldi54bWxQ&#10;SwECFAAUAAAACACHTuJAgoR2GDMCAABjBAAADgAAAAAAAAABACAAAAAkAQAAZHJzL2Uyb0RvYy54&#10;bWxQSwUGAAAAAAYABgBZAQAAyQUAAAAA&#10;">
              <v:fill on="f" focussize="0,0"/>
              <v:stroke on="f" weight="0.5pt"/>
              <v:imagedata o:title=""/>
              <o:lock v:ext="edit" aspectratio="f"/>
              <v:textbox inset="0mm,0mm,0mm,0mm" style="mso-fit-shape-to-text:t;">
                <w:txbxContent>
                  <w:p w14:paraId="37DDFE82">
                    <w:pPr>
                      <w:pStyle w:val="9"/>
                      <w:rPr>
                        <w:rFonts w:hint="eastAsia"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985DB">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8571F">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F18571F">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F86A4">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D7BDD">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2D7BDD">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97A1E">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663CC">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DB663CC">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04C5F">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5AECE">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EE5AECE">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97F42">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BFD11">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D46FC">
    <w:pPr>
      <w:pStyle w:val="1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3D4C0">
    <w:pPr>
      <w:pStyle w:val="1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DEC8C">
    <w:pPr>
      <w:pStyle w:val="10"/>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07585">
    <w:pPr>
      <w:pStyle w:val="10"/>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2CFED">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E45B6"/>
    <w:multiLevelType w:val="singleLevel"/>
    <w:tmpl w:val="8C4E45B6"/>
    <w:lvl w:ilvl="0" w:tentative="0">
      <w:start w:val="3"/>
      <w:numFmt w:val="decimal"/>
      <w:suff w:val="nothing"/>
      <w:lvlText w:val="%1、"/>
      <w:lvlJc w:val="left"/>
    </w:lvl>
  </w:abstractNum>
  <w:abstractNum w:abstractNumId="1">
    <w:nsid w:val="6643FA8D"/>
    <w:multiLevelType w:val="singleLevel"/>
    <w:tmpl w:val="6643FA8D"/>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U5ODFjOGEyNWRlYTNkMjA0OTNkYmM2YTBlNjc3YTEifQ=="/>
  </w:docVars>
  <w:rsids>
    <w:rsidRoot w:val="00000000"/>
    <w:rsid w:val="02980B47"/>
    <w:rsid w:val="0304627B"/>
    <w:rsid w:val="03F005BF"/>
    <w:rsid w:val="049308F0"/>
    <w:rsid w:val="05C82C12"/>
    <w:rsid w:val="064B2778"/>
    <w:rsid w:val="06731CDB"/>
    <w:rsid w:val="06BD7DF4"/>
    <w:rsid w:val="08743EB7"/>
    <w:rsid w:val="08896F10"/>
    <w:rsid w:val="08DF64FD"/>
    <w:rsid w:val="08F17FDE"/>
    <w:rsid w:val="09420839"/>
    <w:rsid w:val="095962AF"/>
    <w:rsid w:val="09A84B40"/>
    <w:rsid w:val="09A960A9"/>
    <w:rsid w:val="0A2175C7"/>
    <w:rsid w:val="0A4E3858"/>
    <w:rsid w:val="0A530F50"/>
    <w:rsid w:val="0A7D7363"/>
    <w:rsid w:val="0ADC6029"/>
    <w:rsid w:val="0BA47589"/>
    <w:rsid w:val="0C152235"/>
    <w:rsid w:val="0C205528"/>
    <w:rsid w:val="0C272EF4"/>
    <w:rsid w:val="0C450913"/>
    <w:rsid w:val="0CF167FE"/>
    <w:rsid w:val="0E3E7CBD"/>
    <w:rsid w:val="0EB9334C"/>
    <w:rsid w:val="0EE83C0B"/>
    <w:rsid w:val="0F130CAE"/>
    <w:rsid w:val="0FF95996"/>
    <w:rsid w:val="0FFF7484"/>
    <w:rsid w:val="10832DEB"/>
    <w:rsid w:val="11E54B27"/>
    <w:rsid w:val="11F10D0E"/>
    <w:rsid w:val="120B59A8"/>
    <w:rsid w:val="13504EE3"/>
    <w:rsid w:val="13D318D3"/>
    <w:rsid w:val="14184102"/>
    <w:rsid w:val="146A4EE4"/>
    <w:rsid w:val="147A2410"/>
    <w:rsid w:val="14B05372"/>
    <w:rsid w:val="156F62EF"/>
    <w:rsid w:val="15C27640"/>
    <w:rsid w:val="16655340"/>
    <w:rsid w:val="16882EF5"/>
    <w:rsid w:val="16FD3ABE"/>
    <w:rsid w:val="172F0E42"/>
    <w:rsid w:val="18277578"/>
    <w:rsid w:val="196A0814"/>
    <w:rsid w:val="19B27315"/>
    <w:rsid w:val="1BAF1D5E"/>
    <w:rsid w:val="1BFF6021"/>
    <w:rsid w:val="1C036D62"/>
    <w:rsid w:val="1C587110"/>
    <w:rsid w:val="1CB05D8E"/>
    <w:rsid w:val="1CC05665"/>
    <w:rsid w:val="1D7F2147"/>
    <w:rsid w:val="1D996CC8"/>
    <w:rsid w:val="1DA01659"/>
    <w:rsid w:val="1E6454A8"/>
    <w:rsid w:val="1F1620F4"/>
    <w:rsid w:val="1FCD677B"/>
    <w:rsid w:val="1FCF1E87"/>
    <w:rsid w:val="1FDF698A"/>
    <w:rsid w:val="208E4164"/>
    <w:rsid w:val="21A07893"/>
    <w:rsid w:val="23554AEF"/>
    <w:rsid w:val="23645F64"/>
    <w:rsid w:val="23F5677C"/>
    <w:rsid w:val="23FB5E39"/>
    <w:rsid w:val="244A2A1D"/>
    <w:rsid w:val="2564491D"/>
    <w:rsid w:val="25B83A87"/>
    <w:rsid w:val="266463E7"/>
    <w:rsid w:val="26E9311B"/>
    <w:rsid w:val="27DB3EDB"/>
    <w:rsid w:val="28032F0B"/>
    <w:rsid w:val="2879797C"/>
    <w:rsid w:val="2A3D0E7D"/>
    <w:rsid w:val="2A924A38"/>
    <w:rsid w:val="2AE32E31"/>
    <w:rsid w:val="2CD208B5"/>
    <w:rsid w:val="2D0637A8"/>
    <w:rsid w:val="2E6C7ED8"/>
    <w:rsid w:val="2E734E6D"/>
    <w:rsid w:val="2EA57FA1"/>
    <w:rsid w:val="2EF243BC"/>
    <w:rsid w:val="2F884949"/>
    <w:rsid w:val="30EF0857"/>
    <w:rsid w:val="3140197F"/>
    <w:rsid w:val="31E05F1C"/>
    <w:rsid w:val="320C16C0"/>
    <w:rsid w:val="32672625"/>
    <w:rsid w:val="32831B16"/>
    <w:rsid w:val="32E93950"/>
    <w:rsid w:val="32F6583E"/>
    <w:rsid w:val="333A48FA"/>
    <w:rsid w:val="334A1323"/>
    <w:rsid w:val="33D92F7A"/>
    <w:rsid w:val="348E47AF"/>
    <w:rsid w:val="34B2130C"/>
    <w:rsid w:val="34BD6E42"/>
    <w:rsid w:val="350E12EA"/>
    <w:rsid w:val="354173ED"/>
    <w:rsid w:val="355552CD"/>
    <w:rsid w:val="35992C99"/>
    <w:rsid w:val="360F3354"/>
    <w:rsid w:val="373D426B"/>
    <w:rsid w:val="37BD0585"/>
    <w:rsid w:val="37CA6352"/>
    <w:rsid w:val="38533A18"/>
    <w:rsid w:val="396226AE"/>
    <w:rsid w:val="3AB900AC"/>
    <w:rsid w:val="3B223EA3"/>
    <w:rsid w:val="3B6F718F"/>
    <w:rsid w:val="3BAF7174"/>
    <w:rsid w:val="3C2459F9"/>
    <w:rsid w:val="3CA32DC2"/>
    <w:rsid w:val="3D660BE0"/>
    <w:rsid w:val="3EB41E07"/>
    <w:rsid w:val="3FD339BE"/>
    <w:rsid w:val="413C5593"/>
    <w:rsid w:val="41F66AB4"/>
    <w:rsid w:val="43D372D6"/>
    <w:rsid w:val="44B74AB0"/>
    <w:rsid w:val="44C27AD5"/>
    <w:rsid w:val="45300AE7"/>
    <w:rsid w:val="4594599D"/>
    <w:rsid w:val="46160E9E"/>
    <w:rsid w:val="463F4C16"/>
    <w:rsid w:val="46832AB5"/>
    <w:rsid w:val="46942B8F"/>
    <w:rsid w:val="487675DC"/>
    <w:rsid w:val="48CE657F"/>
    <w:rsid w:val="498A3D49"/>
    <w:rsid w:val="4A471230"/>
    <w:rsid w:val="4BBB7B8C"/>
    <w:rsid w:val="4CB97E79"/>
    <w:rsid w:val="4CBA2C7D"/>
    <w:rsid w:val="4CDB2104"/>
    <w:rsid w:val="4E5C03B2"/>
    <w:rsid w:val="4F652159"/>
    <w:rsid w:val="4FA36E2B"/>
    <w:rsid w:val="50CD1D3A"/>
    <w:rsid w:val="50DF62FA"/>
    <w:rsid w:val="514A7858"/>
    <w:rsid w:val="538452A3"/>
    <w:rsid w:val="53A25729"/>
    <w:rsid w:val="554A067A"/>
    <w:rsid w:val="562B2D19"/>
    <w:rsid w:val="566F2249"/>
    <w:rsid w:val="571C70F4"/>
    <w:rsid w:val="578C1E3F"/>
    <w:rsid w:val="58122B18"/>
    <w:rsid w:val="582157B7"/>
    <w:rsid w:val="583737A8"/>
    <w:rsid w:val="59791FCF"/>
    <w:rsid w:val="59C70462"/>
    <w:rsid w:val="5A8776E3"/>
    <w:rsid w:val="5B942EAB"/>
    <w:rsid w:val="5BFB1656"/>
    <w:rsid w:val="5C2A2760"/>
    <w:rsid w:val="5C805C3A"/>
    <w:rsid w:val="5CED210B"/>
    <w:rsid w:val="5DD33159"/>
    <w:rsid w:val="5E401EE1"/>
    <w:rsid w:val="5E862024"/>
    <w:rsid w:val="5EB5606A"/>
    <w:rsid w:val="5FE54AEF"/>
    <w:rsid w:val="5FE62E42"/>
    <w:rsid w:val="604F0C94"/>
    <w:rsid w:val="60811390"/>
    <w:rsid w:val="60E905BC"/>
    <w:rsid w:val="611C486A"/>
    <w:rsid w:val="612C3317"/>
    <w:rsid w:val="613320B7"/>
    <w:rsid w:val="64B4350F"/>
    <w:rsid w:val="64C17C5F"/>
    <w:rsid w:val="64E32222"/>
    <w:rsid w:val="660C0310"/>
    <w:rsid w:val="674A54CB"/>
    <w:rsid w:val="68324E76"/>
    <w:rsid w:val="68740EAF"/>
    <w:rsid w:val="691A37DC"/>
    <w:rsid w:val="695F7E2D"/>
    <w:rsid w:val="6A443604"/>
    <w:rsid w:val="6ACC2E0B"/>
    <w:rsid w:val="6B6B37C9"/>
    <w:rsid w:val="6B9F656F"/>
    <w:rsid w:val="6DAF0580"/>
    <w:rsid w:val="6DD02520"/>
    <w:rsid w:val="6DE17F47"/>
    <w:rsid w:val="6E1128F7"/>
    <w:rsid w:val="6E6B7F83"/>
    <w:rsid w:val="6EA77C40"/>
    <w:rsid w:val="6EE2110B"/>
    <w:rsid w:val="70411D13"/>
    <w:rsid w:val="718B602C"/>
    <w:rsid w:val="7222612A"/>
    <w:rsid w:val="727D45B0"/>
    <w:rsid w:val="727F5D14"/>
    <w:rsid w:val="728C1627"/>
    <w:rsid w:val="72D8486C"/>
    <w:rsid w:val="74143D3D"/>
    <w:rsid w:val="7571756C"/>
    <w:rsid w:val="75EA0EAB"/>
    <w:rsid w:val="76102BC1"/>
    <w:rsid w:val="768D73E4"/>
    <w:rsid w:val="778B45A3"/>
    <w:rsid w:val="77AC443F"/>
    <w:rsid w:val="786749F3"/>
    <w:rsid w:val="78F607B2"/>
    <w:rsid w:val="79A15AC2"/>
    <w:rsid w:val="7B1B79EC"/>
    <w:rsid w:val="7B537186"/>
    <w:rsid w:val="7BC4564E"/>
    <w:rsid w:val="7BC65611"/>
    <w:rsid w:val="7C2C76E7"/>
    <w:rsid w:val="7DAB214F"/>
    <w:rsid w:val="7DC51E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paragraph" w:styleId="5">
    <w:name w:val="heading 3"/>
    <w:basedOn w:val="1"/>
    <w:next w:val="1"/>
    <w:unhideWhenUsed/>
    <w:qFormat/>
    <w:uiPriority w:val="0"/>
    <w:pPr>
      <w:widowControl/>
      <w:autoSpaceDE w:val="0"/>
      <w:autoSpaceDN w:val="0"/>
      <w:snapToGrid w:val="0"/>
      <w:spacing w:line="300" w:lineRule="auto"/>
      <w:ind w:firstLine="200" w:firstLineChars="200"/>
      <w:outlineLvl w:val="2"/>
    </w:pPr>
    <w:rPr>
      <w:rFonts w:ascii="Calibri" w:hAnsi="Calibri"/>
      <w:b/>
      <w:szCs w:val="20"/>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rFonts w:ascii="宋体" w:hAnsi="宋体" w:eastAsia="宋体" w:cs="宋体"/>
      <w:sz w:val="31"/>
      <w:szCs w:val="31"/>
      <w:lang w:val="en-US" w:eastAsia="en-US" w:bidi="ar-SA"/>
    </w:rPr>
  </w:style>
  <w:style w:type="paragraph" w:customStyle="1" w:styleId="3">
    <w:name w:val="Default"/>
    <w:next w:val="1"/>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styleId="6">
    <w:name w:val="annotation text"/>
    <w:basedOn w:val="1"/>
    <w:autoRedefine/>
    <w:qFormat/>
    <w:uiPriority w:val="0"/>
    <w:pPr>
      <w:jc w:val="left"/>
    </w:pPr>
  </w:style>
  <w:style w:type="paragraph" w:styleId="7">
    <w:name w:val="Body Text Indent"/>
    <w:basedOn w:val="1"/>
    <w:autoRedefine/>
    <w:qFormat/>
    <w:uiPriority w:val="0"/>
    <w:pPr>
      <w:tabs>
        <w:tab w:val="left" w:pos="0"/>
      </w:tabs>
      <w:ind w:firstLine="538" w:firstLineChars="192"/>
    </w:pPr>
    <w:rPr>
      <w:rFonts w:ascii="Tahoma" w:hAnsi="Tahoma"/>
      <w:kern w:val="2"/>
      <w:sz w:val="28"/>
      <w:szCs w:val="24"/>
    </w:rPr>
  </w:style>
  <w:style w:type="paragraph" w:styleId="8">
    <w:name w:val="Plain Text"/>
    <w:basedOn w:val="1"/>
    <w:qFormat/>
    <w:uiPriority w:val="0"/>
    <w:rPr>
      <w:rFonts w:ascii="宋体" w:hAnsi="Courier New" w:cs="Courier New"/>
      <w:szCs w:val="21"/>
    </w:rPr>
  </w:style>
  <w:style w:type="paragraph" w:styleId="9">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1">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2">
    <w:name w:val="Normal (Web)"/>
    <w:basedOn w:val="1"/>
    <w:qFormat/>
    <w:uiPriority w:val="0"/>
    <w:pPr>
      <w:spacing w:before="100" w:beforeLines="0" w:beforeAutospacing="1" w:after="100" w:afterLines="0" w:afterAutospacing="1"/>
    </w:pPr>
    <w:rPr>
      <w:rFonts w:ascii="宋体" w:hAnsi="宋体" w:cs="宋体"/>
      <w:sz w:val="18"/>
      <w:szCs w:val="18"/>
    </w:rPr>
  </w:style>
  <w:style w:type="paragraph" w:styleId="13">
    <w:name w:val="Body Text First Indent 2"/>
    <w:basedOn w:val="7"/>
    <w:next w:val="1"/>
    <w:autoRedefine/>
    <w:unhideWhenUsed/>
    <w:qFormat/>
    <w:uiPriority w:val="99"/>
    <w:pPr>
      <w:spacing w:after="120"/>
      <w:ind w:left="420" w:leftChars="200" w:firstLine="420" w:firstLineChars="200"/>
    </w:pPr>
    <w:rPr>
      <w:rFonts w:ascii="宋体" w:hAnsi="Courier New"/>
      <w:spacing w:val="-4"/>
      <w:kern w:val="2"/>
      <w:sz w:val="2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8">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Table Text"/>
    <w:basedOn w:val="1"/>
    <w:autoRedefine/>
    <w:semiHidden/>
    <w:qFormat/>
    <w:uiPriority w:val="0"/>
    <w:rPr>
      <w:rFonts w:ascii="Arial" w:hAnsi="Arial" w:eastAsia="Arial" w:cs="Arial"/>
      <w:sz w:val="21"/>
      <w:szCs w:val="21"/>
      <w:lang w:val="en-US" w:eastAsia="en-US" w:bidi="ar-SA"/>
    </w:rPr>
  </w:style>
  <w:style w:type="paragraph" w:customStyle="1" w:styleId="21">
    <w:name w:val="列出段落1"/>
    <w:basedOn w:val="1"/>
    <w:autoRedefine/>
    <w:qFormat/>
    <w:uiPriority w:val="0"/>
    <w:pPr>
      <w:ind w:firstLine="420" w:firstLineChars="200"/>
    </w:pPr>
    <w:rPr>
      <w:szCs w:val="21"/>
    </w:rPr>
  </w:style>
  <w:style w:type="paragraph" w:customStyle="1" w:styleId="22">
    <w:name w:val="Char Char Char Char Char Char1 Char"/>
    <w:basedOn w:val="1"/>
    <w:qFormat/>
    <w:uiPriority w:val="0"/>
    <w:rPr>
      <w:rFonts w:ascii="Tahoma" w:hAnsi="Tahoma"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4021</Words>
  <Characters>4424</Characters>
  <TotalTime>21</TotalTime>
  <ScaleCrop>false</ScaleCrop>
  <LinksUpToDate>false</LinksUpToDate>
  <CharactersWithSpaces>4575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NTKO</cp:lastModifiedBy>
  <dcterms:modified xsi:type="dcterms:W3CDTF">2025-05-13T08:14:07Z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2052-12.1.0.20784</vt:lpwstr>
  </property>
  <property fmtid="{D5CDD505-2E9C-101B-9397-08002B2CF9AE}" pid="5" name="ICV">
    <vt:lpwstr>B634702423484C159F4472E5A4FBD5D3_13</vt:lpwstr>
  </property>
  <property fmtid="{D5CDD505-2E9C-101B-9397-08002B2CF9AE}" pid="6" name="KSOTemplateDocerSaveRecord">
    <vt:lpwstr>eyJoZGlkIjoiZDU5ODFjOGEyNWRlYTNkMjA0OTNkYmM2YTBlNjc3YTEiLCJ1c2VySWQiOiIyMjkzOTExMjkifQ==</vt:lpwstr>
  </property>
</Properties>
</file>