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D623">
      <w:pPr>
        <w:wordWrap w:val="0"/>
        <w:spacing w:before="0" w:after="0" w:line="280" w:lineRule="atLeast"/>
        <w:ind w:left="0" w:right="0" w:firstLine="723" w:firstLineChars="200"/>
        <w:jc w:val="both"/>
        <w:textAlignment w:val="baseline"/>
        <w:rPr>
          <w:rFonts w:hint="eastAsia" w:ascii="宋体" w:hAnsi="宋体" w:eastAsia="宋体" w:cs="宋体"/>
          <w:b/>
          <w:bCs/>
          <w:i w:val="0"/>
          <w:color w:val="000000"/>
          <w:spacing w:val="0"/>
          <w:sz w:val="36"/>
          <w:szCs w:val="36"/>
        </w:rPr>
      </w:pPr>
      <w:r>
        <w:rPr>
          <w:rFonts w:hint="eastAsia" w:ascii="宋体" w:hAnsi="宋体" w:eastAsia="宋体" w:cs="宋体"/>
          <w:b/>
          <w:bCs/>
          <w:i w:val="0"/>
          <w:color w:val="000000"/>
          <w:spacing w:val="0"/>
          <w:sz w:val="36"/>
          <w:szCs w:val="36"/>
        </w:rPr>
        <w:t>2025年度修武县五里源乡大堤屯村粮食烘干项目</w:t>
      </w:r>
    </w:p>
    <w:p w14:paraId="66FE4415">
      <w:pPr>
        <w:wordWrap w:val="0"/>
        <w:spacing w:before="0" w:after="0" w:line="280" w:lineRule="atLeast"/>
        <w:ind w:left="0" w:right="0" w:firstLine="723" w:firstLineChars="200"/>
        <w:jc w:val="center"/>
        <w:textAlignment w:val="baseline"/>
        <w:rPr>
          <w:rFonts w:hint="eastAsia" w:ascii="宋体" w:hAnsi="宋体" w:eastAsia="宋体" w:cs="宋体"/>
          <w:b/>
          <w:bCs/>
          <w:i w:val="0"/>
          <w:color w:val="000000"/>
          <w:spacing w:val="0"/>
          <w:sz w:val="36"/>
          <w:szCs w:val="36"/>
          <w:lang w:eastAsia="zh-CN"/>
        </w:rPr>
      </w:pPr>
      <w:r>
        <w:rPr>
          <w:rFonts w:hint="eastAsia" w:ascii="宋体" w:hAnsi="宋体" w:cs="宋体"/>
          <w:b/>
          <w:bCs/>
          <w:i w:val="0"/>
          <w:color w:val="000000"/>
          <w:spacing w:val="0"/>
          <w:sz w:val="36"/>
          <w:szCs w:val="36"/>
          <w:lang w:eastAsia="zh-CN"/>
        </w:rPr>
        <w:t>采购技术需求</w:t>
      </w:r>
    </w:p>
    <w:p w14:paraId="4FC57142">
      <w:pPr>
        <w:rPr>
          <w:rFonts w:hint="eastAsia" w:ascii="宋体" w:hAnsi="宋体" w:eastAsia="宋体" w:cs="宋体"/>
          <w:sz w:val="24"/>
          <w:szCs w:val="24"/>
          <w:highlight w:val="none"/>
          <w:lang w:eastAsia="zh-CN"/>
        </w:rPr>
      </w:pPr>
      <w:r>
        <w:rPr>
          <w:rFonts w:hint="eastAsia" w:ascii="宋体" w:hAnsi="宋体" w:eastAsia="宋体" w:cs="宋体"/>
          <w:b/>
          <w:bCs/>
          <w:kern w:val="0"/>
          <w:sz w:val="24"/>
          <w:szCs w:val="24"/>
          <w:highlight w:val="none"/>
          <w:lang w:val="en-US" w:eastAsia="en-US" w:bidi="ar-SA"/>
        </w:rPr>
        <w:t>一、采购内容（技术参数、数量及要求等）</w:t>
      </w:r>
      <w:r>
        <w:rPr>
          <w:rFonts w:hint="eastAsia" w:ascii="宋体" w:hAnsi="宋体" w:eastAsia="宋体" w:cs="宋体"/>
          <w:b/>
          <w:bCs/>
          <w:kern w:val="0"/>
          <w:sz w:val="24"/>
          <w:szCs w:val="24"/>
          <w:highlight w:val="none"/>
          <w:lang w:val="en-US" w:eastAsia="zh-CN" w:bidi="ar-SA"/>
        </w:rPr>
        <w:t>：</w:t>
      </w:r>
    </w:p>
    <w:tbl>
      <w:tblPr>
        <w:tblStyle w:val="2"/>
        <w:tblW w:w="9651" w:type="dxa"/>
        <w:tblInd w:w="-73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5"/>
        <w:gridCol w:w="1500"/>
        <w:gridCol w:w="5389"/>
        <w:gridCol w:w="735"/>
        <w:gridCol w:w="780"/>
        <w:gridCol w:w="522"/>
      </w:tblGrid>
      <w:tr w14:paraId="273E5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1" w:hRule="atLeast"/>
        </w:trPr>
        <w:tc>
          <w:tcPr>
            <w:tcW w:w="9651" w:type="dxa"/>
            <w:gridSpan w:val="6"/>
            <w:noWrap w:val="0"/>
            <w:vAlign w:val="center"/>
          </w:tcPr>
          <w:p w14:paraId="5EAD1A94">
            <w:pPr>
              <w:pageBreakBefore w:val="0"/>
              <w:wordWrap w:val="0"/>
              <w:spacing w:before="0" w:after="0" w:line="280" w:lineRule="atLeast"/>
              <w:ind w:left="210" w:leftChars="100" w:right="0"/>
              <w:jc w:val="left"/>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一.机炉设备清单</w:t>
            </w:r>
          </w:p>
        </w:tc>
      </w:tr>
      <w:tr w14:paraId="66172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6" w:hRule="atLeast"/>
        </w:trPr>
        <w:tc>
          <w:tcPr>
            <w:tcW w:w="725" w:type="dxa"/>
            <w:vMerge w:val="restart"/>
            <w:noWrap w:val="0"/>
            <w:vAlign w:val="center"/>
          </w:tcPr>
          <w:p w14:paraId="5D8ECDA0">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序号</w:t>
            </w:r>
          </w:p>
        </w:tc>
        <w:tc>
          <w:tcPr>
            <w:tcW w:w="1500" w:type="dxa"/>
            <w:vMerge w:val="restart"/>
            <w:noWrap w:val="0"/>
            <w:vAlign w:val="center"/>
          </w:tcPr>
          <w:p w14:paraId="683F541A">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设备名称</w:t>
            </w:r>
          </w:p>
        </w:tc>
        <w:tc>
          <w:tcPr>
            <w:tcW w:w="5389" w:type="dxa"/>
            <w:vMerge w:val="restart"/>
            <w:noWrap w:val="0"/>
            <w:vAlign w:val="center"/>
          </w:tcPr>
          <w:p w14:paraId="14882415">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技术参数</w:t>
            </w:r>
          </w:p>
        </w:tc>
        <w:tc>
          <w:tcPr>
            <w:tcW w:w="735" w:type="dxa"/>
            <w:vMerge w:val="restart"/>
            <w:noWrap w:val="0"/>
            <w:vAlign w:val="center"/>
          </w:tcPr>
          <w:p w14:paraId="2CE10CFE">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数量</w:t>
            </w:r>
          </w:p>
        </w:tc>
        <w:tc>
          <w:tcPr>
            <w:tcW w:w="780" w:type="dxa"/>
            <w:vMerge w:val="restart"/>
            <w:noWrap w:val="0"/>
            <w:vAlign w:val="center"/>
          </w:tcPr>
          <w:p w14:paraId="591A2F84">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单位</w:t>
            </w:r>
          </w:p>
        </w:tc>
        <w:tc>
          <w:tcPr>
            <w:tcW w:w="522" w:type="dxa"/>
            <w:vMerge w:val="restart"/>
            <w:noWrap w:val="0"/>
            <w:textDirection w:val="tbRlV"/>
            <w:vAlign w:val="center"/>
          </w:tcPr>
          <w:p w14:paraId="34334D68">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备注</w:t>
            </w:r>
          </w:p>
        </w:tc>
      </w:tr>
      <w:tr w14:paraId="23556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4" w:hRule="atLeast"/>
        </w:trPr>
        <w:tc>
          <w:tcPr>
            <w:tcW w:w="725" w:type="dxa"/>
            <w:vMerge w:val="continue"/>
            <w:noWrap w:val="0"/>
            <w:vAlign w:val="top"/>
          </w:tcPr>
          <w:p w14:paraId="70DBD52B">
            <w:pPr>
              <w:rPr>
                <w:rFonts w:hint="eastAsia" w:ascii="宋体" w:hAnsi="宋体" w:eastAsia="宋体" w:cs="宋体"/>
                <w:sz w:val="24"/>
                <w:szCs w:val="24"/>
              </w:rPr>
            </w:pPr>
          </w:p>
        </w:tc>
        <w:tc>
          <w:tcPr>
            <w:tcW w:w="1500" w:type="dxa"/>
            <w:vMerge w:val="continue"/>
            <w:noWrap w:val="0"/>
            <w:vAlign w:val="top"/>
          </w:tcPr>
          <w:p w14:paraId="59F52B83">
            <w:pPr>
              <w:rPr>
                <w:rFonts w:hint="eastAsia" w:ascii="宋体" w:hAnsi="宋体" w:eastAsia="宋体" w:cs="宋体"/>
                <w:sz w:val="24"/>
                <w:szCs w:val="24"/>
              </w:rPr>
            </w:pPr>
          </w:p>
        </w:tc>
        <w:tc>
          <w:tcPr>
            <w:tcW w:w="5389" w:type="dxa"/>
            <w:vMerge w:val="continue"/>
            <w:noWrap w:val="0"/>
            <w:vAlign w:val="top"/>
          </w:tcPr>
          <w:p w14:paraId="284C7A18">
            <w:pPr>
              <w:rPr>
                <w:rFonts w:hint="eastAsia" w:ascii="宋体" w:hAnsi="宋体" w:eastAsia="宋体" w:cs="宋体"/>
                <w:sz w:val="24"/>
                <w:szCs w:val="24"/>
              </w:rPr>
            </w:pPr>
          </w:p>
        </w:tc>
        <w:tc>
          <w:tcPr>
            <w:tcW w:w="735" w:type="dxa"/>
            <w:vMerge w:val="continue"/>
            <w:noWrap w:val="0"/>
            <w:vAlign w:val="top"/>
          </w:tcPr>
          <w:p w14:paraId="32BD0D5A">
            <w:pPr>
              <w:rPr>
                <w:rFonts w:hint="eastAsia" w:ascii="宋体" w:hAnsi="宋体" w:eastAsia="宋体" w:cs="宋体"/>
                <w:sz w:val="24"/>
                <w:szCs w:val="24"/>
              </w:rPr>
            </w:pPr>
          </w:p>
        </w:tc>
        <w:tc>
          <w:tcPr>
            <w:tcW w:w="780" w:type="dxa"/>
            <w:vMerge w:val="continue"/>
            <w:noWrap w:val="0"/>
            <w:vAlign w:val="top"/>
          </w:tcPr>
          <w:p w14:paraId="6826B9AE">
            <w:pPr>
              <w:rPr>
                <w:rFonts w:hint="eastAsia" w:ascii="宋体" w:hAnsi="宋体" w:eastAsia="宋体" w:cs="宋体"/>
                <w:sz w:val="24"/>
                <w:szCs w:val="24"/>
              </w:rPr>
            </w:pPr>
          </w:p>
        </w:tc>
        <w:tc>
          <w:tcPr>
            <w:tcW w:w="522" w:type="dxa"/>
            <w:vMerge w:val="continue"/>
            <w:noWrap w:val="0"/>
            <w:vAlign w:val="top"/>
          </w:tcPr>
          <w:p w14:paraId="50F7BD45">
            <w:pPr>
              <w:rPr>
                <w:rFonts w:hint="eastAsia" w:ascii="宋体" w:hAnsi="宋体" w:eastAsia="宋体" w:cs="宋体"/>
                <w:sz w:val="24"/>
                <w:szCs w:val="24"/>
              </w:rPr>
            </w:pPr>
          </w:p>
        </w:tc>
      </w:tr>
      <w:tr w14:paraId="10FE3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725" w:type="dxa"/>
            <w:noWrap w:val="0"/>
            <w:vAlign w:val="center"/>
          </w:tcPr>
          <w:p w14:paraId="222C8DF6">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1500" w:type="dxa"/>
            <w:noWrap w:val="0"/>
            <w:vAlign w:val="center"/>
          </w:tcPr>
          <w:p w14:paraId="35171EE9">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谷物烘干机</w:t>
            </w:r>
          </w:p>
        </w:tc>
        <w:tc>
          <w:tcPr>
            <w:tcW w:w="5389" w:type="dxa"/>
            <w:noWrap w:val="0"/>
            <w:vAlign w:val="center"/>
          </w:tcPr>
          <w:p w14:paraId="31A072BA">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1.规格型号：机型为≥</w:t>
            </w:r>
            <w:r>
              <w:rPr>
                <w:rFonts w:hint="eastAsia" w:ascii="宋体" w:hAnsi="宋体" w:eastAsia="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吨的</w:t>
            </w:r>
            <w:r>
              <w:rPr>
                <w:rFonts w:hint="eastAsia" w:ascii="宋体" w:hAnsi="宋体" w:eastAsia="宋体" w:cs="宋体"/>
                <w:b w:val="0"/>
                <w:i w:val="0"/>
                <w:color w:val="000000"/>
                <w:spacing w:val="0"/>
                <w:sz w:val="24"/>
                <w:szCs w:val="24"/>
                <w:lang w:val="en-US" w:eastAsia="zh-CN"/>
              </w:rPr>
              <w:t>连续</w:t>
            </w:r>
            <w:r>
              <w:rPr>
                <w:rFonts w:hint="eastAsia" w:ascii="宋体" w:hAnsi="宋体" w:eastAsia="宋体" w:cs="宋体"/>
                <w:b w:val="0"/>
                <w:i w:val="0"/>
                <w:color w:val="000000"/>
                <w:spacing w:val="0"/>
                <w:sz w:val="24"/>
                <w:szCs w:val="24"/>
              </w:rPr>
              <w:t>式谷物干燥</w:t>
            </w:r>
            <w:r>
              <w:rPr>
                <w:rFonts w:hint="eastAsia" w:ascii="宋体" w:hAnsi="宋体" w:eastAsia="宋体" w:cs="宋体"/>
                <w:b w:val="0"/>
                <w:i w:val="0"/>
                <w:color w:val="000000"/>
                <w:spacing w:val="0"/>
                <w:sz w:val="24"/>
                <w:szCs w:val="24"/>
                <w:lang w:val="en-US" w:eastAsia="zh-CN"/>
              </w:rPr>
              <w:t>塔</w:t>
            </w:r>
            <w:r>
              <w:rPr>
                <w:rFonts w:hint="eastAsia" w:ascii="宋体" w:hAnsi="宋体" w:eastAsia="宋体" w:cs="宋体"/>
                <w:b w:val="0"/>
                <w:i w:val="0"/>
                <w:color w:val="000000"/>
                <w:spacing w:val="0"/>
                <w:sz w:val="24"/>
                <w:szCs w:val="24"/>
              </w:rPr>
              <w:t>(</w:t>
            </w:r>
            <w:r>
              <w:rPr>
                <w:rFonts w:hint="eastAsia" w:ascii="宋体" w:hAnsi="宋体" w:eastAsia="宋体" w:cs="宋体"/>
                <w:b w:val="0"/>
                <w:i w:val="0"/>
                <w:color w:val="000000"/>
                <w:spacing w:val="0"/>
                <w:sz w:val="24"/>
                <w:szCs w:val="24"/>
                <w:lang w:val="en-US" w:eastAsia="zh-CN"/>
              </w:rPr>
              <w:t>顺逆</w:t>
            </w:r>
            <w:r>
              <w:rPr>
                <w:rFonts w:hint="eastAsia" w:ascii="宋体" w:hAnsi="宋体" w:eastAsia="宋体" w:cs="宋体"/>
                <w:b w:val="0"/>
                <w:i w:val="0"/>
                <w:color w:val="000000"/>
                <w:spacing w:val="0"/>
                <w:sz w:val="24"/>
                <w:szCs w:val="24"/>
              </w:rPr>
              <w:t>流)。</w:t>
            </w:r>
          </w:p>
          <w:p w14:paraId="1F126E1D">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2.基本结构及标准配置</w:t>
            </w:r>
          </w:p>
          <w:p w14:paraId="4ACD6CE3">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2.1整机配备1台提升机和2台热风机(排风机)等必要的配套功能设备，其中提升机的产量≥20t/h。</w:t>
            </w:r>
          </w:p>
          <w:p w14:paraId="1A3FC812">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2.为保障烘干能力干燥层高度≥</w:t>
            </w:r>
            <w:r>
              <w:rPr>
                <w:rFonts w:hint="eastAsia" w:ascii="宋体" w:hAnsi="宋体" w:eastAsia="宋体" w:cs="宋体"/>
                <w:b w:val="0"/>
                <w:i w:val="0"/>
                <w:color w:val="000000"/>
                <w:spacing w:val="0"/>
                <w:sz w:val="24"/>
                <w:szCs w:val="24"/>
                <w:lang w:val="en-US" w:eastAsia="zh-CN"/>
              </w:rPr>
              <w:t>6</w:t>
            </w:r>
            <w:r>
              <w:rPr>
                <w:rFonts w:hint="eastAsia" w:ascii="宋体" w:hAnsi="宋体" w:eastAsia="宋体" w:cs="宋体"/>
                <w:b w:val="0"/>
                <w:i w:val="0"/>
                <w:color w:val="000000"/>
                <w:spacing w:val="0"/>
                <w:sz w:val="24"/>
                <w:szCs w:val="24"/>
              </w:rPr>
              <w:t>000mm。</w:t>
            </w:r>
          </w:p>
          <w:p w14:paraId="2AF98024">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3.</w:t>
            </w:r>
            <w:r>
              <w:rPr>
                <w:rFonts w:hint="eastAsia" w:ascii="宋体" w:hAnsi="宋体" w:eastAsia="宋体" w:cs="宋体"/>
                <w:b w:val="0"/>
                <w:i w:val="0"/>
                <w:color w:val="000000"/>
                <w:spacing w:val="0"/>
                <w:sz w:val="24"/>
                <w:szCs w:val="24"/>
              </w:rPr>
              <w:t>干燥层配置快速出粮装置。</w:t>
            </w:r>
          </w:p>
          <w:p w14:paraId="7B153522">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3、性能参数</w:t>
            </w:r>
          </w:p>
          <w:p w14:paraId="0C1881D7">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3.1</w:t>
            </w:r>
            <w:r>
              <w:rPr>
                <w:rFonts w:hint="eastAsia" w:ascii="宋体" w:hAnsi="宋体" w:eastAsia="宋体" w:cs="宋体"/>
                <w:b w:val="0"/>
                <w:i w:val="0"/>
                <w:color w:val="000000"/>
                <w:spacing w:val="0"/>
                <w:sz w:val="24"/>
                <w:szCs w:val="24"/>
                <w:lang w:val="en-US" w:eastAsia="zh-CN"/>
              </w:rPr>
              <w:t>连续</w:t>
            </w:r>
            <w:r>
              <w:rPr>
                <w:rFonts w:hint="eastAsia" w:ascii="宋体" w:hAnsi="宋体" w:eastAsia="宋体" w:cs="宋体"/>
                <w:b w:val="0"/>
                <w:i w:val="0"/>
                <w:color w:val="000000"/>
                <w:spacing w:val="0"/>
                <w:sz w:val="24"/>
                <w:szCs w:val="24"/>
              </w:rPr>
              <w:t>处理量≥</w:t>
            </w:r>
            <w:r>
              <w:rPr>
                <w:rFonts w:hint="eastAsia" w:ascii="宋体" w:hAnsi="宋体" w:eastAsia="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t</w:t>
            </w:r>
            <w:r>
              <w:rPr>
                <w:rFonts w:hint="eastAsia" w:ascii="宋体" w:hAnsi="宋体" w:eastAsia="宋体" w:cs="宋体"/>
                <w:b w:val="0"/>
                <w:i w:val="0"/>
                <w:color w:val="000000"/>
                <w:spacing w:val="0"/>
                <w:sz w:val="24"/>
                <w:szCs w:val="24"/>
                <w:lang w:val="en-US" w:eastAsia="zh-CN"/>
              </w:rPr>
              <w:t>/24h</w:t>
            </w:r>
            <w:r>
              <w:rPr>
                <w:rFonts w:hint="eastAsia" w:ascii="宋体" w:hAnsi="宋体" w:eastAsia="宋体" w:cs="宋体"/>
                <w:b w:val="0"/>
                <w:i w:val="0"/>
                <w:color w:val="000000"/>
                <w:spacing w:val="0"/>
                <w:sz w:val="24"/>
                <w:szCs w:val="24"/>
                <w:lang w:eastAsia="zh-CN"/>
              </w:rPr>
              <w:t>；</w:t>
            </w:r>
          </w:p>
          <w:p w14:paraId="5D96B46F">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3.2降水率</w:t>
            </w:r>
            <w:r>
              <w:rPr>
                <w:rFonts w:hint="eastAsia" w:ascii="宋体" w:hAnsi="宋体" w:cs="宋体"/>
                <w:b w:val="0"/>
                <w:i w:val="0"/>
                <w:color w:val="000000"/>
                <w:spacing w:val="0"/>
                <w:sz w:val="24"/>
                <w:szCs w:val="24"/>
                <w:lang w:val="en-US" w:eastAsia="zh-CN"/>
              </w:rPr>
              <w:t>为5-10个水份</w:t>
            </w:r>
            <w:r>
              <w:rPr>
                <w:rFonts w:hint="eastAsia" w:ascii="宋体" w:hAnsi="宋体" w:eastAsia="宋体" w:cs="宋体"/>
                <w:b w:val="0"/>
                <w:i w:val="0"/>
                <w:color w:val="000000"/>
                <w:spacing w:val="0"/>
                <w:sz w:val="24"/>
                <w:szCs w:val="24"/>
              </w:rPr>
              <w:t>(在热风温度在</w:t>
            </w:r>
            <w:r>
              <w:rPr>
                <w:rFonts w:hint="eastAsia" w:ascii="宋体" w:hAnsi="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w:t>
            </w:r>
            <w:r>
              <w:rPr>
                <w:rFonts w:hint="eastAsia" w:ascii="宋体" w:hAnsi="宋体" w:cs="宋体"/>
                <w:b w:val="0"/>
                <w:i w:val="0"/>
                <w:color w:val="000000"/>
                <w:spacing w:val="0"/>
                <w:sz w:val="24"/>
                <w:szCs w:val="24"/>
                <w:lang w:val="en-US" w:eastAsia="zh-CN"/>
              </w:rPr>
              <w:t>140</w:t>
            </w:r>
            <w:r>
              <w:rPr>
                <w:rFonts w:hint="eastAsia" w:ascii="宋体" w:hAnsi="宋体" w:eastAsia="宋体" w:cs="宋体"/>
                <w:b w:val="0"/>
                <w:i w:val="0"/>
                <w:color w:val="000000"/>
                <w:spacing w:val="0"/>
                <w:sz w:val="24"/>
                <w:szCs w:val="24"/>
              </w:rPr>
              <w:t>℃范围内)</w:t>
            </w:r>
            <w:r>
              <w:rPr>
                <w:rFonts w:hint="eastAsia" w:ascii="宋体" w:hAnsi="宋体" w:eastAsia="宋体" w:cs="宋体"/>
                <w:b w:val="0"/>
                <w:i w:val="0"/>
                <w:color w:val="000000"/>
                <w:spacing w:val="0"/>
                <w:sz w:val="24"/>
                <w:szCs w:val="24"/>
                <w:lang w:eastAsia="zh-CN"/>
              </w:rPr>
              <w:t>；</w:t>
            </w:r>
          </w:p>
          <w:p w14:paraId="62083240">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3.3干燥不均匀度：≤1%(当进机粮食水分不均匀度不超过3%时)</w:t>
            </w:r>
            <w:r>
              <w:rPr>
                <w:rFonts w:hint="eastAsia" w:ascii="宋体" w:hAnsi="宋体" w:eastAsia="宋体" w:cs="宋体"/>
                <w:b w:val="0"/>
                <w:i w:val="0"/>
                <w:color w:val="000000"/>
                <w:spacing w:val="0"/>
                <w:sz w:val="24"/>
                <w:szCs w:val="24"/>
                <w:lang w:eastAsia="zh-CN"/>
              </w:rPr>
              <w:t>；</w:t>
            </w:r>
          </w:p>
          <w:p w14:paraId="72EDFAEE">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3.4破碎率增值: ≤0.3%</w:t>
            </w:r>
            <w:r>
              <w:rPr>
                <w:rFonts w:hint="eastAsia" w:ascii="宋体" w:hAnsi="宋体" w:eastAsia="宋体" w:cs="宋体"/>
                <w:b w:val="0"/>
                <w:i w:val="0"/>
                <w:color w:val="000000"/>
                <w:spacing w:val="0"/>
                <w:sz w:val="24"/>
                <w:szCs w:val="24"/>
                <w:lang w:eastAsia="zh-CN"/>
              </w:rPr>
              <w:t>；</w:t>
            </w:r>
          </w:p>
          <w:p w14:paraId="31C1A39D">
            <w:pPr>
              <w:pageBreakBefore w:val="0"/>
              <w:wordWrap w:val="0"/>
              <w:spacing w:before="0" w:after="0" w:line="300" w:lineRule="atLeast"/>
              <w:ind w:left="6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rPr>
              <w:t>3.5粉尘浓度: ≤8.0mg/m³</w:t>
            </w:r>
            <w:r>
              <w:rPr>
                <w:rFonts w:hint="eastAsia" w:ascii="宋体" w:hAnsi="宋体" w:eastAsia="宋体" w:cs="宋体"/>
                <w:b w:val="0"/>
                <w:i w:val="0"/>
                <w:color w:val="000000"/>
                <w:spacing w:val="0"/>
                <w:sz w:val="24"/>
                <w:szCs w:val="24"/>
                <w:lang w:eastAsia="zh-CN"/>
              </w:rPr>
              <w:t>；</w:t>
            </w:r>
          </w:p>
          <w:p w14:paraId="314D0531">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3.6噪声: ≤87dB(A)。</w:t>
            </w:r>
          </w:p>
          <w:p w14:paraId="15551532">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用途：用于</w:t>
            </w:r>
            <w:r>
              <w:rPr>
                <w:rFonts w:hint="eastAsia" w:ascii="宋体" w:hAnsi="宋体" w:cs="宋体"/>
                <w:b w:val="0"/>
                <w:i w:val="0"/>
                <w:color w:val="000000"/>
                <w:spacing w:val="0"/>
                <w:sz w:val="24"/>
                <w:szCs w:val="24"/>
                <w:lang w:val="en-US" w:eastAsia="zh-CN"/>
              </w:rPr>
              <w:t>玉米，小麦</w:t>
            </w:r>
            <w:r>
              <w:rPr>
                <w:rFonts w:hint="eastAsia" w:ascii="宋体" w:hAnsi="宋体" w:eastAsia="宋体" w:cs="宋体"/>
                <w:b w:val="0"/>
                <w:i w:val="0"/>
                <w:color w:val="000000"/>
                <w:spacing w:val="0"/>
                <w:sz w:val="24"/>
                <w:szCs w:val="24"/>
              </w:rPr>
              <w:t>烘干。</w:t>
            </w:r>
          </w:p>
        </w:tc>
        <w:tc>
          <w:tcPr>
            <w:tcW w:w="735" w:type="dxa"/>
            <w:noWrap w:val="0"/>
            <w:vAlign w:val="center"/>
          </w:tcPr>
          <w:p w14:paraId="5E132F5F">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780" w:type="dxa"/>
            <w:noWrap w:val="0"/>
            <w:vAlign w:val="center"/>
          </w:tcPr>
          <w:p w14:paraId="0C251FD4">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40FD7F78">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2DF78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69" w:hRule="atLeast"/>
        </w:trPr>
        <w:tc>
          <w:tcPr>
            <w:tcW w:w="725" w:type="dxa"/>
            <w:noWrap w:val="0"/>
            <w:vAlign w:val="center"/>
          </w:tcPr>
          <w:p w14:paraId="4D9D084E">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1500" w:type="dxa"/>
            <w:noWrap w:val="0"/>
            <w:vAlign w:val="center"/>
          </w:tcPr>
          <w:p w14:paraId="511C4778">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生物质</w:t>
            </w:r>
            <w:r>
              <w:rPr>
                <w:rFonts w:hint="eastAsia" w:ascii="宋体" w:hAnsi="宋体" w:eastAsia="宋体" w:cs="宋体"/>
                <w:b w:val="0"/>
                <w:i w:val="0"/>
                <w:color w:val="000000"/>
                <w:spacing w:val="0"/>
                <w:sz w:val="24"/>
                <w:szCs w:val="24"/>
              </w:rPr>
              <w:t>炉</w:t>
            </w:r>
          </w:p>
        </w:tc>
        <w:tc>
          <w:tcPr>
            <w:tcW w:w="5389" w:type="dxa"/>
            <w:noWrap w:val="0"/>
            <w:vAlign w:val="top"/>
          </w:tcPr>
          <w:p w14:paraId="7E46225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1.供热方式：间接热风加热；</w:t>
            </w:r>
          </w:p>
          <w:p w14:paraId="3191E807">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2.额定发热量：≥</w:t>
            </w:r>
            <w:r>
              <w:rPr>
                <w:rFonts w:hint="eastAsia" w:ascii="宋体" w:hAnsi="宋体" w:eastAsia="宋体" w:cs="宋体"/>
                <w:b w:val="0"/>
                <w:i w:val="0"/>
                <w:color w:val="000000"/>
                <w:spacing w:val="0"/>
                <w:sz w:val="24"/>
                <w:szCs w:val="24"/>
                <w:lang w:val="en-US" w:eastAsia="zh-CN"/>
              </w:rPr>
              <w:t>120</w:t>
            </w:r>
            <w:r>
              <w:rPr>
                <w:rFonts w:hint="eastAsia" w:ascii="宋体" w:hAnsi="宋体" w:eastAsia="宋体" w:cs="宋体"/>
                <w:b w:val="0"/>
                <w:i w:val="0"/>
                <w:color w:val="000000"/>
                <w:spacing w:val="0"/>
                <w:sz w:val="24"/>
                <w:szCs w:val="24"/>
              </w:rPr>
              <w:t>万大卡/小时。</w:t>
            </w:r>
          </w:p>
          <w:p w14:paraId="28AC7EE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3.控制方式：自动控温；</w:t>
            </w:r>
          </w:p>
          <w:p w14:paraId="311B5AF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4.热源：</w:t>
            </w:r>
            <w:r>
              <w:rPr>
                <w:rFonts w:hint="eastAsia" w:ascii="宋体" w:hAnsi="宋体" w:eastAsia="宋体" w:cs="宋体"/>
                <w:b w:val="0"/>
                <w:i w:val="0"/>
                <w:color w:val="000000"/>
                <w:spacing w:val="0"/>
                <w:sz w:val="24"/>
                <w:szCs w:val="24"/>
                <w:lang w:val="en-US" w:eastAsia="zh-CN"/>
              </w:rPr>
              <w:t>颗粒、煤</w:t>
            </w:r>
            <w:r>
              <w:rPr>
                <w:rFonts w:hint="eastAsia" w:ascii="宋体" w:hAnsi="宋体" w:eastAsia="宋体" w:cs="宋体"/>
                <w:b w:val="0"/>
                <w:i w:val="0"/>
                <w:color w:val="000000"/>
                <w:spacing w:val="0"/>
                <w:sz w:val="24"/>
                <w:szCs w:val="24"/>
              </w:rPr>
              <w:t>；</w:t>
            </w:r>
          </w:p>
          <w:p w14:paraId="012D4934">
            <w:pPr>
              <w:pageBreakBefore w:val="0"/>
              <w:wordWrap w:val="0"/>
              <w:spacing w:before="0" w:after="0" w:line="30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5.</w:t>
            </w:r>
            <w:r>
              <w:rPr>
                <w:rFonts w:hint="eastAsia" w:ascii="宋体" w:hAnsi="宋体" w:eastAsia="宋体" w:cs="宋体"/>
                <w:b w:val="0"/>
                <w:i w:val="0"/>
                <w:color w:val="000000"/>
                <w:spacing w:val="0"/>
                <w:sz w:val="24"/>
                <w:szCs w:val="24"/>
                <w:lang w:val="en-US" w:eastAsia="zh-CN"/>
              </w:rPr>
              <w:t>外壳体采用Q235碳钢板，采用耐火材料砌筑。</w:t>
            </w:r>
          </w:p>
        </w:tc>
        <w:tc>
          <w:tcPr>
            <w:tcW w:w="735" w:type="dxa"/>
            <w:noWrap w:val="0"/>
            <w:vAlign w:val="center"/>
          </w:tcPr>
          <w:p w14:paraId="3CD92CCD">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780" w:type="dxa"/>
            <w:noWrap w:val="0"/>
            <w:vAlign w:val="center"/>
          </w:tcPr>
          <w:p w14:paraId="6495C091">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6D3966D5">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55738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9651" w:type="dxa"/>
            <w:gridSpan w:val="6"/>
            <w:noWrap w:val="0"/>
            <w:vAlign w:val="center"/>
          </w:tcPr>
          <w:p w14:paraId="667526E7">
            <w:pPr>
              <w:pageBreakBefore w:val="0"/>
              <w:wordWrap w:val="0"/>
              <w:spacing w:before="0" w:after="0" w:line="280" w:lineRule="exact"/>
              <w:ind w:left="210" w:leftChars="10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lang w:eastAsia="zh-CN"/>
              </w:rPr>
              <w:t>二、附属设</w:t>
            </w:r>
            <w:bookmarkStart w:id="0" w:name="_GoBack"/>
            <w:bookmarkEnd w:id="0"/>
            <w:r>
              <w:rPr>
                <w:rFonts w:hint="eastAsia" w:ascii="宋体" w:hAnsi="宋体" w:eastAsia="宋体" w:cs="宋体"/>
                <w:b w:val="0"/>
                <w:i w:val="0"/>
                <w:color w:val="000000"/>
                <w:spacing w:val="0"/>
                <w:sz w:val="24"/>
                <w:szCs w:val="24"/>
                <w:lang w:eastAsia="zh-CN"/>
              </w:rPr>
              <w:t>备清单</w:t>
            </w:r>
          </w:p>
        </w:tc>
      </w:tr>
      <w:tr w14:paraId="59DA3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6" w:hRule="atLeast"/>
        </w:trPr>
        <w:tc>
          <w:tcPr>
            <w:tcW w:w="725" w:type="dxa"/>
            <w:vMerge w:val="restart"/>
            <w:noWrap w:val="0"/>
            <w:vAlign w:val="center"/>
          </w:tcPr>
          <w:p w14:paraId="14269FFB">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序号</w:t>
            </w:r>
          </w:p>
        </w:tc>
        <w:tc>
          <w:tcPr>
            <w:tcW w:w="1500" w:type="dxa"/>
            <w:vMerge w:val="restart"/>
            <w:noWrap w:val="0"/>
            <w:vAlign w:val="center"/>
          </w:tcPr>
          <w:p w14:paraId="2C43EE3F">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设备名称</w:t>
            </w:r>
          </w:p>
        </w:tc>
        <w:tc>
          <w:tcPr>
            <w:tcW w:w="5389" w:type="dxa"/>
            <w:vMerge w:val="restart"/>
            <w:noWrap w:val="0"/>
            <w:vAlign w:val="center"/>
          </w:tcPr>
          <w:p w14:paraId="0D0E26EE">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技术参数</w:t>
            </w:r>
          </w:p>
        </w:tc>
        <w:tc>
          <w:tcPr>
            <w:tcW w:w="735" w:type="dxa"/>
            <w:vMerge w:val="restart"/>
            <w:noWrap w:val="0"/>
            <w:vAlign w:val="center"/>
          </w:tcPr>
          <w:p w14:paraId="721DA3A1">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数量</w:t>
            </w:r>
          </w:p>
        </w:tc>
        <w:tc>
          <w:tcPr>
            <w:tcW w:w="780" w:type="dxa"/>
            <w:vMerge w:val="restart"/>
            <w:noWrap w:val="0"/>
            <w:vAlign w:val="center"/>
          </w:tcPr>
          <w:p w14:paraId="42C2D5F9">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单位</w:t>
            </w:r>
          </w:p>
        </w:tc>
        <w:tc>
          <w:tcPr>
            <w:tcW w:w="522" w:type="dxa"/>
            <w:vMerge w:val="restart"/>
            <w:noWrap w:val="0"/>
            <w:vAlign w:val="center"/>
          </w:tcPr>
          <w:p w14:paraId="704C2B21">
            <w:pPr>
              <w:pageBreakBefore w:val="0"/>
              <w:wordWrap w:val="0"/>
              <w:spacing w:before="0" w:after="0" w:line="2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备注</w:t>
            </w:r>
          </w:p>
        </w:tc>
      </w:tr>
      <w:tr w14:paraId="470418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4" w:hRule="atLeast"/>
        </w:trPr>
        <w:tc>
          <w:tcPr>
            <w:tcW w:w="725" w:type="dxa"/>
            <w:vMerge w:val="continue"/>
            <w:noWrap w:val="0"/>
            <w:vAlign w:val="top"/>
          </w:tcPr>
          <w:p w14:paraId="73A18465">
            <w:pPr>
              <w:rPr>
                <w:rFonts w:hint="eastAsia" w:ascii="宋体" w:hAnsi="宋体" w:eastAsia="宋体" w:cs="宋体"/>
                <w:sz w:val="24"/>
                <w:szCs w:val="24"/>
              </w:rPr>
            </w:pPr>
          </w:p>
        </w:tc>
        <w:tc>
          <w:tcPr>
            <w:tcW w:w="1500" w:type="dxa"/>
            <w:vMerge w:val="continue"/>
            <w:noWrap w:val="0"/>
            <w:vAlign w:val="top"/>
          </w:tcPr>
          <w:p w14:paraId="5DF5758A">
            <w:pPr>
              <w:rPr>
                <w:rFonts w:hint="eastAsia" w:ascii="宋体" w:hAnsi="宋体" w:eastAsia="宋体" w:cs="宋体"/>
                <w:sz w:val="24"/>
                <w:szCs w:val="24"/>
              </w:rPr>
            </w:pPr>
          </w:p>
        </w:tc>
        <w:tc>
          <w:tcPr>
            <w:tcW w:w="5389" w:type="dxa"/>
            <w:vMerge w:val="continue"/>
            <w:noWrap w:val="0"/>
            <w:vAlign w:val="top"/>
          </w:tcPr>
          <w:p w14:paraId="59B75060">
            <w:pPr>
              <w:rPr>
                <w:rFonts w:hint="eastAsia" w:ascii="宋体" w:hAnsi="宋体" w:eastAsia="宋体" w:cs="宋体"/>
                <w:sz w:val="24"/>
                <w:szCs w:val="24"/>
              </w:rPr>
            </w:pPr>
          </w:p>
        </w:tc>
        <w:tc>
          <w:tcPr>
            <w:tcW w:w="735" w:type="dxa"/>
            <w:vMerge w:val="continue"/>
            <w:noWrap w:val="0"/>
            <w:vAlign w:val="top"/>
          </w:tcPr>
          <w:p w14:paraId="1AD51B96">
            <w:pPr>
              <w:rPr>
                <w:rFonts w:hint="eastAsia" w:ascii="宋体" w:hAnsi="宋体" w:eastAsia="宋体" w:cs="宋体"/>
                <w:sz w:val="24"/>
                <w:szCs w:val="24"/>
              </w:rPr>
            </w:pPr>
          </w:p>
        </w:tc>
        <w:tc>
          <w:tcPr>
            <w:tcW w:w="780" w:type="dxa"/>
            <w:vMerge w:val="continue"/>
            <w:noWrap w:val="0"/>
            <w:vAlign w:val="top"/>
          </w:tcPr>
          <w:p w14:paraId="4E1EA54E">
            <w:pPr>
              <w:rPr>
                <w:rFonts w:hint="eastAsia" w:ascii="宋体" w:hAnsi="宋体" w:eastAsia="宋体" w:cs="宋体"/>
                <w:sz w:val="24"/>
                <w:szCs w:val="24"/>
              </w:rPr>
            </w:pPr>
          </w:p>
        </w:tc>
        <w:tc>
          <w:tcPr>
            <w:tcW w:w="522" w:type="dxa"/>
            <w:vMerge w:val="continue"/>
            <w:noWrap w:val="0"/>
            <w:vAlign w:val="top"/>
          </w:tcPr>
          <w:p w14:paraId="6A5E6E33">
            <w:pPr>
              <w:rPr>
                <w:rFonts w:hint="eastAsia" w:ascii="宋体" w:hAnsi="宋体" w:eastAsia="宋体" w:cs="宋体"/>
                <w:sz w:val="24"/>
                <w:szCs w:val="24"/>
              </w:rPr>
            </w:pPr>
          </w:p>
        </w:tc>
      </w:tr>
      <w:tr w14:paraId="7933E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2" w:hRule="atLeast"/>
        </w:trPr>
        <w:tc>
          <w:tcPr>
            <w:tcW w:w="725" w:type="dxa"/>
            <w:vMerge w:val="restart"/>
            <w:noWrap w:val="0"/>
            <w:vAlign w:val="center"/>
          </w:tcPr>
          <w:p w14:paraId="249A8E64">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1500" w:type="dxa"/>
            <w:noWrap w:val="0"/>
            <w:vAlign w:val="center"/>
          </w:tcPr>
          <w:p w14:paraId="6360CF13">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投料坑锥斗</w:t>
            </w:r>
          </w:p>
        </w:tc>
        <w:tc>
          <w:tcPr>
            <w:tcW w:w="5389" w:type="dxa"/>
            <w:vMerge w:val="restart"/>
            <w:noWrap w:val="0"/>
            <w:vAlign w:val="center"/>
          </w:tcPr>
          <w:p w14:paraId="4F549E8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w:t>
            </w:r>
            <w:r>
              <w:rPr>
                <w:rFonts w:hint="eastAsia" w:ascii="宋体" w:hAnsi="宋体" w:eastAsia="宋体" w:cs="宋体"/>
                <w:b w:val="0"/>
                <w:i w:val="0"/>
                <w:color w:val="000000"/>
                <w:spacing w:val="0"/>
                <w:sz w:val="24"/>
                <w:szCs w:val="24"/>
                <w:lang w:val="en-US" w:eastAsia="zh-CN"/>
              </w:rPr>
              <w:t>4</w:t>
            </w:r>
            <w:r>
              <w:rPr>
                <w:rFonts w:hint="eastAsia" w:ascii="宋体" w:hAnsi="宋体" w:eastAsia="宋体" w:cs="宋体"/>
                <w:b w:val="0"/>
                <w:i w:val="0"/>
                <w:color w:val="000000"/>
                <w:spacing w:val="0"/>
                <w:sz w:val="24"/>
                <w:szCs w:val="24"/>
              </w:rPr>
              <w:t>*</w:t>
            </w:r>
            <w:r>
              <w:rPr>
                <w:rFonts w:hint="eastAsia" w:ascii="宋体" w:hAnsi="宋体" w:eastAsia="宋体" w:cs="宋体"/>
                <w:b w:val="0"/>
                <w:i w:val="0"/>
                <w:color w:val="000000"/>
                <w:spacing w:val="0"/>
                <w:sz w:val="24"/>
                <w:szCs w:val="24"/>
                <w:lang w:val="en-US" w:eastAsia="zh-CN"/>
              </w:rPr>
              <w:t>3</w:t>
            </w:r>
            <w:r>
              <w:rPr>
                <w:rFonts w:hint="eastAsia" w:ascii="宋体" w:hAnsi="宋体" w:eastAsia="宋体" w:cs="宋体"/>
                <w:b w:val="0"/>
                <w:i w:val="0"/>
                <w:color w:val="000000"/>
                <w:spacing w:val="0"/>
                <w:sz w:val="24"/>
                <w:szCs w:val="24"/>
              </w:rPr>
              <w:t>m, 符合工艺要求, 满足土建地坑尺寸。</w:t>
            </w:r>
          </w:p>
          <w:p w14:paraId="188F12D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2.钢格栅圆钢及钢板焊接形式制作，有足够的承载力和合适的“网孔”大小。主要作用为可以过滤出砖块、线绳、袋皮、布条等较大的杂物，避免后道设备的损坏。</w:t>
            </w:r>
          </w:p>
          <w:p w14:paraId="2476AF7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3.下粮锥体采</w:t>
            </w:r>
            <w:r>
              <w:rPr>
                <w:rFonts w:hint="eastAsia" w:ascii="宋体" w:hAnsi="宋体" w:eastAsia="宋体" w:cs="宋体"/>
                <w:b w:val="0"/>
                <w:i w:val="0"/>
                <w:color w:val="000000"/>
                <w:spacing w:val="0"/>
                <w:sz w:val="24"/>
                <w:szCs w:val="24"/>
                <w:lang w:val="en-US" w:eastAsia="zh-CN"/>
              </w:rPr>
              <w:t>用</w:t>
            </w:r>
            <w:r>
              <w:rPr>
                <w:rFonts w:hint="eastAsia" w:ascii="宋体" w:hAnsi="宋体" w:eastAsia="宋体" w:cs="宋体"/>
                <w:b w:val="0"/>
                <w:i w:val="0"/>
                <w:color w:val="000000"/>
                <w:spacing w:val="0"/>
                <w:sz w:val="24"/>
                <w:szCs w:val="24"/>
              </w:rPr>
              <w:t>钢板制作</w:t>
            </w:r>
          </w:p>
          <w:p w14:paraId="68017A36">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4.地坑盖板及挡粮板用钢板制作。</w:t>
            </w:r>
          </w:p>
        </w:tc>
        <w:tc>
          <w:tcPr>
            <w:tcW w:w="735" w:type="dxa"/>
            <w:noWrap w:val="0"/>
            <w:vAlign w:val="center"/>
          </w:tcPr>
          <w:p w14:paraId="3B390415">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21A6867D">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57EDF550">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E673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2" w:hRule="atLeast"/>
        </w:trPr>
        <w:tc>
          <w:tcPr>
            <w:tcW w:w="725" w:type="dxa"/>
            <w:vMerge w:val="continue"/>
            <w:noWrap w:val="0"/>
            <w:vAlign w:val="top"/>
          </w:tcPr>
          <w:p w14:paraId="3F9663AC">
            <w:pPr>
              <w:rPr>
                <w:rFonts w:hint="eastAsia" w:ascii="宋体" w:hAnsi="宋体" w:eastAsia="宋体" w:cs="宋体"/>
                <w:sz w:val="24"/>
                <w:szCs w:val="24"/>
              </w:rPr>
            </w:pPr>
          </w:p>
        </w:tc>
        <w:tc>
          <w:tcPr>
            <w:tcW w:w="1500" w:type="dxa"/>
            <w:noWrap w:val="0"/>
            <w:vAlign w:val="center"/>
          </w:tcPr>
          <w:p w14:paraId="120BD9BB">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滤杂钢格栅</w:t>
            </w:r>
          </w:p>
        </w:tc>
        <w:tc>
          <w:tcPr>
            <w:tcW w:w="5389" w:type="dxa"/>
            <w:vMerge w:val="continue"/>
            <w:noWrap w:val="0"/>
            <w:vAlign w:val="top"/>
          </w:tcPr>
          <w:p w14:paraId="0F614C03">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3B0850CE">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5B630101">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件</w:t>
            </w:r>
          </w:p>
        </w:tc>
        <w:tc>
          <w:tcPr>
            <w:tcW w:w="522" w:type="dxa"/>
            <w:noWrap w:val="0"/>
            <w:vAlign w:val="center"/>
          </w:tcPr>
          <w:p w14:paraId="30AE4859">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0F964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2" w:hRule="atLeast"/>
        </w:trPr>
        <w:tc>
          <w:tcPr>
            <w:tcW w:w="725" w:type="dxa"/>
            <w:vMerge w:val="continue"/>
            <w:noWrap w:val="0"/>
            <w:vAlign w:val="top"/>
          </w:tcPr>
          <w:p w14:paraId="13B56211">
            <w:pPr>
              <w:rPr>
                <w:rFonts w:hint="eastAsia" w:ascii="宋体" w:hAnsi="宋体" w:eastAsia="宋体" w:cs="宋体"/>
                <w:sz w:val="24"/>
                <w:szCs w:val="24"/>
              </w:rPr>
            </w:pPr>
          </w:p>
        </w:tc>
        <w:tc>
          <w:tcPr>
            <w:tcW w:w="1500" w:type="dxa"/>
            <w:noWrap w:val="0"/>
            <w:vAlign w:val="center"/>
          </w:tcPr>
          <w:p w14:paraId="26E786ED">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闸门与压杆</w:t>
            </w:r>
          </w:p>
        </w:tc>
        <w:tc>
          <w:tcPr>
            <w:tcW w:w="5389" w:type="dxa"/>
            <w:vMerge w:val="continue"/>
            <w:noWrap w:val="0"/>
            <w:vAlign w:val="top"/>
          </w:tcPr>
          <w:p w14:paraId="00149C4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0837BAC9">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72765FAE">
            <w:pPr>
              <w:pageBreakBefore w:val="0"/>
              <w:wordWrap w:val="0"/>
              <w:spacing w:before="0" w:after="0" w:line="28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13B913BA">
            <w:pPr>
              <w:pageBreakBefore w:val="0"/>
              <w:wordWrap w:val="0"/>
              <w:spacing w:before="0" w:after="0" w:line="28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394D0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atLeast"/>
        </w:trPr>
        <w:tc>
          <w:tcPr>
            <w:tcW w:w="725" w:type="dxa"/>
            <w:vMerge w:val="continue"/>
            <w:noWrap w:val="0"/>
            <w:vAlign w:val="center"/>
          </w:tcPr>
          <w:p w14:paraId="030A1A53">
            <w:pPr>
              <w:pageBreakBefore w:val="0"/>
              <w:wordWrap w:val="0"/>
              <w:spacing w:before="0" w:after="0" w:line="260" w:lineRule="atLeast"/>
              <w:ind w:left="0" w:right="0"/>
              <w:jc w:val="center"/>
              <w:textAlignment w:val="baseline"/>
              <w:rPr>
                <w:rFonts w:hint="eastAsia" w:ascii="宋体" w:hAnsi="宋体" w:eastAsia="宋体" w:cs="宋体"/>
                <w:sz w:val="24"/>
                <w:szCs w:val="24"/>
              </w:rPr>
            </w:pPr>
          </w:p>
        </w:tc>
        <w:tc>
          <w:tcPr>
            <w:tcW w:w="1500" w:type="dxa"/>
            <w:noWrap w:val="0"/>
            <w:vAlign w:val="center"/>
          </w:tcPr>
          <w:p w14:paraId="5A4D6279">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提升机地坑上面盖板与后档板</w:t>
            </w:r>
          </w:p>
        </w:tc>
        <w:tc>
          <w:tcPr>
            <w:tcW w:w="5389" w:type="dxa"/>
            <w:vMerge w:val="continue"/>
            <w:noWrap w:val="0"/>
            <w:vAlign w:val="top"/>
          </w:tcPr>
          <w:p w14:paraId="4CF18A24">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5C0B4EFE">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33D543C4">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784A2160">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6121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96" w:hRule="atLeast"/>
        </w:trPr>
        <w:tc>
          <w:tcPr>
            <w:tcW w:w="725" w:type="dxa"/>
            <w:vMerge w:val="restart"/>
            <w:noWrap w:val="0"/>
            <w:vAlign w:val="center"/>
          </w:tcPr>
          <w:p w14:paraId="4A4207EC">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1500" w:type="dxa"/>
            <w:noWrap w:val="0"/>
            <w:vAlign w:val="center"/>
          </w:tcPr>
          <w:p w14:paraId="0564F054">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1#提升机(入</w:t>
            </w: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w:t>
            </w:r>
          </w:p>
        </w:tc>
        <w:tc>
          <w:tcPr>
            <w:tcW w:w="5389" w:type="dxa"/>
            <w:noWrap w:val="0"/>
            <w:vAlign w:val="top"/>
          </w:tcPr>
          <w:p w14:paraId="79344F1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val="en-US" w:eastAsia="zh-CN"/>
              </w:rPr>
            </w:pPr>
            <w:r>
              <w:rPr>
                <w:rFonts w:hint="eastAsia" w:ascii="宋体" w:hAnsi="宋体" w:eastAsia="宋体" w:cs="宋体"/>
                <w:b w:val="0"/>
                <w:i w:val="0"/>
                <w:color w:val="000000"/>
                <w:spacing w:val="0"/>
                <w:sz w:val="24"/>
                <w:szCs w:val="24"/>
                <w:lang w:val="en-US" w:eastAsia="zh-CN"/>
              </w:rPr>
              <w:t>1.</w:t>
            </w:r>
            <w:r>
              <w:rPr>
                <w:rFonts w:hint="eastAsia" w:ascii="宋体" w:hAnsi="宋体" w:eastAsia="宋体" w:cs="宋体"/>
                <w:b w:val="0"/>
                <w:i w:val="0"/>
                <w:color w:val="000000"/>
                <w:spacing w:val="0"/>
                <w:sz w:val="24"/>
                <w:szCs w:val="24"/>
              </w:rPr>
              <w:t>规格：整机高度≧</w:t>
            </w:r>
            <w:r>
              <w:rPr>
                <w:rFonts w:hint="eastAsia" w:ascii="宋体" w:hAnsi="宋体" w:eastAsia="宋体" w:cs="宋体"/>
                <w:b w:val="0"/>
                <w:i w:val="0"/>
                <w:color w:val="000000"/>
                <w:spacing w:val="0"/>
                <w:sz w:val="24"/>
                <w:szCs w:val="24"/>
                <w:lang w:val="en-US" w:eastAsia="zh-CN"/>
              </w:rPr>
              <w:t>11m</w:t>
            </w:r>
          </w:p>
          <w:p w14:paraId="5C69EDA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w:t>
            </w:r>
            <w:r>
              <w:rPr>
                <w:rFonts w:hint="eastAsia" w:ascii="宋体" w:hAnsi="宋体" w:eastAsia="宋体" w:cs="宋体"/>
                <w:b w:val="0"/>
                <w:i w:val="0"/>
                <w:color w:val="000000"/>
                <w:spacing w:val="0"/>
                <w:sz w:val="24"/>
                <w:szCs w:val="24"/>
                <w:lang w:val="en-US" w:eastAsia="zh-CN"/>
              </w:rPr>
              <w:t>玉米</w:t>
            </w:r>
            <w:r>
              <w:rPr>
                <w:rFonts w:hint="eastAsia" w:ascii="宋体" w:hAnsi="宋体" w:eastAsia="宋体" w:cs="宋体"/>
                <w:b w:val="0"/>
                <w:i w:val="0"/>
                <w:color w:val="000000"/>
                <w:spacing w:val="0"/>
                <w:sz w:val="24"/>
                <w:szCs w:val="24"/>
              </w:rPr>
              <w:t>计算不低于35吨/小时。</w:t>
            </w:r>
          </w:p>
          <w:p w14:paraId="532644B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3.能在满载物料的状态下平稳启动，在额定输送量时，驱动轮与牵引带间不打滑。</w:t>
            </w:r>
          </w:p>
          <w:p w14:paraId="038EA83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4.筒体设置尺寸适当的可拆卸的检修门或拆卸板，门或板的制造和安装要注意密封。</w:t>
            </w:r>
          </w:p>
          <w:p w14:paraId="7E4F144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5.机筒采用厚钢板制造，机筒法兰连接加密封胶。</w:t>
            </w:r>
          </w:p>
          <w:p w14:paraId="345E054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6.采用耐腐蚀、防静电畚斗皮带，聚脂尼龙(EP)带芯，每层芯层的抗拉强度≥200N∠层·mm,带的延伸率≤1%。</w:t>
            </w:r>
          </w:p>
          <w:p w14:paraId="533E75C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7.采用高密度聚氨酯畚斗，畚斗带采用聚脂尼龙(EP)带芯。</w:t>
            </w:r>
          </w:p>
          <w:p w14:paraId="0DD30F4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8.检修平台采用国标角钢拼接而成，护栏采用方钢制作，护栏高度符合安全标准要求，平台踏板采用花纹钢板或钢板网。</w:t>
            </w:r>
          </w:p>
          <w:p w14:paraId="13A6387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9.功率:≧4KV。</w:t>
            </w:r>
          </w:p>
        </w:tc>
        <w:tc>
          <w:tcPr>
            <w:tcW w:w="735" w:type="dxa"/>
            <w:noWrap w:val="0"/>
            <w:vAlign w:val="center"/>
          </w:tcPr>
          <w:p w14:paraId="7BFDF5E6">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473A29EC">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168D3908">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1FE55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92" w:hRule="atLeast"/>
        </w:trPr>
        <w:tc>
          <w:tcPr>
            <w:tcW w:w="725" w:type="dxa"/>
            <w:vMerge w:val="continue"/>
            <w:noWrap w:val="0"/>
            <w:vAlign w:val="top"/>
          </w:tcPr>
          <w:p w14:paraId="2B9C461F">
            <w:pPr>
              <w:rPr>
                <w:rFonts w:hint="eastAsia" w:ascii="宋体" w:hAnsi="宋体" w:eastAsia="宋体" w:cs="宋体"/>
                <w:sz w:val="24"/>
                <w:szCs w:val="24"/>
              </w:rPr>
            </w:pPr>
          </w:p>
        </w:tc>
        <w:tc>
          <w:tcPr>
            <w:tcW w:w="1500" w:type="dxa"/>
            <w:noWrap w:val="0"/>
            <w:vAlign w:val="center"/>
          </w:tcPr>
          <w:p w14:paraId="441FEBEE">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检修平台与</w:t>
            </w:r>
            <w:r>
              <w:rPr>
                <w:rFonts w:hint="default" w:ascii="宋体" w:hAnsi="宋体" w:eastAsia="宋体" w:cs="宋体"/>
                <w:b w:val="0"/>
                <w:i w:val="0"/>
                <w:color w:val="000000"/>
                <w:spacing w:val="0"/>
                <w:sz w:val="24"/>
                <w:szCs w:val="24"/>
                <w:lang w:val="en-US"/>
              </w:rPr>
              <w:t>爬</w:t>
            </w:r>
            <w:r>
              <w:rPr>
                <w:rFonts w:hint="eastAsia" w:ascii="宋体" w:hAnsi="宋体" w:eastAsia="宋体" w:cs="宋体"/>
                <w:b w:val="0"/>
                <w:i w:val="0"/>
                <w:color w:val="000000"/>
                <w:spacing w:val="0"/>
                <w:sz w:val="24"/>
                <w:szCs w:val="24"/>
              </w:rPr>
              <w:t>梯</w:t>
            </w:r>
          </w:p>
        </w:tc>
        <w:tc>
          <w:tcPr>
            <w:tcW w:w="5389" w:type="dxa"/>
            <w:noWrap w:val="0"/>
            <w:vAlign w:val="top"/>
          </w:tcPr>
          <w:p w14:paraId="5AA9F9F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1.成套设备平台包括：提升机检修平台及配套楼梯、护栏等。</w:t>
            </w:r>
          </w:p>
          <w:p w14:paraId="3991AE5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5A1EFB5A">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2B974B8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rPr>
              <w:t>4.栏杆和踏板连接应固定到支撑件上，扶栏高度≧1100mm,检修平台宽度≧700mm</w:t>
            </w:r>
            <w:r>
              <w:rPr>
                <w:rFonts w:hint="eastAsia" w:ascii="宋体" w:hAnsi="宋体" w:eastAsia="宋体" w:cs="宋体"/>
                <w:b w:val="0"/>
                <w:i w:val="0"/>
                <w:color w:val="000000"/>
                <w:spacing w:val="0"/>
                <w:sz w:val="24"/>
                <w:szCs w:val="24"/>
                <w:lang w:eastAsia="zh-CN"/>
              </w:rPr>
              <w:t>；</w:t>
            </w:r>
          </w:p>
          <w:p w14:paraId="16A7617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val="en-US" w:eastAsia="zh-CN"/>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w:t>
            </w:r>
            <w:r>
              <w:rPr>
                <w:rFonts w:hint="eastAsia" w:ascii="宋体" w:hAnsi="宋体" w:eastAsia="宋体" w:cs="宋体"/>
                <w:b w:val="0"/>
                <w:i w:val="0"/>
                <w:color w:val="000000"/>
                <w:spacing w:val="0"/>
                <w:sz w:val="24"/>
                <w:szCs w:val="24"/>
                <w:lang w:val="en-US" w:eastAsia="zh-CN"/>
              </w:rPr>
              <w:t>。</w:t>
            </w:r>
          </w:p>
        </w:tc>
        <w:tc>
          <w:tcPr>
            <w:tcW w:w="735" w:type="dxa"/>
            <w:noWrap w:val="0"/>
            <w:vAlign w:val="center"/>
          </w:tcPr>
          <w:p w14:paraId="45474839">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4B97C61A">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745F61F9">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849F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4" w:hRule="atLeast"/>
        </w:trPr>
        <w:tc>
          <w:tcPr>
            <w:tcW w:w="725" w:type="dxa"/>
            <w:vMerge w:val="continue"/>
            <w:noWrap w:val="0"/>
            <w:vAlign w:val="top"/>
          </w:tcPr>
          <w:p w14:paraId="696EDAB3">
            <w:pPr>
              <w:rPr>
                <w:rFonts w:hint="eastAsia" w:ascii="宋体" w:hAnsi="宋体" w:eastAsia="宋体" w:cs="宋体"/>
                <w:sz w:val="24"/>
                <w:szCs w:val="24"/>
              </w:rPr>
            </w:pPr>
          </w:p>
        </w:tc>
        <w:tc>
          <w:tcPr>
            <w:tcW w:w="1500" w:type="dxa"/>
            <w:noWrap w:val="0"/>
            <w:vAlign w:val="center"/>
          </w:tcPr>
          <w:p w14:paraId="1C421B59">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入清理筛流管</w:t>
            </w:r>
          </w:p>
        </w:tc>
        <w:tc>
          <w:tcPr>
            <w:tcW w:w="5389" w:type="dxa"/>
            <w:noWrap w:val="0"/>
            <w:vAlign w:val="top"/>
          </w:tcPr>
          <w:p w14:paraId="6B4760F7">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1.溜管采用钢板或钢化玻璃制造，两端法兰连接；</w:t>
            </w:r>
          </w:p>
          <w:p w14:paraId="374B5CB6">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2.在任何溜管或斜面上通过的粮食应能够以重力自流，最小坡角为≧50°；</w:t>
            </w:r>
          </w:p>
          <w:p w14:paraId="18E2425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rPr>
              <w:t>3.长度≧5m的溜管设有缓冲装置 (缓冲盒)</w:t>
            </w:r>
            <w:r>
              <w:rPr>
                <w:rFonts w:hint="eastAsia" w:ascii="宋体" w:hAnsi="宋体" w:eastAsia="宋体" w:cs="宋体"/>
                <w:b w:val="0"/>
                <w:i w:val="0"/>
                <w:color w:val="000000"/>
                <w:spacing w:val="0"/>
                <w:sz w:val="24"/>
                <w:szCs w:val="24"/>
                <w:lang w:eastAsia="zh-CN"/>
              </w:rPr>
              <w:t>。</w:t>
            </w:r>
          </w:p>
        </w:tc>
        <w:tc>
          <w:tcPr>
            <w:tcW w:w="735" w:type="dxa"/>
            <w:noWrap w:val="0"/>
            <w:vAlign w:val="center"/>
          </w:tcPr>
          <w:p w14:paraId="5F7A8F36">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0F49D93C">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5100233E">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E7F5B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66" w:hRule="atLeast"/>
        </w:trPr>
        <w:tc>
          <w:tcPr>
            <w:tcW w:w="725" w:type="dxa"/>
            <w:vMerge w:val="restart"/>
            <w:noWrap w:val="0"/>
            <w:vAlign w:val="center"/>
          </w:tcPr>
          <w:p w14:paraId="3C41E3BE">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3</w:t>
            </w:r>
          </w:p>
        </w:tc>
        <w:tc>
          <w:tcPr>
            <w:tcW w:w="1500" w:type="dxa"/>
            <w:noWrap w:val="0"/>
            <w:vAlign w:val="center"/>
          </w:tcPr>
          <w:p w14:paraId="5C94E5F4">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w:t>
            </w:r>
          </w:p>
        </w:tc>
        <w:tc>
          <w:tcPr>
            <w:tcW w:w="5389" w:type="dxa"/>
            <w:noWrap w:val="0"/>
            <w:vAlign w:val="top"/>
          </w:tcPr>
          <w:p w14:paraId="7D88940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w:t>
            </w:r>
            <w:r>
              <w:rPr>
                <w:rFonts w:hint="eastAsia" w:ascii="宋体" w:hAnsi="宋体" w:eastAsia="宋体" w:cs="宋体"/>
                <w:b w:val="0"/>
                <w:i w:val="0"/>
                <w:color w:val="000000"/>
                <w:spacing w:val="0"/>
                <w:sz w:val="24"/>
                <w:szCs w:val="24"/>
                <w:lang w:val="en-US" w:eastAsia="zh-CN"/>
              </w:rPr>
              <w:t>圆筒筛</w:t>
            </w:r>
            <w:r>
              <w:rPr>
                <w:rFonts w:hint="eastAsia" w:ascii="宋体" w:hAnsi="宋体" w:eastAsia="宋体" w:cs="宋体"/>
                <w:b w:val="0"/>
                <w:i w:val="0"/>
                <w:color w:val="000000"/>
                <w:spacing w:val="0"/>
                <w:sz w:val="24"/>
                <w:szCs w:val="24"/>
              </w:rPr>
              <w:t>适用麦类、玉米等，除杂标准达到 90%</w:t>
            </w:r>
            <w:r>
              <w:rPr>
                <w:rFonts w:hint="eastAsia" w:ascii="宋体" w:hAnsi="宋体" w:eastAsia="宋体" w:cs="宋体"/>
                <w:b w:val="0"/>
                <w:i w:val="0"/>
                <w:color w:val="000000"/>
                <w:spacing w:val="0"/>
                <w:sz w:val="24"/>
                <w:szCs w:val="24"/>
                <w:lang w:eastAsia="zh-CN"/>
              </w:rPr>
              <w:t>及</w:t>
            </w:r>
            <w:r>
              <w:rPr>
                <w:rFonts w:hint="eastAsia" w:ascii="宋体" w:hAnsi="宋体" w:eastAsia="宋体" w:cs="宋体"/>
                <w:b w:val="0"/>
                <w:i w:val="0"/>
                <w:color w:val="000000"/>
                <w:spacing w:val="0"/>
                <w:sz w:val="24"/>
                <w:szCs w:val="24"/>
              </w:rPr>
              <w:t>以上。</w:t>
            </w:r>
          </w:p>
          <w:p w14:paraId="3725E604">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2、清理筛结构可对不同物料进行多级分选分类，一次性清除物料中的大杂、中杂、小杂及灰尘等杂质。</w:t>
            </w:r>
          </w:p>
          <w:p w14:paraId="0476E9D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3、清理筛需配置双层滚筒筛、振动筛，且为一体化设计。</w:t>
            </w:r>
          </w:p>
          <w:p w14:paraId="6F03AEF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w:t>
            </w: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筛可与垂直吸风分离器、循环风选器同时配备使用。</w:t>
            </w:r>
          </w:p>
          <w:p w14:paraId="6997257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5、功率:≧10KW。</w:t>
            </w:r>
          </w:p>
        </w:tc>
        <w:tc>
          <w:tcPr>
            <w:tcW w:w="735" w:type="dxa"/>
            <w:noWrap w:val="0"/>
            <w:vAlign w:val="center"/>
          </w:tcPr>
          <w:p w14:paraId="063DFB9D">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16E4E271">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3689C6B6">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1B4AB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02" w:hRule="atLeast"/>
        </w:trPr>
        <w:tc>
          <w:tcPr>
            <w:tcW w:w="725" w:type="dxa"/>
            <w:vMerge w:val="continue"/>
            <w:noWrap w:val="0"/>
            <w:vAlign w:val="top"/>
          </w:tcPr>
          <w:p w14:paraId="37430052">
            <w:pPr>
              <w:rPr>
                <w:rFonts w:hint="eastAsia" w:ascii="宋体" w:hAnsi="宋体" w:eastAsia="宋体" w:cs="宋体"/>
                <w:sz w:val="24"/>
                <w:szCs w:val="24"/>
              </w:rPr>
            </w:pPr>
          </w:p>
        </w:tc>
        <w:tc>
          <w:tcPr>
            <w:tcW w:w="1500" w:type="dxa"/>
            <w:noWrap w:val="0"/>
            <w:vAlign w:val="center"/>
          </w:tcPr>
          <w:p w14:paraId="21ED50B7">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筛检修平台、护栏</w:t>
            </w:r>
          </w:p>
        </w:tc>
        <w:tc>
          <w:tcPr>
            <w:tcW w:w="5389" w:type="dxa"/>
            <w:noWrap w:val="0"/>
            <w:vAlign w:val="top"/>
          </w:tcPr>
          <w:p w14:paraId="1E7C83F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1.成套设备平台包括：滚振筛检修平台及配套楼梯、护栏等。</w:t>
            </w:r>
          </w:p>
          <w:p w14:paraId="32EBB62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153F28A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00970EE7">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4.栏杆和踏板连接应固定到支撑件上，扶栏高度≧1100mm,检修平台宽度≧700mm;</w:t>
            </w:r>
          </w:p>
          <w:p w14:paraId="371357A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w:t>
            </w:r>
          </w:p>
        </w:tc>
        <w:tc>
          <w:tcPr>
            <w:tcW w:w="735" w:type="dxa"/>
            <w:noWrap w:val="0"/>
            <w:vAlign w:val="center"/>
          </w:tcPr>
          <w:p w14:paraId="5FC3FBF0">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2DF63F27">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7D797766">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3D5CA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30" w:hRule="atLeast"/>
        </w:trPr>
        <w:tc>
          <w:tcPr>
            <w:tcW w:w="725" w:type="dxa"/>
            <w:vMerge w:val="restart"/>
            <w:noWrap w:val="0"/>
            <w:vAlign w:val="center"/>
          </w:tcPr>
          <w:p w14:paraId="7BF8358B">
            <w:pPr>
              <w:pageBreakBefore w:val="0"/>
              <w:wordWrap w:val="0"/>
              <w:spacing w:before="0" w:after="0" w:line="240" w:lineRule="atLeast"/>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lang w:val="en-US" w:eastAsia="zh-CN"/>
              </w:rPr>
              <w:t>4</w:t>
            </w:r>
          </w:p>
        </w:tc>
        <w:tc>
          <w:tcPr>
            <w:tcW w:w="1500" w:type="dxa"/>
            <w:noWrap w:val="0"/>
            <w:vAlign w:val="center"/>
          </w:tcPr>
          <w:p w14:paraId="71363C2E">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1#出粮输送机</w:t>
            </w:r>
          </w:p>
        </w:tc>
        <w:tc>
          <w:tcPr>
            <w:tcW w:w="5389" w:type="dxa"/>
            <w:noWrap w:val="0"/>
            <w:vAlign w:val="top"/>
          </w:tcPr>
          <w:p w14:paraId="415B8594">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1.规格：采用U型，密闭式结构，整机长度满足工艺和技术要求。</w:t>
            </w:r>
          </w:p>
          <w:p w14:paraId="1B85C31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w:t>
            </w:r>
            <w:r>
              <w:rPr>
                <w:rFonts w:hint="eastAsia" w:ascii="宋体" w:hAnsi="宋体" w:eastAsia="宋体" w:cs="宋体"/>
                <w:b w:val="0"/>
                <w:i w:val="0"/>
                <w:color w:val="000000"/>
                <w:spacing w:val="0"/>
                <w:sz w:val="24"/>
                <w:szCs w:val="24"/>
                <w:lang w:val="en-US" w:eastAsia="zh-CN"/>
              </w:rPr>
              <w:t>玉米</w:t>
            </w:r>
            <w:r>
              <w:rPr>
                <w:rFonts w:hint="eastAsia" w:ascii="宋体" w:hAnsi="宋体" w:eastAsia="宋体" w:cs="宋体"/>
                <w:b w:val="0"/>
                <w:i w:val="0"/>
                <w:color w:val="000000"/>
                <w:spacing w:val="0"/>
                <w:sz w:val="24"/>
                <w:szCs w:val="24"/>
              </w:rPr>
              <w:t>计算≧40t/h。</w:t>
            </w:r>
          </w:p>
          <w:p w14:paraId="16721FB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3.采用减速电机，避免采用皮带传动造成的打滑、松弛、易段，提高效能。</w:t>
            </w:r>
          </w:p>
          <w:p w14:paraId="1DBB1FA9">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4.材质：采用钢板和角钢国标链条和刮板制作。</w:t>
            </w:r>
          </w:p>
          <w:p w14:paraId="30AEBC9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.功率:≧2.2KW。</w:t>
            </w:r>
          </w:p>
        </w:tc>
        <w:tc>
          <w:tcPr>
            <w:tcW w:w="735" w:type="dxa"/>
            <w:noWrap w:val="0"/>
            <w:vAlign w:val="center"/>
          </w:tcPr>
          <w:p w14:paraId="1F11914D">
            <w:pPr>
              <w:pageBreakBefore w:val="0"/>
              <w:wordWrap w:val="0"/>
              <w:spacing w:before="0" w:after="0" w:line="240" w:lineRule="atLeast"/>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lang w:val="en-US" w:eastAsia="zh-CN"/>
              </w:rPr>
              <w:t>8</w:t>
            </w:r>
          </w:p>
        </w:tc>
        <w:tc>
          <w:tcPr>
            <w:tcW w:w="780" w:type="dxa"/>
            <w:noWrap w:val="0"/>
            <w:vAlign w:val="center"/>
          </w:tcPr>
          <w:p w14:paraId="252E49F1">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米</w:t>
            </w:r>
          </w:p>
        </w:tc>
        <w:tc>
          <w:tcPr>
            <w:tcW w:w="522" w:type="dxa"/>
            <w:noWrap w:val="0"/>
            <w:vAlign w:val="center"/>
          </w:tcPr>
          <w:p w14:paraId="12B46FED">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3F370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19" w:hRule="atLeast"/>
        </w:trPr>
        <w:tc>
          <w:tcPr>
            <w:tcW w:w="725" w:type="dxa"/>
            <w:vMerge w:val="continue"/>
            <w:noWrap w:val="0"/>
            <w:vAlign w:val="top"/>
          </w:tcPr>
          <w:p w14:paraId="5F8D6E13">
            <w:pPr>
              <w:rPr>
                <w:rFonts w:hint="eastAsia" w:ascii="宋体" w:hAnsi="宋体" w:eastAsia="宋体" w:cs="宋体"/>
                <w:sz w:val="24"/>
                <w:szCs w:val="24"/>
              </w:rPr>
            </w:pPr>
          </w:p>
        </w:tc>
        <w:tc>
          <w:tcPr>
            <w:tcW w:w="1500" w:type="dxa"/>
            <w:vMerge w:val="restart"/>
            <w:noWrap w:val="0"/>
            <w:vAlign w:val="center"/>
          </w:tcPr>
          <w:p w14:paraId="7EDD06CA">
            <w:pPr>
              <w:pageBreakBefore w:val="0"/>
              <w:wordWrap w:val="0"/>
              <w:spacing w:before="0" w:after="0" w:line="240" w:lineRule="atLeast"/>
              <w:ind w:left="20" w:right="4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皮带输送机支架与平台</w:t>
            </w:r>
          </w:p>
        </w:tc>
        <w:tc>
          <w:tcPr>
            <w:tcW w:w="5389" w:type="dxa"/>
            <w:vMerge w:val="restart"/>
            <w:noWrap w:val="0"/>
            <w:vAlign w:val="top"/>
          </w:tcPr>
          <w:p w14:paraId="105F47D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1.成套设备平台包括：皮带输送机检修平台及配套楼梯、护栏等。</w:t>
            </w:r>
          </w:p>
          <w:p w14:paraId="420BD38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191A5811">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490DCB89">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4.栏杆和踏板连接应固定到支撑件上，扶栏高度≧1100mm,检修平台宽度≧</w:t>
            </w:r>
            <w:r>
              <w:rPr>
                <w:rFonts w:hint="eastAsia" w:ascii="宋体" w:hAnsi="宋体" w:eastAsia="宋体" w:cs="宋体"/>
                <w:b w:val="0"/>
                <w:i w:val="0"/>
                <w:color w:val="000000"/>
                <w:spacing w:val="0"/>
                <w:sz w:val="24"/>
                <w:szCs w:val="24"/>
                <w:lang w:val="en-US" w:eastAsia="zh-CN"/>
              </w:rPr>
              <w:t>6</w:t>
            </w:r>
            <w:r>
              <w:rPr>
                <w:rFonts w:hint="eastAsia" w:ascii="宋体" w:hAnsi="宋体" w:eastAsia="宋体" w:cs="宋体"/>
                <w:b w:val="0"/>
                <w:i w:val="0"/>
                <w:color w:val="000000"/>
                <w:spacing w:val="0"/>
                <w:sz w:val="24"/>
                <w:szCs w:val="24"/>
              </w:rPr>
              <w:t>00mm;</w:t>
            </w:r>
          </w:p>
          <w:p w14:paraId="0C9A494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lang w:eastAsia="zh-CN"/>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w:t>
            </w:r>
            <w:r>
              <w:rPr>
                <w:rFonts w:hint="eastAsia" w:ascii="宋体" w:hAnsi="宋体" w:eastAsia="宋体" w:cs="宋体"/>
                <w:b w:val="0"/>
                <w:i w:val="0"/>
                <w:color w:val="000000"/>
                <w:spacing w:val="0"/>
                <w:sz w:val="24"/>
                <w:szCs w:val="24"/>
                <w:lang w:eastAsia="zh-CN"/>
              </w:rPr>
              <w:t>。</w:t>
            </w:r>
          </w:p>
        </w:tc>
        <w:tc>
          <w:tcPr>
            <w:tcW w:w="735" w:type="dxa"/>
            <w:noWrap w:val="0"/>
            <w:vAlign w:val="center"/>
          </w:tcPr>
          <w:p w14:paraId="0E04C45B">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2</w:t>
            </w:r>
          </w:p>
        </w:tc>
        <w:tc>
          <w:tcPr>
            <w:tcW w:w="780" w:type="dxa"/>
            <w:noWrap w:val="0"/>
            <w:vAlign w:val="center"/>
          </w:tcPr>
          <w:p w14:paraId="51458B9E">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件</w:t>
            </w:r>
          </w:p>
        </w:tc>
        <w:tc>
          <w:tcPr>
            <w:tcW w:w="522" w:type="dxa"/>
            <w:noWrap w:val="0"/>
            <w:vAlign w:val="center"/>
          </w:tcPr>
          <w:p w14:paraId="3E952C47">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1A1BED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9" w:hRule="atLeast"/>
        </w:trPr>
        <w:tc>
          <w:tcPr>
            <w:tcW w:w="725" w:type="dxa"/>
            <w:vMerge w:val="continue"/>
            <w:noWrap w:val="0"/>
            <w:vAlign w:val="top"/>
          </w:tcPr>
          <w:p w14:paraId="61A513CF">
            <w:pPr>
              <w:rPr>
                <w:rFonts w:hint="eastAsia" w:ascii="宋体" w:hAnsi="宋体" w:eastAsia="宋体" w:cs="宋体"/>
                <w:sz w:val="24"/>
                <w:szCs w:val="24"/>
              </w:rPr>
            </w:pPr>
          </w:p>
        </w:tc>
        <w:tc>
          <w:tcPr>
            <w:tcW w:w="1500" w:type="dxa"/>
            <w:vMerge w:val="continue"/>
            <w:noWrap w:val="0"/>
            <w:vAlign w:val="center"/>
          </w:tcPr>
          <w:p w14:paraId="67774628">
            <w:pPr>
              <w:pageBreakBefore w:val="0"/>
              <w:wordWrap w:val="0"/>
              <w:spacing w:before="0" w:after="0" w:line="240" w:lineRule="atLeast"/>
              <w:ind w:left="20" w:right="40"/>
              <w:jc w:val="center"/>
              <w:textAlignment w:val="baseline"/>
              <w:rPr>
                <w:rFonts w:hint="eastAsia" w:ascii="宋体" w:hAnsi="宋体" w:eastAsia="宋体" w:cs="宋体"/>
                <w:sz w:val="24"/>
                <w:szCs w:val="24"/>
              </w:rPr>
            </w:pPr>
          </w:p>
        </w:tc>
        <w:tc>
          <w:tcPr>
            <w:tcW w:w="5389" w:type="dxa"/>
            <w:vMerge w:val="continue"/>
            <w:noWrap w:val="0"/>
            <w:vAlign w:val="top"/>
          </w:tcPr>
          <w:p w14:paraId="452E8DC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p>
        </w:tc>
        <w:tc>
          <w:tcPr>
            <w:tcW w:w="735" w:type="dxa"/>
            <w:noWrap w:val="0"/>
            <w:vAlign w:val="center"/>
          </w:tcPr>
          <w:p w14:paraId="04428D82">
            <w:pPr>
              <w:pageBreakBefore w:val="0"/>
              <w:wordWrap w:val="0"/>
              <w:spacing w:before="0" w:after="0" w:line="240" w:lineRule="atLeast"/>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pacing w:val="0"/>
                <w:sz w:val="24"/>
                <w:szCs w:val="24"/>
                <w:lang w:val="en-US" w:eastAsia="zh-CN"/>
              </w:rPr>
              <w:t>8</w:t>
            </w:r>
          </w:p>
        </w:tc>
        <w:tc>
          <w:tcPr>
            <w:tcW w:w="780" w:type="dxa"/>
            <w:noWrap w:val="0"/>
            <w:vAlign w:val="center"/>
          </w:tcPr>
          <w:p w14:paraId="50E4D5DC">
            <w:pPr>
              <w:pageBreakBefore w:val="0"/>
              <w:wordWrap w:val="0"/>
              <w:spacing w:before="0" w:after="0" w:line="2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米</w:t>
            </w:r>
          </w:p>
        </w:tc>
        <w:tc>
          <w:tcPr>
            <w:tcW w:w="522" w:type="dxa"/>
            <w:noWrap w:val="0"/>
            <w:vAlign w:val="center"/>
          </w:tcPr>
          <w:p w14:paraId="3AE1EB9A">
            <w:pPr>
              <w:pageBreakBefore w:val="0"/>
              <w:wordWrap w:val="0"/>
              <w:spacing w:before="0" w:after="0" w:line="2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39C1A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16" w:hRule="atLeast"/>
        </w:trPr>
        <w:tc>
          <w:tcPr>
            <w:tcW w:w="725" w:type="dxa"/>
            <w:vMerge w:val="restart"/>
            <w:noWrap w:val="0"/>
            <w:vAlign w:val="center"/>
          </w:tcPr>
          <w:p w14:paraId="318C10EB">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b w:val="0"/>
                <w:i w:val="0"/>
                <w:color w:val="000000"/>
                <w:spacing w:val="0"/>
                <w:sz w:val="24"/>
                <w:szCs w:val="24"/>
                <w:lang w:val="en-US" w:eastAsia="zh-CN"/>
              </w:rPr>
              <w:t>5</w:t>
            </w:r>
          </w:p>
        </w:tc>
        <w:tc>
          <w:tcPr>
            <w:tcW w:w="1500" w:type="dxa"/>
            <w:noWrap w:val="0"/>
            <w:vAlign w:val="center"/>
          </w:tcPr>
          <w:p w14:paraId="2CEE1520">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lang w:val="en-US" w:eastAsia="zh-CN"/>
              </w:rPr>
              <w:t>2</w:t>
            </w:r>
            <w:r>
              <w:rPr>
                <w:rFonts w:hint="eastAsia" w:ascii="宋体" w:hAnsi="宋体" w:eastAsia="宋体" w:cs="宋体"/>
                <w:b w:val="0"/>
                <w:i w:val="0"/>
                <w:color w:val="000000"/>
                <w:spacing w:val="0"/>
                <w:sz w:val="24"/>
                <w:szCs w:val="24"/>
              </w:rPr>
              <w:t>#提升机(入</w:t>
            </w:r>
            <w:r>
              <w:rPr>
                <w:rFonts w:hint="eastAsia" w:ascii="宋体" w:hAnsi="宋体" w:eastAsia="宋体" w:cs="宋体"/>
                <w:b w:val="0"/>
                <w:i w:val="0"/>
                <w:color w:val="000000"/>
                <w:spacing w:val="0"/>
                <w:sz w:val="24"/>
                <w:szCs w:val="24"/>
                <w:lang w:val="en-US" w:eastAsia="zh-CN"/>
              </w:rPr>
              <w:t>圆筒</w:t>
            </w:r>
            <w:r>
              <w:rPr>
                <w:rFonts w:hint="eastAsia" w:ascii="宋体" w:hAnsi="宋体" w:eastAsia="宋体" w:cs="宋体"/>
                <w:b w:val="0"/>
                <w:i w:val="0"/>
                <w:color w:val="000000"/>
                <w:spacing w:val="0"/>
                <w:sz w:val="24"/>
                <w:szCs w:val="24"/>
              </w:rPr>
              <w:t>筛)</w:t>
            </w:r>
          </w:p>
        </w:tc>
        <w:tc>
          <w:tcPr>
            <w:tcW w:w="5389" w:type="dxa"/>
            <w:noWrap w:val="0"/>
            <w:vAlign w:val="top"/>
          </w:tcPr>
          <w:p w14:paraId="5087BFB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1.规格：整机高度≧</w:t>
            </w:r>
            <w:r>
              <w:rPr>
                <w:rFonts w:hint="eastAsia" w:ascii="宋体" w:hAnsi="宋体" w:eastAsia="宋体" w:cs="宋体"/>
                <w:b w:val="0"/>
                <w:i w:val="0"/>
                <w:color w:val="000000"/>
                <w:spacing w:val="0"/>
                <w:sz w:val="24"/>
                <w:szCs w:val="24"/>
                <w:lang w:val="en-US" w:eastAsia="zh-CN"/>
              </w:rPr>
              <w:t>6m</w:t>
            </w:r>
          </w:p>
          <w:p w14:paraId="03D216A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w:t>
            </w:r>
            <w:r>
              <w:rPr>
                <w:rFonts w:hint="eastAsia" w:ascii="宋体" w:hAnsi="宋体" w:eastAsia="宋体" w:cs="宋体"/>
                <w:b w:val="0"/>
                <w:i w:val="0"/>
                <w:color w:val="000000"/>
                <w:spacing w:val="0"/>
                <w:sz w:val="24"/>
                <w:szCs w:val="24"/>
                <w:lang w:val="en-US" w:eastAsia="zh-CN"/>
              </w:rPr>
              <w:t>玉米</w:t>
            </w:r>
            <w:r>
              <w:rPr>
                <w:rFonts w:hint="eastAsia" w:ascii="宋体" w:hAnsi="宋体" w:eastAsia="宋体" w:cs="宋体"/>
                <w:b w:val="0"/>
                <w:i w:val="0"/>
                <w:color w:val="000000"/>
                <w:spacing w:val="0"/>
                <w:sz w:val="24"/>
                <w:szCs w:val="24"/>
              </w:rPr>
              <w:t>计算≧35吨/小时。</w:t>
            </w:r>
          </w:p>
          <w:p w14:paraId="6F1CEF7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3.能在满载物料的状态下平稳启动，在额定输送量时，驱动轮与牵引带间不打滑。</w:t>
            </w:r>
          </w:p>
          <w:p w14:paraId="20E5042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4.筒体设置尺寸适当的可拆卸的检修门或拆卸板，门或板的制造和安装要注意密封。</w:t>
            </w:r>
          </w:p>
          <w:p w14:paraId="1DDE490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5.机筒采用厚钢板制造，机筒法兰连接加密封胶。</w:t>
            </w:r>
          </w:p>
          <w:p w14:paraId="6ABE50B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6.采用耐腐蚀、防静电畚斗皮带，聚脂尼龙(EP)带芯，每层芯层的抗拉强度≥200N∠层· mm,带的延伸率≤1%。</w:t>
            </w:r>
          </w:p>
          <w:p w14:paraId="15A5291E">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7.采用高密度聚氨酯畚斗，畚斗带采用聚脂尼龙(EP)带芯。</w:t>
            </w:r>
          </w:p>
          <w:p w14:paraId="17B35ED0">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8.检修平台采用国标角钢拼接而成，护栏采用方钢制作，护栏高度符合安全标准要求，平台踏板采用花纹钢板或钢板网。</w:t>
            </w:r>
          </w:p>
          <w:p w14:paraId="5BF89C5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9.功率:≧4KV。</w:t>
            </w:r>
          </w:p>
        </w:tc>
        <w:tc>
          <w:tcPr>
            <w:tcW w:w="735" w:type="dxa"/>
            <w:noWrap w:val="0"/>
            <w:vAlign w:val="center"/>
          </w:tcPr>
          <w:p w14:paraId="297B8ADE">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3AE835ED">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台</w:t>
            </w:r>
          </w:p>
        </w:tc>
        <w:tc>
          <w:tcPr>
            <w:tcW w:w="522" w:type="dxa"/>
            <w:noWrap w:val="0"/>
            <w:vAlign w:val="center"/>
          </w:tcPr>
          <w:p w14:paraId="6DF6CB1E">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64987D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53" w:hRule="atLeast"/>
        </w:trPr>
        <w:tc>
          <w:tcPr>
            <w:tcW w:w="725" w:type="dxa"/>
            <w:vMerge w:val="continue"/>
            <w:noWrap w:val="0"/>
            <w:vAlign w:val="center"/>
          </w:tcPr>
          <w:p w14:paraId="6D2780A0">
            <w:pPr>
              <w:pageBreakBefore w:val="0"/>
              <w:wordWrap w:val="0"/>
              <w:spacing w:before="0" w:after="0" w:line="280" w:lineRule="atLeast"/>
              <w:ind w:left="0" w:right="0"/>
              <w:jc w:val="center"/>
              <w:textAlignment w:val="baseline"/>
              <w:rPr>
                <w:rFonts w:hint="eastAsia" w:ascii="宋体" w:hAnsi="宋体" w:eastAsia="宋体" w:cs="宋体"/>
                <w:b w:val="0"/>
                <w:i w:val="0"/>
                <w:color w:val="000000"/>
                <w:spacing w:val="0"/>
                <w:sz w:val="24"/>
                <w:szCs w:val="24"/>
              </w:rPr>
            </w:pPr>
          </w:p>
        </w:tc>
        <w:tc>
          <w:tcPr>
            <w:tcW w:w="1500" w:type="dxa"/>
            <w:noWrap w:val="0"/>
            <w:vAlign w:val="center"/>
          </w:tcPr>
          <w:p w14:paraId="161EB1D0">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检修平台与</w:t>
            </w:r>
            <w:r>
              <w:rPr>
                <w:rFonts w:hint="default" w:ascii="宋体" w:hAnsi="宋体" w:eastAsia="宋体" w:cs="宋体"/>
                <w:b w:val="0"/>
                <w:i w:val="0"/>
                <w:color w:val="000000"/>
                <w:spacing w:val="0"/>
                <w:sz w:val="24"/>
                <w:szCs w:val="24"/>
                <w:lang w:val="en-US"/>
              </w:rPr>
              <w:t>爬</w:t>
            </w:r>
            <w:r>
              <w:rPr>
                <w:rFonts w:hint="eastAsia" w:ascii="宋体" w:hAnsi="宋体" w:eastAsia="宋体" w:cs="宋体"/>
                <w:b w:val="0"/>
                <w:i w:val="0"/>
                <w:color w:val="000000"/>
                <w:spacing w:val="0"/>
                <w:sz w:val="24"/>
                <w:szCs w:val="24"/>
              </w:rPr>
              <w:t>梯</w:t>
            </w:r>
          </w:p>
        </w:tc>
        <w:tc>
          <w:tcPr>
            <w:tcW w:w="5389" w:type="dxa"/>
            <w:noWrap w:val="0"/>
            <w:vAlign w:val="top"/>
          </w:tcPr>
          <w:p w14:paraId="306B896B">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1.成套设备平台包括：提升机检修平台及配套楼梯、护栏等。</w:t>
            </w:r>
          </w:p>
          <w:p w14:paraId="54BD572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2.钢结构件和维修平台均应采用热轧型钢制造，走道和维修平台应足以支撑在维护设备时可能放在它上面的任何零部件及工具，并不会掉落；</w:t>
            </w:r>
          </w:p>
          <w:p w14:paraId="293AEC53">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3.平台采用花纹钢板或钢格栅，防止积雪、积水和积尘，底部支撑间距≤500mm；</w:t>
            </w:r>
          </w:p>
          <w:p w14:paraId="1882E82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4.栏杆和踏板连接应固定到支撑件上，扶栏高度≧1100mm,检修平台宽度≧700mm;</w:t>
            </w:r>
          </w:p>
          <w:p w14:paraId="2434E16C">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lang w:val="en-US" w:eastAsia="zh-CN"/>
              </w:rPr>
              <w:t>5</w:t>
            </w:r>
            <w:r>
              <w:rPr>
                <w:rFonts w:hint="eastAsia" w:ascii="宋体" w:hAnsi="宋体" w:eastAsia="宋体" w:cs="宋体"/>
                <w:b w:val="0"/>
                <w:i w:val="0"/>
                <w:color w:val="000000"/>
                <w:spacing w:val="0"/>
                <w:sz w:val="24"/>
                <w:szCs w:val="24"/>
              </w:rPr>
              <w:t>.表面除锈彻底；环氧树脂底漆；聚胺酯面漆；</w:t>
            </w:r>
          </w:p>
        </w:tc>
        <w:tc>
          <w:tcPr>
            <w:tcW w:w="735" w:type="dxa"/>
            <w:noWrap w:val="0"/>
            <w:vAlign w:val="center"/>
          </w:tcPr>
          <w:p w14:paraId="69F650B3">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49CB9EFF">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59DC7430">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53862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14" w:hRule="atLeast"/>
        </w:trPr>
        <w:tc>
          <w:tcPr>
            <w:tcW w:w="725" w:type="dxa"/>
            <w:vMerge w:val="continue"/>
            <w:noWrap w:val="0"/>
            <w:vAlign w:val="center"/>
          </w:tcPr>
          <w:p w14:paraId="6F56A863">
            <w:pPr>
              <w:pageBreakBefore w:val="0"/>
              <w:wordWrap w:val="0"/>
              <w:spacing w:before="0" w:after="0" w:line="280" w:lineRule="atLeast"/>
              <w:ind w:left="0" w:right="0"/>
              <w:jc w:val="center"/>
              <w:textAlignment w:val="baseline"/>
              <w:rPr>
                <w:rFonts w:hint="eastAsia" w:ascii="宋体" w:hAnsi="宋体" w:eastAsia="宋体" w:cs="宋体"/>
                <w:b w:val="0"/>
                <w:i w:val="0"/>
                <w:color w:val="000000"/>
                <w:spacing w:val="0"/>
                <w:sz w:val="24"/>
                <w:szCs w:val="24"/>
              </w:rPr>
            </w:pPr>
          </w:p>
        </w:tc>
        <w:tc>
          <w:tcPr>
            <w:tcW w:w="1500" w:type="dxa"/>
            <w:noWrap w:val="0"/>
            <w:vAlign w:val="center"/>
          </w:tcPr>
          <w:p w14:paraId="275E7C17">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入清理筛流管</w:t>
            </w:r>
          </w:p>
        </w:tc>
        <w:tc>
          <w:tcPr>
            <w:tcW w:w="5389" w:type="dxa"/>
            <w:noWrap w:val="0"/>
            <w:vAlign w:val="top"/>
          </w:tcPr>
          <w:p w14:paraId="716F6C02">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1.溜管采用钢板或钢化玻璃制造，两端法兰连接；</w:t>
            </w:r>
          </w:p>
          <w:p w14:paraId="688144B5">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2.在任何溜管或斜面上通过的粮食应能够以重力自流，最小坡角为≧50°；</w:t>
            </w:r>
          </w:p>
          <w:p w14:paraId="2AECB0DD">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3.长度≧5m的溜管设有缓冲装置 (缓冲盒) ;</w:t>
            </w:r>
          </w:p>
        </w:tc>
        <w:tc>
          <w:tcPr>
            <w:tcW w:w="735" w:type="dxa"/>
            <w:noWrap w:val="0"/>
            <w:vAlign w:val="center"/>
          </w:tcPr>
          <w:p w14:paraId="6896B69B">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1</w:t>
            </w:r>
          </w:p>
        </w:tc>
        <w:tc>
          <w:tcPr>
            <w:tcW w:w="780" w:type="dxa"/>
            <w:noWrap w:val="0"/>
            <w:vAlign w:val="center"/>
          </w:tcPr>
          <w:p w14:paraId="0031C4A6">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套</w:t>
            </w:r>
          </w:p>
        </w:tc>
        <w:tc>
          <w:tcPr>
            <w:tcW w:w="522" w:type="dxa"/>
            <w:noWrap w:val="0"/>
            <w:vAlign w:val="center"/>
          </w:tcPr>
          <w:p w14:paraId="10091CA9">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r w14:paraId="47EF4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90" w:hRule="atLeast"/>
        </w:trPr>
        <w:tc>
          <w:tcPr>
            <w:tcW w:w="725" w:type="dxa"/>
            <w:noWrap w:val="0"/>
            <w:vAlign w:val="center"/>
          </w:tcPr>
          <w:p w14:paraId="0810B7C8">
            <w:pPr>
              <w:pageBreakBefore w:val="0"/>
              <w:wordWrap w:val="0"/>
              <w:spacing w:before="0" w:after="0" w:line="240" w:lineRule="atLeast"/>
              <w:ind w:left="0"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b w:val="0"/>
                <w:i w:val="0"/>
                <w:color w:val="000000"/>
                <w:spacing w:val="0"/>
                <w:sz w:val="24"/>
                <w:szCs w:val="24"/>
                <w:lang w:val="en-US" w:eastAsia="zh-CN"/>
              </w:rPr>
              <w:t>6</w:t>
            </w:r>
          </w:p>
        </w:tc>
        <w:tc>
          <w:tcPr>
            <w:tcW w:w="1500" w:type="dxa"/>
            <w:noWrap w:val="0"/>
            <w:vAlign w:val="center"/>
          </w:tcPr>
          <w:p w14:paraId="29CFB673">
            <w:pPr>
              <w:pageBreakBefore w:val="0"/>
              <w:wordWrap w:val="0"/>
              <w:spacing w:before="0" w:after="0" w:line="240" w:lineRule="atLeast"/>
              <w:ind w:left="20" w:leftChars="0" w:right="40" w:rightChars="0"/>
              <w:jc w:val="center"/>
              <w:textAlignment w:val="baseline"/>
              <w:rPr>
                <w:rFonts w:hint="eastAsia" w:ascii="宋体" w:hAnsi="宋体" w:eastAsia="宋体" w:cs="宋体"/>
                <w:sz w:val="24"/>
                <w:szCs w:val="24"/>
              </w:rPr>
            </w:pPr>
            <w:r>
              <w:rPr>
                <w:rFonts w:hint="eastAsia" w:ascii="宋体" w:hAnsi="宋体" w:cs="宋体"/>
                <w:b w:val="0"/>
                <w:i w:val="0"/>
                <w:color w:val="000000"/>
                <w:spacing w:val="0"/>
                <w:sz w:val="24"/>
                <w:szCs w:val="24"/>
                <w:lang w:val="en-US" w:eastAsia="zh-CN"/>
              </w:rPr>
              <w:t>2</w:t>
            </w:r>
            <w:r>
              <w:rPr>
                <w:rFonts w:hint="eastAsia" w:ascii="宋体" w:hAnsi="宋体" w:eastAsia="宋体" w:cs="宋体"/>
                <w:b w:val="0"/>
                <w:i w:val="0"/>
                <w:color w:val="000000"/>
                <w:spacing w:val="0"/>
                <w:sz w:val="24"/>
                <w:szCs w:val="24"/>
              </w:rPr>
              <w:t>#出粮输送机</w:t>
            </w:r>
          </w:p>
        </w:tc>
        <w:tc>
          <w:tcPr>
            <w:tcW w:w="5389" w:type="dxa"/>
            <w:noWrap w:val="0"/>
            <w:vAlign w:val="top"/>
          </w:tcPr>
          <w:p w14:paraId="21795B4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1.规格：采用U型，密闭式结构，整机长度满足工艺和技术要求。</w:t>
            </w:r>
          </w:p>
          <w:p w14:paraId="4CC534B8">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2.产量：以玉米计算≧40t/h。</w:t>
            </w:r>
          </w:p>
          <w:p w14:paraId="35570F7F">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3.采用减速电机，避免采用皮带传动造成的打滑、松弛、易段，提高效能。</w:t>
            </w:r>
          </w:p>
          <w:p w14:paraId="53A555E9">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4.材质：采用钢板和角钢国标链条和刮板制作。</w:t>
            </w:r>
          </w:p>
          <w:p w14:paraId="4B8A74B3">
            <w:pPr>
              <w:pageBreakBefore w:val="0"/>
              <w:wordWrap w:val="0"/>
              <w:spacing w:before="0" w:after="0" w:line="300" w:lineRule="atLeast"/>
              <w:ind w:left="60" w:right="0"/>
              <w:jc w:val="both"/>
              <w:textAlignment w:val="baseline"/>
              <w:rPr>
                <w:rFonts w:hint="eastAsia" w:ascii="宋体" w:hAnsi="宋体" w:eastAsia="宋体" w:cs="宋体"/>
                <w:b w:val="0"/>
                <w:i w:val="0"/>
                <w:color w:val="000000"/>
                <w:spacing w:val="0"/>
                <w:sz w:val="24"/>
                <w:szCs w:val="24"/>
              </w:rPr>
            </w:pPr>
            <w:r>
              <w:rPr>
                <w:rFonts w:hint="eastAsia" w:ascii="宋体" w:hAnsi="宋体" w:eastAsia="宋体" w:cs="宋体"/>
                <w:b w:val="0"/>
                <w:i w:val="0"/>
                <w:color w:val="000000"/>
                <w:spacing w:val="0"/>
                <w:sz w:val="24"/>
                <w:szCs w:val="24"/>
              </w:rPr>
              <w:t>5.功率:≧2.2KW。</w:t>
            </w:r>
          </w:p>
        </w:tc>
        <w:tc>
          <w:tcPr>
            <w:tcW w:w="735" w:type="dxa"/>
            <w:noWrap w:val="0"/>
            <w:vAlign w:val="center"/>
          </w:tcPr>
          <w:p w14:paraId="27A5482C">
            <w:pPr>
              <w:pageBreakBefore w:val="0"/>
              <w:wordWrap w:val="0"/>
              <w:spacing w:before="0" w:after="0" w:line="240" w:lineRule="atLeast"/>
              <w:ind w:left="0" w:leftChars="0" w:right="0" w:rightChars="0"/>
              <w:jc w:val="center"/>
              <w:textAlignment w:val="baseline"/>
              <w:rPr>
                <w:rFonts w:hint="default" w:ascii="宋体" w:hAnsi="宋体" w:eastAsia="宋体" w:cs="宋体"/>
                <w:sz w:val="24"/>
                <w:szCs w:val="24"/>
                <w:lang w:val="en-US" w:eastAsia="zh-CN"/>
              </w:rPr>
            </w:pPr>
            <w:r>
              <w:rPr>
                <w:rFonts w:hint="eastAsia" w:ascii="宋体" w:hAnsi="宋体" w:eastAsia="宋体" w:cs="宋体"/>
                <w:b w:val="0"/>
                <w:i w:val="0"/>
                <w:color w:val="000000"/>
                <w:spacing w:val="0"/>
                <w:sz w:val="24"/>
                <w:szCs w:val="24"/>
                <w:lang w:val="en-US" w:eastAsia="zh-CN"/>
              </w:rPr>
              <w:t>12</w:t>
            </w:r>
          </w:p>
        </w:tc>
        <w:tc>
          <w:tcPr>
            <w:tcW w:w="780" w:type="dxa"/>
            <w:noWrap w:val="0"/>
            <w:vAlign w:val="center"/>
          </w:tcPr>
          <w:p w14:paraId="72BB410D">
            <w:pPr>
              <w:pageBreakBefore w:val="0"/>
              <w:wordWrap w:val="0"/>
              <w:spacing w:before="0" w:after="0" w:line="240" w:lineRule="atLeas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米</w:t>
            </w:r>
          </w:p>
        </w:tc>
        <w:tc>
          <w:tcPr>
            <w:tcW w:w="522" w:type="dxa"/>
            <w:noWrap w:val="0"/>
            <w:vAlign w:val="center"/>
          </w:tcPr>
          <w:p w14:paraId="7A906C58">
            <w:pPr>
              <w:pageBreakBefore w:val="0"/>
              <w:wordWrap w:val="0"/>
              <w:spacing w:before="0" w:after="0" w:line="240" w:lineRule="exact"/>
              <w:ind w:left="0" w:leftChars="0" w:right="0" w:rightChars="0"/>
              <w:jc w:val="both"/>
              <w:textAlignment w:val="baseline"/>
              <w:rPr>
                <w:rFonts w:hint="eastAsia" w:ascii="宋体" w:hAnsi="宋体" w:eastAsia="宋体" w:cs="宋体"/>
                <w:sz w:val="24"/>
                <w:szCs w:val="24"/>
              </w:rPr>
            </w:pPr>
            <w:r>
              <w:rPr>
                <w:rFonts w:hint="eastAsia" w:ascii="宋体" w:hAnsi="宋体" w:eastAsia="宋体" w:cs="宋体"/>
                <w:b w:val="0"/>
                <w:i w:val="0"/>
                <w:color w:val="000000"/>
                <w:spacing w:val="0"/>
                <w:sz w:val="24"/>
                <w:szCs w:val="24"/>
              </w:rPr>
              <w:t xml:space="preserve"> </w:t>
            </w:r>
          </w:p>
        </w:tc>
      </w:tr>
    </w:tbl>
    <w:p w14:paraId="5CCD677C">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w:t>
      </w:r>
    </w:p>
    <w:p w14:paraId="1291CE21">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1、本次采购内容如果要求的某些技术标准低于国家标准，均以最新的国家标准为准。采购技术要求中未明确的技术标准也均不得低于国家标准； </w:t>
      </w:r>
    </w:p>
    <w:p w14:paraId="4B717E1E">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2、供应商提供产品必须为全新、未使用。</w:t>
      </w:r>
    </w:p>
    <w:p w14:paraId="7725B923">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3、产品必须完全符合行业标准和合同规定的规格性能要求，不得违反国家质量监督检验部门有关强制性标准。</w:t>
      </w:r>
    </w:p>
    <w:p w14:paraId="25E6AFA2">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4、本采购项目为交钥匙项目，验收合格前所需的一切费用均包含在报价之中，采购人不承担成交价格以外的任何费用。 </w:t>
      </w:r>
    </w:p>
    <w:p w14:paraId="3EEA0CB5">
      <w:pP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二、商务要求 </w:t>
      </w:r>
    </w:p>
    <w:p w14:paraId="41C5825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1、供货时间：合同签订之日起30日内完成供货、安装调试并验收通过。</w:t>
      </w:r>
    </w:p>
    <w:p w14:paraId="244AF1D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2、供货地点：采购人指定地点 </w:t>
      </w:r>
    </w:p>
    <w:p w14:paraId="008ECB8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3、质量标准：符合国家及行业相关规范合格标准，且满足采购人提出的技术标准及要求</w:t>
      </w:r>
    </w:p>
    <w:p w14:paraId="746376F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4、质保期：一年 </w:t>
      </w:r>
    </w:p>
    <w:p w14:paraId="1E130B1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5、付款方式：合同签订后预付至合同价款的30%，货到安装并调试完成且运行良好，经验收合格后付至合同价款的100%。在采购人向供应商支付货物款项前，供应商要开具相应金额的正式发票。</w:t>
      </w:r>
    </w:p>
    <w:p w14:paraId="30137291">
      <w:pP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三、其他要求：</w:t>
      </w:r>
    </w:p>
    <w:p w14:paraId="635D93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1.质量保证及售后服务 </w:t>
      </w:r>
    </w:p>
    <w:p w14:paraId="3385999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（1）成交单位应按竞争性谈判文件规定的货物性能、技术要求、质量标准向采购人提供未经使用的全新产品； </w:t>
      </w:r>
    </w:p>
    <w:p w14:paraId="30962D5F">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（2）提供一年免费售后服务承诺、需有售后服务机构(需在响应文件中提供承诺，承诺提供的货物在质保期内因货物本身的质量问题发生故障，成交单位应负责免费更换)，不提供视为自动放弃。</w:t>
      </w:r>
    </w:p>
    <w:p w14:paraId="713BD16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接到报修电话后，在10分钟内作出响应，在1小时内派遣有经验的维修工程师到现场提供免费维修服务，并尽快修复故障。一般问题应在6小时内解决，重大故障应启动应急备用方案，最长不超过24小时解决。</w:t>
      </w:r>
    </w:p>
    <w:p w14:paraId="165F4A1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2.货物验收</w:t>
      </w:r>
    </w:p>
    <w:p w14:paraId="658FADA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成交单位所交货物的各种质量指标不得低于该响应文件中所提供的质量指标要求，售后服务质量要求按照竞争性谈判文件和响应文件的内容执行。交货时，如质量验收不合格，成交单位负责赔偿采购人一切损失。</w:t>
      </w:r>
    </w:p>
    <w:sectPr>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4B74C1"/>
    <w:rsid w:val="17F41A9E"/>
    <w:rsid w:val="308C79A7"/>
    <w:rsid w:val="5D1C254E"/>
    <w:rsid w:val="6FBA44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lang w:val="en-US" w:eastAsia="zh-CN" w:bidi="ar-SA"/>
    </w:rPr>
  </w:style>
  <w:style w:type="character" w:default="1" w:styleId="3">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 First Indent 2"/>
    <w:basedOn w:val="5"/>
    <w:qFormat/>
    <w:uiPriority w:val="0"/>
    <w:pPr>
      <w:ind w:firstLine="420" w:firstLineChars="200"/>
    </w:pPr>
  </w:style>
  <w:style w:type="paragraph" w:customStyle="1" w:styleId="5">
    <w:name w:val="Body Text Indent"/>
    <w:basedOn w:val="1"/>
    <w:qFormat/>
    <w:uiPriority w:val="0"/>
    <w:pPr>
      <w:spacing w:line="360" w:lineRule="auto"/>
      <w:ind w:firstLine="482" w:firstLineChars="100"/>
      <w:jc w:val="center"/>
    </w:pPr>
    <w:rPr>
      <w:rFonts w:ascii="黑体" w:eastAsia="黑体"/>
      <w:b/>
      <w:kern w:val="2"/>
      <w:sz w:val="4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2286</Words>
  <Characters>2548</Characters>
  <Lines>0</Lines>
  <Paragraphs>311</Paragraphs>
  <TotalTime>0</TotalTime>
  <ScaleCrop>false</ScaleCrop>
  <LinksUpToDate>false</LinksUpToDate>
  <CharactersWithSpaces>2576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小陈</dc:creator>
  <cp:lastModifiedBy>NTKO</cp:lastModifiedBy>
  <dcterms:modified xsi:type="dcterms:W3CDTF">2025-07-23T00:41:07Z</dcterms:modified>
  <dc:title>2025年度修武县五里源乡大堤屯村粮食烘干项目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71ABD1F8A42E471F8AF177FC9E1F9D91_13</vt:lpwstr>
  </property>
  <property fmtid="{D5CDD505-2E9C-101B-9397-08002B2CF9AE}" pid="4" name="KSOTemplateDocerSaveRecord">
    <vt:lpwstr>eyJoZGlkIjoiY2FhNGY2OGM1MGIxZTFkMmZmNGQwMTZlZDY5M2RlZDgiLCJ1c2VySWQiOiIyMTgxMjI5NDUifQ==</vt:lpwstr>
  </property>
</Properties>
</file>