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5CBCB">
      <w:pPr>
        <w:jc w:val="center"/>
        <w:rPr>
          <w:rFonts w:hint="eastAsia" w:eastAsiaTheme="minorEastAsia"/>
          <w:b/>
          <w:bCs/>
          <w:sz w:val="40"/>
          <w:szCs w:val="48"/>
          <w:lang w:eastAsia="zh-CN"/>
        </w:rPr>
      </w:pPr>
      <w:r>
        <w:rPr>
          <w:rFonts w:hint="eastAsia" w:eastAsiaTheme="minorEastAsia"/>
          <w:b/>
          <w:bCs/>
          <w:sz w:val="40"/>
          <w:szCs w:val="48"/>
          <w:lang w:eastAsia="zh-CN"/>
        </w:rPr>
        <w:drawing>
          <wp:inline distT="0" distB="0" distL="114300" distR="114300">
            <wp:extent cx="5271135" cy="7430135"/>
            <wp:effectExtent l="0" t="0" r="5715" b="18415"/>
            <wp:docPr id="1" name="图片 1" descr="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皮"/>
                    <pic:cNvPicPr>
                      <a:picLocks noChangeAspect="1"/>
                    </pic:cNvPicPr>
                  </pic:nvPicPr>
                  <pic:blipFill>
                    <a:blip r:embed="rId8"/>
                    <a:stretch>
                      <a:fillRect/>
                    </a:stretch>
                  </pic:blipFill>
                  <pic:spPr>
                    <a:xfrm>
                      <a:off x="0" y="0"/>
                      <a:ext cx="5271135" cy="7430135"/>
                    </a:xfrm>
                    <a:prstGeom prst="rect">
                      <a:avLst/>
                    </a:prstGeom>
                  </pic:spPr>
                </pic:pic>
              </a:graphicData>
            </a:graphic>
          </wp:inline>
        </w:drawing>
      </w:r>
      <w:bookmarkStart w:id="188" w:name="_GoBack"/>
      <w:bookmarkEnd w:id="188"/>
    </w:p>
    <w:p w14:paraId="63618609">
      <w:pPr>
        <w:pStyle w:val="2"/>
        <w:rPr>
          <w:rFonts w:hint="eastAsia" w:eastAsiaTheme="minorEastAsia"/>
          <w:b/>
          <w:bCs/>
          <w:sz w:val="40"/>
          <w:szCs w:val="48"/>
          <w:lang w:eastAsia="zh-CN"/>
        </w:rPr>
      </w:pPr>
    </w:p>
    <w:p w14:paraId="5292C430">
      <w:pPr>
        <w:rPr>
          <w:rFonts w:hint="eastAsia" w:eastAsiaTheme="minorEastAsia"/>
          <w:b/>
          <w:bCs/>
          <w:sz w:val="40"/>
          <w:szCs w:val="48"/>
          <w:lang w:eastAsia="zh-CN"/>
        </w:rPr>
      </w:pPr>
    </w:p>
    <w:p w14:paraId="2AC5A061">
      <w:pPr>
        <w:pStyle w:val="2"/>
        <w:rPr>
          <w:rFonts w:hint="eastAsia" w:eastAsiaTheme="minorEastAsia"/>
          <w:b/>
          <w:bCs/>
          <w:sz w:val="40"/>
          <w:szCs w:val="48"/>
          <w:lang w:eastAsia="zh-CN"/>
        </w:rPr>
      </w:pPr>
    </w:p>
    <w:p w14:paraId="04872FA5">
      <w:pPr>
        <w:rPr>
          <w:rFonts w:hint="eastAsia" w:eastAsiaTheme="minorEastAsia"/>
          <w:b/>
          <w:bCs/>
          <w:sz w:val="40"/>
          <w:szCs w:val="48"/>
          <w:lang w:eastAsia="zh-CN"/>
        </w:rPr>
      </w:pPr>
    </w:p>
    <w:p w14:paraId="1590AAAE">
      <w:pPr>
        <w:jc w:val="center"/>
        <w:rPr>
          <w:b/>
          <w:bCs/>
          <w:sz w:val="40"/>
          <w:szCs w:val="48"/>
        </w:rPr>
      </w:pPr>
      <w:r>
        <w:rPr>
          <w:rFonts w:hint="eastAsia"/>
          <w:b/>
          <w:bCs/>
          <w:sz w:val="40"/>
          <w:szCs w:val="48"/>
        </w:rPr>
        <w:t>义马市消防救援大队义马大队食堂主副食品采购项目</w:t>
      </w:r>
    </w:p>
    <w:p w14:paraId="46B8349D">
      <w:pPr>
        <w:jc w:val="center"/>
        <w:rPr>
          <w:b/>
          <w:bCs/>
          <w:sz w:val="40"/>
          <w:szCs w:val="48"/>
        </w:rPr>
      </w:pPr>
    </w:p>
    <w:p w14:paraId="2214CD5C">
      <w:pPr>
        <w:jc w:val="center"/>
        <w:rPr>
          <w:b/>
          <w:bCs/>
          <w:sz w:val="40"/>
          <w:szCs w:val="48"/>
        </w:rPr>
      </w:pPr>
      <w:r>
        <w:rPr>
          <w:rFonts w:hint="eastAsia"/>
          <w:b/>
          <w:bCs/>
          <w:sz w:val="40"/>
          <w:szCs w:val="48"/>
        </w:rPr>
        <w:t>竞争性磋商文件</w:t>
      </w:r>
    </w:p>
    <w:p w14:paraId="7CEAB236">
      <w:pPr>
        <w:jc w:val="center"/>
        <w:rPr>
          <w:b/>
          <w:bCs/>
          <w:sz w:val="40"/>
          <w:szCs w:val="48"/>
        </w:rPr>
      </w:pPr>
    </w:p>
    <w:p w14:paraId="2795D561">
      <w:pPr>
        <w:pStyle w:val="2"/>
      </w:pPr>
    </w:p>
    <w:p w14:paraId="6B7EF6BA">
      <w:pPr>
        <w:jc w:val="center"/>
        <w:rPr>
          <w:rFonts w:hint="eastAsia" w:ascii="宋体" w:hAnsi="宋体" w:eastAsia="宋体" w:cs="宋体"/>
          <w:b/>
          <w:bCs/>
          <w:sz w:val="40"/>
          <w:szCs w:val="48"/>
        </w:rPr>
      </w:pPr>
      <w:r>
        <w:rPr>
          <w:rFonts w:hint="eastAsia" w:ascii="宋体" w:hAnsi="宋体" w:eastAsia="宋体" w:cs="宋体"/>
          <w:b/>
          <w:bCs/>
          <w:sz w:val="40"/>
          <w:szCs w:val="48"/>
          <w:lang w:val="en-US" w:eastAsia="zh-CN"/>
        </w:rPr>
        <w:t>采购</w:t>
      </w:r>
      <w:r>
        <w:rPr>
          <w:rFonts w:hint="eastAsia" w:ascii="宋体" w:hAnsi="宋体" w:eastAsia="宋体" w:cs="宋体"/>
          <w:b/>
          <w:bCs/>
          <w:sz w:val="40"/>
          <w:szCs w:val="48"/>
        </w:rPr>
        <w:t>编号：义马竞磋采购-2025-31</w:t>
      </w:r>
    </w:p>
    <w:p w14:paraId="23D5DB83">
      <w:pPr>
        <w:jc w:val="center"/>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项目编号：YMGZ[2025]068-ZC045</w:t>
      </w:r>
    </w:p>
    <w:p w14:paraId="55354860">
      <w:pPr>
        <w:jc w:val="center"/>
        <w:rPr>
          <w:b/>
          <w:bCs/>
          <w:color w:val="FF0000"/>
          <w:sz w:val="40"/>
          <w:szCs w:val="48"/>
        </w:rPr>
      </w:pPr>
    </w:p>
    <w:p w14:paraId="3B53E628">
      <w:pPr>
        <w:jc w:val="center"/>
      </w:pPr>
    </w:p>
    <w:p w14:paraId="7F999540">
      <w:pPr>
        <w:jc w:val="center"/>
      </w:pPr>
    </w:p>
    <w:p w14:paraId="4196ADF5">
      <w:pPr>
        <w:jc w:val="center"/>
      </w:pPr>
    </w:p>
    <w:p w14:paraId="5E85CAC9">
      <w:pPr>
        <w:jc w:val="center"/>
      </w:pPr>
    </w:p>
    <w:p w14:paraId="32D47AA2">
      <w:pPr>
        <w:jc w:val="center"/>
      </w:pPr>
    </w:p>
    <w:p w14:paraId="3FFEE44F">
      <w:pPr>
        <w:jc w:val="center"/>
      </w:pPr>
    </w:p>
    <w:p w14:paraId="46F3B689">
      <w:pPr>
        <w:rPr>
          <w:b/>
          <w:bCs/>
          <w:sz w:val="44"/>
          <w:szCs w:val="52"/>
        </w:rPr>
      </w:pPr>
    </w:p>
    <w:p w14:paraId="70BA181F">
      <w:pPr>
        <w:ind w:firstLine="964" w:firstLineChars="300"/>
        <w:rPr>
          <w:b/>
          <w:bCs/>
          <w:sz w:val="32"/>
          <w:szCs w:val="40"/>
        </w:rPr>
      </w:pPr>
      <w:r>
        <w:rPr>
          <w:rFonts w:hint="eastAsia"/>
          <w:b/>
          <w:bCs/>
          <w:sz w:val="32"/>
          <w:szCs w:val="40"/>
        </w:rPr>
        <w:t>采购人：义马市消防救援大队</w:t>
      </w:r>
    </w:p>
    <w:p w14:paraId="64D60330">
      <w:pPr>
        <w:ind w:firstLine="964" w:firstLineChars="300"/>
        <w:jc w:val="both"/>
        <w:rPr>
          <w:rFonts w:hint="default"/>
          <w:b/>
          <w:bCs/>
          <w:sz w:val="32"/>
          <w:szCs w:val="40"/>
          <w:lang w:val="en-US"/>
        </w:rPr>
      </w:pPr>
      <w:r>
        <w:rPr>
          <w:rFonts w:hint="eastAsia"/>
          <w:b/>
          <w:bCs/>
          <w:sz w:val="32"/>
          <w:szCs w:val="40"/>
        </w:rPr>
        <w:t>代理机构：</w:t>
      </w:r>
      <w:r>
        <w:rPr>
          <w:rFonts w:hint="eastAsia"/>
          <w:b/>
          <w:bCs/>
          <w:sz w:val="32"/>
          <w:szCs w:val="40"/>
          <w:lang w:val="en-US" w:eastAsia="zh-CN"/>
        </w:rPr>
        <w:t>河南友拓工程管理有限公司</w:t>
      </w:r>
    </w:p>
    <w:p w14:paraId="7D1E8FFA">
      <w:pPr>
        <w:ind w:firstLine="964" w:firstLineChars="300"/>
        <w:rPr>
          <w:b/>
          <w:bCs/>
          <w:sz w:val="32"/>
          <w:szCs w:val="40"/>
        </w:rPr>
      </w:pPr>
      <w:r>
        <w:rPr>
          <w:rFonts w:hint="eastAsia"/>
          <w:b/>
          <w:bCs/>
          <w:sz w:val="32"/>
          <w:szCs w:val="40"/>
        </w:rPr>
        <w:t>日期：二〇二五年</w:t>
      </w:r>
      <w:r>
        <w:rPr>
          <w:rFonts w:hint="eastAsia"/>
          <w:b/>
          <w:bCs/>
          <w:color w:val="auto"/>
          <w:sz w:val="32"/>
          <w:szCs w:val="40"/>
          <w:highlight w:val="none"/>
          <w:lang w:val="en-US" w:eastAsia="zh-CN"/>
        </w:rPr>
        <w:t>六</w:t>
      </w:r>
      <w:r>
        <w:rPr>
          <w:rFonts w:hint="eastAsia"/>
          <w:b/>
          <w:bCs/>
          <w:color w:val="auto"/>
          <w:sz w:val="32"/>
          <w:szCs w:val="40"/>
          <w:highlight w:val="none"/>
        </w:rPr>
        <w:t>月</w:t>
      </w:r>
    </w:p>
    <w:p w14:paraId="7F44CC0D">
      <w:pPr>
        <w:rPr>
          <w:b/>
          <w:bCs/>
          <w:sz w:val="32"/>
          <w:szCs w:val="40"/>
        </w:rPr>
      </w:pPr>
    </w:p>
    <w:p w14:paraId="39A29690">
      <w:pPr>
        <w:rPr>
          <w:b/>
          <w:bCs/>
          <w:sz w:val="32"/>
          <w:szCs w:val="40"/>
        </w:rPr>
      </w:pPr>
    </w:p>
    <w:p w14:paraId="4436D72C">
      <w:pPr>
        <w:jc w:val="center"/>
        <w:rPr>
          <w:b/>
          <w:bCs/>
          <w:sz w:val="32"/>
          <w:szCs w:val="40"/>
        </w:rPr>
        <w:sectPr>
          <w:pgSz w:w="11906" w:h="16838"/>
          <w:pgMar w:top="1440" w:right="1800" w:bottom="1440" w:left="1800" w:header="851" w:footer="992" w:gutter="0"/>
          <w:cols w:space="425" w:num="1"/>
          <w:docGrid w:type="lines" w:linePitch="312" w:charSpace="0"/>
        </w:sectPr>
      </w:pPr>
    </w:p>
    <w:p w14:paraId="7A837580">
      <w:pPr>
        <w:jc w:val="center"/>
        <w:rPr>
          <w:b/>
          <w:bCs/>
          <w:sz w:val="32"/>
          <w:szCs w:val="40"/>
        </w:rPr>
      </w:pPr>
      <w:r>
        <w:rPr>
          <w:rFonts w:hint="eastAsia"/>
          <w:b/>
          <w:bCs/>
          <w:sz w:val="32"/>
          <w:szCs w:val="40"/>
        </w:rPr>
        <w:t>目录</w:t>
      </w:r>
    </w:p>
    <w:p w14:paraId="5C6968C7">
      <w:pPr>
        <w:pStyle w:val="14"/>
        <w:rPr>
          <w:b/>
          <w:bCs/>
          <w:sz w:val="32"/>
          <w:szCs w:val="40"/>
        </w:rPr>
      </w:pPr>
    </w:p>
    <w:p w14:paraId="0C93ED94">
      <w:pPr>
        <w:pStyle w:val="16"/>
        <w:tabs>
          <w:tab w:val="right" w:leader="dot" w:pos="8730"/>
        </w:tabs>
        <w:spacing w:line="480" w:lineRule="auto"/>
        <w:rPr>
          <w:rFonts w:ascii="宋体" w:hAnsi="宋体" w:eastAsia="宋体" w:cs="宋体"/>
          <w:b/>
          <w:bCs/>
          <w:sz w:val="28"/>
          <w:szCs w:val="28"/>
        </w:rPr>
      </w:pPr>
      <w:r>
        <w:fldChar w:fldCharType="begin"/>
      </w:r>
      <w:r>
        <w:instrText xml:space="preserve"> HYPERLINK \l "_Toc14410" </w:instrText>
      </w:r>
      <w:r>
        <w:fldChar w:fldCharType="separate"/>
      </w:r>
      <w:r>
        <w:rPr>
          <w:rFonts w:hint="eastAsia" w:ascii="宋体" w:hAnsi="宋体" w:eastAsia="宋体" w:cs="宋体"/>
          <w:b/>
          <w:bCs/>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fldChar w:fldCharType="end"/>
      </w:r>
    </w:p>
    <w:p w14:paraId="792DE337">
      <w:pPr>
        <w:pStyle w:val="16"/>
        <w:tabs>
          <w:tab w:val="right" w:leader="dot" w:pos="8730"/>
        </w:tabs>
        <w:spacing w:line="480" w:lineRule="auto"/>
        <w:rPr>
          <w:rFonts w:hint="eastAsia" w:ascii="宋体" w:hAnsi="宋体" w:eastAsia="宋体" w:cs="宋体"/>
          <w:b/>
          <w:bCs/>
          <w:sz w:val="28"/>
          <w:szCs w:val="28"/>
          <w:lang w:val="en-US" w:eastAsia="zh-CN"/>
        </w:rPr>
      </w:pPr>
      <w:r>
        <w:fldChar w:fldCharType="begin"/>
      </w:r>
      <w:r>
        <w:instrText xml:space="preserve"> HYPERLINK \l "_Toc9946" </w:instrText>
      </w:r>
      <w:r>
        <w:fldChar w:fldCharType="separate"/>
      </w:r>
      <w:r>
        <w:rPr>
          <w:rFonts w:hint="eastAsia" w:ascii="宋体" w:hAnsi="宋体" w:eastAsia="宋体" w:cs="宋体"/>
          <w:b/>
          <w:bCs/>
          <w:sz w:val="28"/>
          <w:szCs w:val="28"/>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6</w:t>
      </w:r>
    </w:p>
    <w:p w14:paraId="08646EB7">
      <w:pPr>
        <w:pStyle w:val="16"/>
        <w:tabs>
          <w:tab w:val="right" w:leader="dot" w:pos="8730"/>
        </w:tabs>
        <w:spacing w:line="480" w:lineRule="auto"/>
        <w:rPr>
          <w:rFonts w:ascii="宋体" w:hAnsi="宋体" w:eastAsia="宋体" w:cs="宋体"/>
          <w:b/>
          <w:bCs/>
          <w:sz w:val="28"/>
          <w:szCs w:val="28"/>
        </w:rPr>
      </w:pPr>
      <w:r>
        <w:fldChar w:fldCharType="begin"/>
      </w:r>
      <w:r>
        <w:instrText xml:space="preserve"> HYPERLINK \l "_Toc29854" </w:instrText>
      </w:r>
      <w:r>
        <w:fldChar w:fldCharType="separate"/>
      </w:r>
      <w:r>
        <w:rPr>
          <w:rFonts w:hint="eastAsia" w:ascii="宋体" w:hAnsi="宋体" w:eastAsia="宋体" w:cs="宋体"/>
          <w:b/>
          <w:bCs/>
          <w:sz w:val="28"/>
          <w:szCs w:val="28"/>
        </w:rPr>
        <w:t>第三章 评审办法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_Toc29854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E5425B9">
      <w:pPr>
        <w:pStyle w:val="16"/>
        <w:tabs>
          <w:tab w:val="right" w:leader="dot" w:pos="8730"/>
        </w:tabs>
        <w:spacing w:line="480" w:lineRule="auto"/>
        <w:rPr>
          <w:rFonts w:ascii="宋体" w:hAnsi="宋体" w:eastAsia="宋体" w:cs="宋体"/>
          <w:b/>
          <w:bCs/>
          <w:sz w:val="28"/>
          <w:szCs w:val="28"/>
        </w:rPr>
      </w:pPr>
      <w:r>
        <w:fldChar w:fldCharType="begin"/>
      </w:r>
      <w:r>
        <w:instrText xml:space="preserve"> HYPERLINK \l "_Toc22499" </w:instrText>
      </w:r>
      <w:r>
        <w:fldChar w:fldCharType="separate"/>
      </w:r>
      <w:r>
        <w:rPr>
          <w:rFonts w:hint="eastAsia" w:ascii="宋体" w:hAnsi="宋体" w:eastAsia="宋体" w:cs="宋体"/>
          <w:b/>
          <w:bCs/>
          <w:sz w:val="28"/>
          <w:szCs w:val="28"/>
        </w:rPr>
        <w:t>第四章 服务内容及要求</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31</w:t>
      </w:r>
      <w:r>
        <w:rPr>
          <w:rFonts w:hint="eastAsia" w:ascii="宋体" w:hAnsi="宋体" w:eastAsia="宋体" w:cs="宋体"/>
          <w:b/>
          <w:bCs/>
          <w:sz w:val="28"/>
          <w:szCs w:val="28"/>
        </w:rPr>
        <w:fldChar w:fldCharType="end"/>
      </w:r>
    </w:p>
    <w:p w14:paraId="097B8164">
      <w:pPr>
        <w:pStyle w:val="16"/>
        <w:tabs>
          <w:tab w:val="right" w:leader="dot" w:pos="8730"/>
        </w:tabs>
        <w:spacing w:line="480" w:lineRule="auto"/>
        <w:rPr>
          <w:rFonts w:hint="eastAsia" w:ascii="宋体" w:hAnsi="宋体" w:eastAsia="宋体" w:cs="宋体"/>
          <w:b/>
          <w:bCs/>
          <w:sz w:val="28"/>
          <w:szCs w:val="28"/>
          <w:lang w:val="en-US" w:eastAsia="zh-CN"/>
        </w:rPr>
      </w:pPr>
      <w:r>
        <w:fldChar w:fldCharType="begin"/>
      </w:r>
      <w:r>
        <w:instrText xml:space="preserve"> HYPERLINK \l "_Toc22329" </w:instrText>
      </w:r>
      <w:r>
        <w:fldChar w:fldCharType="separate"/>
      </w:r>
      <w:r>
        <w:rPr>
          <w:rFonts w:hint="eastAsia" w:ascii="宋体" w:hAnsi="宋体" w:eastAsia="宋体" w:cs="宋体"/>
          <w:b/>
          <w:bCs/>
          <w:sz w:val="28"/>
          <w:szCs w:val="28"/>
        </w:rPr>
        <w:t>第五章 合同条款及格式（范本）</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5</w:t>
      </w:r>
    </w:p>
    <w:p w14:paraId="0835FFDB">
      <w:pPr>
        <w:pStyle w:val="16"/>
        <w:tabs>
          <w:tab w:val="right" w:leader="dot" w:pos="8730"/>
        </w:tabs>
        <w:spacing w:line="480" w:lineRule="auto"/>
        <w:rPr>
          <w:rFonts w:hint="eastAsia" w:ascii="宋体" w:hAnsi="宋体" w:eastAsia="宋体" w:cs="宋体"/>
          <w:b/>
          <w:bCs/>
          <w:sz w:val="28"/>
          <w:szCs w:val="28"/>
          <w:lang w:val="en-US" w:eastAsia="zh-CN"/>
        </w:rPr>
      </w:pPr>
      <w:r>
        <w:fldChar w:fldCharType="begin"/>
      </w:r>
      <w:r>
        <w:instrText xml:space="preserve"> HYPERLINK \l "_Toc1561" </w:instrText>
      </w:r>
      <w:r>
        <w:fldChar w:fldCharType="separate"/>
      </w:r>
      <w:r>
        <w:rPr>
          <w:rFonts w:hint="eastAsia" w:ascii="宋体" w:hAnsi="宋体" w:eastAsia="宋体" w:cs="宋体"/>
          <w:b/>
          <w:bCs/>
          <w:sz w:val="28"/>
          <w:szCs w:val="28"/>
        </w:rPr>
        <w:t>第六章 响应文件格式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2</w:t>
      </w:r>
    </w:p>
    <w:p w14:paraId="21046388">
      <w:pPr>
        <w:pStyle w:val="14"/>
        <w:rPr>
          <w:b/>
          <w:bCs/>
          <w:sz w:val="32"/>
          <w:szCs w:val="40"/>
        </w:rPr>
      </w:pPr>
    </w:p>
    <w:p w14:paraId="760514A8">
      <w:pPr>
        <w:pStyle w:val="14"/>
        <w:rPr>
          <w:b/>
          <w:bCs/>
          <w:sz w:val="32"/>
          <w:szCs w:val="40"/>
        </w:rPr>
      </w:pPr>
    </w:p>
    <w:p w14:paraId="7C1BB72C">
      <w:pPr>
        <w:pStyle w:val="14"/>
        <w:rPr>
          <w:b/>
          <w:bCs/>
          <w:sz w:val="32"/>
          <w:szCs w:val="40"/>
        </w:rPr>
      </w:pPr>
    </w:p>
    <w:p w14:paraId="31B1448E">
      <w:pPr>
        <w:pStyle w:val="14"/>
        <w:rPr>
          <w:b/>
          <w:bCs/>
          <w:sz w:val="32"/>
          <w:szCs w:val="40"/>
        </w:rPr>
      </w:pPr>
    </w:p>
    <w:p w14:paraId="5DFF238C">
      <w:pPr>
        <w:pStyle w:val="14"/>
        <w:rPr>
          <w:b/>
          <w:bCs/>
          <w:sz w:val="32"/>
          <w:szCs w:val="40"/>
        </w:rPr>
      </w:pPr>
    </w:p>
    <w:p w14:paraId="58FF2ED0">
      <w:pPr>
        <w:pStyle w:val="14"/>
        <w:rPr>
          <w:b/>
          <w:bCs/>
          <w:sz w:val="32"/>
          <w:szCs w:val="40"/>
        </w:rPr>
      </w:pPr>
    </w:p>
    <w:p w14:paraId="35545157">
      <w:pPr>
        <w:pStyle w:val="14"/>
        <w:rPr>
          <w:b/>
          <w:bCs/>
          <w:sz w:val="32"/>
          <w:szCs w:val="40"/>
        </w:rPr>
      </w:pPr>
    </w:p>
    <w:p w14:paraId="6EC38F9A">
      <w:pPr>
        <w:pStyle w:val="14"/>
        <w:rPr>
          <w:b/>
          <w:bCs/>
          <w:sz w:val="32"/>
          <w:szCs w:val="40"/>
        </w:rPr>
      </w:pPr>
    </w:p>
    <w:p w14:paraId="60949E04">
      <w:pPr>
        <w:pStyle w:val="14"/>
        <w:rPr>
          <w:b/>
          <w:bCs/>
          <w:sz w:val="32"/>
          <w:szCs w:val="40"/>
        </w:rPr>
      </w:pPr>
    </w:p>
    <w:p w14:paraId="3E8A521C">
      <w:pPr>
        <w:pStyle w:val="14"/>
        <w:rPr>
          <w:b/>
          <w:bCs/>
          <w:sz w:val="32"/>
          <w:szCs w:val="40"/>
        </w:rPr>
      </w:pPr>
    </w:p>
    <w:p w14:paraId="53394076">
      <w:pPr>
        <w:pStyle w:val="14"/>
        <w:rPr>
          <w:b/>
          <w:bCs/>
          <w:sz w:val="32"/>
          <w:szCs w:val="40"/>
        </w:rPr>
      </w:pPr>
    </w:p>
    <w:p w14:paraId="668487D8">
      <w:pPr>
        <w:pStyle w:val="14"/>
        <w:rPr>
          <w:b/>
          <w:bCs/>
          <w:sz w:val="32"/>
          <w:szCs w:val="40"/>
        </w:rPr>
      </w:pPr>
    </w:p>
    <w:p w14:paraId="51E7DAAD">
      <w:pPr>
        <w:pStyle w:val="14"/>
        <w:rPr>
          <w:b/>
          <w:bCs/>
          <w:sz w:val="32"/>
          <w:szCs w:val="40"/>
        </w:rPr>
      </w:pPr>
    </w:p>
    <w:p w14:paraId="02548EEC">
      <w:pPr>
        <w:pStyle w:val="14"/>
        <w:rPr>
          <w:b/>
          <w:bCs/>
          <w:sz w:val="32"/>
          <w:szCs w:val="40"/>
        </w:rPr>
      </w:pPr>
    </w:p>
    <w:p w14:paraId="478A6F1D">
      <w:pPr>
        <w:pStyle w:val="14"/>
        <w:rPr>
          <w:b/>
          <w:bCs/>
          <w:sz w:val="32"/>
          <w:szCs w:val="40"/>
        </w:rPr>
      </w:pPr>
    </w:p>
    <w:p w14:paraId="22FE0422">
      <w:pPr>
        <w:pStyle w:val="14"/>
        <w:rPr>
          <w:b/>
          <w:bCs/>
          <w:sz w:val="32"/>
          <w:szCs w:val="40"/>
        </w:rPr>
      </w:pPr>
    </w:p>
    <w:p w14:paraId="3CC9D810">
      <w:pPr>
        <w:pStyle w:val="14"/>
        <w:rPr>
          <w:b/>
          <w:bCs/>
          <w:sz w:val="32"/>
          <w:szCs w:val="40"/>
        </w:rPr>
      </w:pPr>
    </w:p>
    <w:p w14:paraId="50C6F643">
      <w:pPr>
        <w:pStyle w:val="14"/>
        <w:rPr>
          <w:b/>
          <w:bCs/>
          <w:sz w:val="32"/>
          <w:szCs w:val="40"/>
        </w:rPr>
      </w:pPr>
    </w:p>
    <w:p w14:paraId="08A86CDB">
      <w:pPr>
        <w:pStyle w:val="14"/>
        <w:rPr>
          <w:b/>
          <w:bCs/>
          <w:sz w:val="32"/>
          <w:szCs w:val="40"/>
        </w:rPr>
      </w:pPr>
    </w:p>
    <w:p w14:paraId="42142D93">
      <w:pPr>
        <w:pStyle w:val="14"/>
        <w:rPr>
          <w:b/>
          <w:bCs/>
          <w:sz w:val="32"/>
          <w:szCs w:val="40"/>
        </w:rPr>
      </w:pPr>
    </w:p>
    <w:p w14:paraId="4C048E40">
      <w:pPr>
        <w:pStyle w:val="14"/>
        <w:rPr>
          <w:b/>
          <w:bCs/>
          <w:sz w:val="32"/>
          <w:szCs w:val="40"/>
        </w:rPr>
      </w:pPr>
    </w:p>
    <w:p w14:paraId="61F2CCBB">
      <w:pPr>
        <w:pStyle w:val="14"/>
        <w:rPr>
          <w:b/>
          <w:bCs/>
          <w:sz w:val="32"/>
          <w:szCs w:val="40"/>
        </w:rPr>
      </w:pPr>
    </w:p>
    <w:p w14:paraId="36A5D24A">
      <w:pPr>
        <w:jc w:val="center"/>
        <w:rPr>
          <w:rFonts w:hint="eastAsia" w:ascii="宋体" w:hAnsi="宋体"/>
          <w:b/>
          <w:sz w:val="32"/>
          <w:szCs w:val="32"/>
        </w:rPr>
        <w:sectPr>
          <w:footerReference r:id="rId3" w:type="default"/>
          <w:pgSz w:w="11905" w:h="16839"/>
          <w:pgMar w:top="1417" w:right="1417" w:bottom="1644" w:left="1417" w:header="714" w:footer="850" w:gutter="0"/>
          <w:pgNumType w:start="1"/>
          <w:cols w:space="720" w:num="1"/>
        </w:sectPr>
      </w:pPr>
    </w:p>
    <w:p w14:paraId="56027A74">
      <w:pPr>
        <w:jc w:val="center"/>
        <w:rPr>
          <w:rFonts w:ascii="宋体" w:hAnsi="宋体"/>
          <w:b/>
          <w:sz w:val="32"/>
          <w:szCs w:val="32"/>
        </w:rPr>
      </w:pPr>
      <w:r>
        <w:rPr>
          <w:rFonts w:hint="eastAsia" w:ascii="宋体" w:hAnsi="宋体"/>
          <w:b/>
          <w:sz w:val="32"/>
          <w:szCs w:val="32"/>
        </w:rPr>
        <w:t xml:space="preserve">第一章 </w:t>
      </w:r>
      <w:r>
        <w:rPr>
          <w:rFonts w:ascii="宋体" w:hAnsi="宋体"/>
          <w:b/>
          <w:sz w:val="32"/>
          <w:szCs w:val="32"/>
        </w:rPr>
        <w:t xml:space="preserve"> </w:t>
      </w:r>
      <w:r>
        <w:rPr>
          <w:rFonts w:hint="eastAsia" w:ascii="宋体" w:hAnsi="宋体"/>
          <w:b/>
          <w:sz w:val="32"/>
          <w:szCs w:val="32"/>
        </w:rPr>
        <w:t>竞争性磋商公告</w:t>
      </w:r>
    </w:p>
    <w:p w14:paraId="22B93E45">
      <w:pPr>
        <w:widowControl/>
        <w:wordWrap w:val="0"/>
        <w:spacing w:line="360" w:lineRule="auto"/>
        <w:jc w:val="center"/>
        <w:rPr>
          <w:rFonts w:ascii="宋体" w:hAnsi="宋体" w:cs="宋体"/>
          <w:b/>
          <w:kern w:val="0"/>
          <w:sz w:val="28"/>
          <w:szCs w:val="28"/>
        </w:rPr>
      </w:pPr>
    </w:p>
    <w:p w14:paraId="73739CBC">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lang w:val="en-US" w:eastAsia="zh-CN"/>
        </w:rPr>
        <w:t>河南友拓工程管理有限公司</w:t>
      </w:r>
      <w:r>
        <w:rPr>
          <w:rFonts w:hint="eastAsia" w:ascii="宋体" w:hAnsi="宋体" w:cs="宋体"/>
          <w:sz w:val="22"/>
          <w:szCs w:val="22"/>
        </w:rPr>
        <w:t>受义马市消防救援大队的委托，就义马市消防救援大队义马大队食堂主副食品采购项目进行竞争性磋商，欢迎符合资格条件的供应商参加。</w:t>
      </w:r>
    </w:p>
    <w:p w14:paraId="6DC03D8E">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一、项目基本情况</w:t>
      </w:r>
    </w:p>
    <w:p w14:paraId="0FE82B3A">
      <w:pPr>
        <w:shd w:val="clear" w:color="auto" w:fill="FFFFFF"/>
        <w:wordWrap w:val="0"/>
        <w:spacing w:line="360" w:lineRule="auto"/>
        <w:ind w:firstLine="440" w:firstLineChars="200"/>
        <w:jc w:val="left"/>
        <w:rPr>
          <w:rFonts w:hint="default" w:ascii="宋体" w:hAnsi="宋体" w:cs="宋体" w:eastAsiaTheme="minorEastAsia"/>
          <w:sz w:val="22"/>
          <w:szCs w:val="22"/>
          <w:highlight w:val="none"/>
          <w:lang w:val="en-US" w:eastAsia="zh-CN"/>
        </w:rPr>
      </w:pPr>
      <w:r>
        <w:rPr>
          <w:rFonts w:hint="eastAsia" w:ascii="宋体" w:hAnsi="宋体" w:cs="宋体"/>
          <w:sz w:val="22"/>
          <w:szCs w:val="22"/>
          <w:highlight w:val="none"/>
        </w:rPr>
        <w:t>1、</w:t>
      </w:r>
      <w:r>
        <w:rPr>
          <w:rFonts w:hint="eastAsia" w:ascii="宋体" w:hAnsi="宋体" w:cs="宋体"/>
          <w:sz w:val="22"/>
          <w:szCs w:val="22"/>
          <w:highlight w:val="none"/>
          <w:lang w:val="en-US" w:eastAsia="zh-CN"/>
        </w:rPr>
        <w:t>采购</w:t>
      </w:r>
      <w:r>
        <w:rPr>
          <w:rFonts w:hint="eastAsia" w:ascii="宋体" w:hAnsi="宋体" w:cs="宋体"/>
          <w:sz w:val="22"/>
          <w:szCs w:val="22"/>
          <w:highlight w:val="none"/>
        </w:rPr>
        <w:t>编号：义马竞磋采购-2025-31</w:t>
      </w:r>
      <w:r>
        <w:rPr>
          <w:rFonts w:hint="eastAsia" w:ascii="宋体" w:hAnsi="宋体" w:cs="宋体"/>
          <w:sz w:val="22"/>
          <w:szCs w:val="22"/>
          <w:highlight w:val="none"/>
          <w:lang w:val="en-US" w:eastAsia="zh-CN"/>
        </w:rPr>
        <w:t>；项目编号：YMGZ[2025]068-ZC045</w:t>
      </w:r>
    </w:p>
    <w:p w14:paraId="26BFB408">
      <w:pPr>
        <w:shd w:val="clear" w:color="auto" w:fill="FFFFFF"/>
        <w:wordWrap w:val="0"/>
        <w:spacing w:line="360" w:lineRule="auto"/>
        <w:ind w:firstLine="440" w:firstLineChars="200"/>
        <w:jc w:val="left"/>
        <w:rPr>
          <w:rFonts w:ascii="宋体" w:hAnsi="宋体" w:cs="宋体"/>
          <w:color w:val="FF0000"/>
          <w:sz w:val="22"/>
          <w:szCs w:val="22"/>
        </w:rPr>
      </w:pPr>
      <w:r>
        <w:rPr>
          <w:rFonts w:hint="eastAsia" w:ascii="宋体" w:hAnsi="宋体" w:cs="宋体"/>
          <w:sz w:val="22"/>
          <w:szCs w:val="22"/>
        </w:rPr>
        <w:t>2、项目名称：义马市消防救援大队义马大队食堂主副食品采购项目</w:t>
      </w:r>
    </w:p>
    <w:p w14:paraId="243A7341">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3、采购方式：竞争性磋商</w:t>
      </w:r>
    </w:p>
    <w:p w14:paraId="774EBA93">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4、资金来源：财政资金，已落实</w:t>
      </w:r>
    </w:p>
    <w:p w14:paraId="7E8780A7">
      <w:pPr>
        <w:shd w:val="clear" w:color="auto" w:fill="FFFFFF"/>
        <w:wordWrap w:val="0"/>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5、预算金额：</w:t>
      </w:r>
      <w:r>
        <w:rPr>
          <w:rFonts w:hint="eastAsia" w:ascii="宋体" w:hAnsi="宋体" w:cs="宋体"/>
          <w:sz w:val="22"/>
          <w:szCs w:val="22"/>
          <w:highlight w:val="none"/>
          <w:lang w:val="en-US" w:eastAsia="zh-CN"/>
        </w:rPr>
        <w:t>¥</w:t>
      </w:r>
      <w:r>
        <w:rPr>
          <w:rFonts w:hint="eastAsia" w:ascii="宋体" w:hAnsi="宋体" w:cs="宋体"/>
          <w:sz w:val="22"/>
          <w:szCs w:val="22"/>
          <w:highlight w:val="none"/>
        </w:rPr>
        <w:t>780000.00元</w:t>
      </w:r>
      <w:r>
        <w:rPr>
          <w:rFonts w:hint="eastAsia" w:ascii="宋体" w:hAnsi="宋体" w:cs="宋体"/>
          <w:sz w:val="22"/>
          <w:szCs w:val="22"/>
          <w:highlight w:val="none"/>
          <w:lang w:val="en-US" w:eastAsia="zh-CN"/>
        </w:rPr>
        <w:t>（本预算为暂定金额，以实际采购量为准，按照实际供货数量据实结算。）  </w:t>
      </w:r>
    </w:p>
    <w:tbl>
      <w:tblPr>
        <w:tblStyle w:val="22"/>
        <w:tblW w:w="935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644"/>
        <w:gridCol w:w="1675"/>
        <w:gridCol w:w="1413"/>
        <w:gridCol w:w="1337"/>
        <w:gridCol w:w="1175"/>
        <w:gridCol w:w="1675"/>
      </w:tblGrid>
      <w:tr w14:paraId="2774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32" w:type="dxa"/>
            <w:vAlign w:val="center"/>
          </w:tcPr>
          <w:p w14:paraId="6CE4DF04">
            <w:pPr>
              <w:shd w:val="clear" w:color="auto" w:fill="FFFFFF"/>
              <w:wordWrap w:val="0"/>
              <w:spacing w:line="360" w:lineRule="auto"/>
              <w:jc w:val="left"/>
              <w:rPr>
                <w:rFonts w:ascii="宋体" w:hAnsi="宋体" w:cs="宋体"/>
                <w:sz w:val="22"/>
                <w:szCs w:val="22"/>
              </w:rPr>
            </w:pPr>
            <w:r>
              <w:rPr>
                <w:rFonts w:hint="eastAsia" w:ascii="宋体" w:hAnsi="宋体" w:cs="宋体"/>
                <w:sz w:val="22"/>
                <w:szCs w:val="22"/>
              </w:rPr>
              <w:t>序号</w:t>
            </w:r>
          </w:p>
        </w:tc>
        <w:tc>
          <w:tcPr>
            <w:tcW w:w="1644" w:type="dxa"/>
            <w:vAlign w:val="center"/>
          </w:tcPr>
          <w:p w14:paraId="518A69DA">
            <w:pPr>
              <w:shd w:val="clear" w:color="auto" w:fill="FFFFFF"/>
              <w:wordWrap w:val="0"/>
              <w:spacing w:line="360" w:lineRule="auto"/>
              <w:jc w:val="left"/>
              <w:rPr>
                <w:rFonts w:ascii="宋体" w:hAnsi="宋体" w:cs="宋体"/>
                <w:sz w:val="22"/>
                <w:szCs w:val="22"/>
              </w:rPr>
            </w:pPr>
            <w:r>
              <w:rPr>
                <w:rFonts w:hint="eastAsia" w:ascii="宋体" w:hAnsi="宋体" w:cs="宋体"/>
                <w:sz w:val="22"/>
                <w:szCs w:val="22"/>
              </w:rPr>
              <w:t>包号</w:t>
            </w:r>
          </w:p>
        </w:tc>
        <w:tc>
          <w:tcPr>
            <w:tcW w:w="1675" w:type="dxa"/>
            <w:vAlign w:val="center"/>
          </w:tcPr>
          <w:p w14:paraId="240EEA02">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包名称</w:t>
            </w:r>
          </w:p>
        </w:tc>
        <w:tc>
          <w:tcPr>
            <w:tcW w:w="1413" w:type="dxa"/>
            <w:vAlign w:val="center"/>
          </w:tcPr>
          <w:p w14:paraId="2598F695">
            <w:pPr>
              <w:shd w:val="clear" w:color="auto" w:fill="FFFFFF"/>
              <w:wordWrap w:val="0"/>
              <w:spacing w:line="360" w:lineRule="auto"/>
              <w:jc w:val="left"/>
              <w:rPr>
                <w:rFonts w:ascii="宋体" w:hAnsi="宋体" w:cs="宋体"/>
                <w:sz w:val="22"/>
                <w:szCs w:val="22"/>
              </w:rPr>
            </w:pPr>
            <w:r>
              <w:rPr>
                <w:rFonts w:hint="eastAsia" w:ascii="宋体" w:hAnsi="宋体" w:cs="宋体"/>
                <w:sz w:val="22"/>
                <w:szCs w:val="22"/>
              </w:rPr>
              <w:t>包预算（元）</w:t>
            </w:r>
          </w:p>
        </w:tc>
        <w:tc>
          <w:tcPr>
            <w:tcW w:w="1337" w:type="dxa"/>
            <w:vAlign w:val="center"/>
          </w:tcPr>
          <w:p w14:paraId="38981D1D">
            <w:pPr>
              <w:shd w:val="clear" w:color="auto" w:fill="FFFFFF"/>
              <w:wordWrap w:val="0"/>
              <w:spacing w:line="360" w:lineRule="auto"/>
              <w:jc w:val="left"/>
              <w:rPr>
                <w:rFonts w:ascii="宋体" w:hAnsi="宋体" w:cs="宋体"/>
                <w:sz w:val="22"/>
                <w:szCs w:val="22"/>
              </w:rPr>
            </w:pPr>
            <w:r>
              <w:rPr>
                <w:rFonts w:hint="eastAsia" w:ascii="宋体" w:hAnsi="宋体" w:cs="宋体"/>
                <w:sz w:val="22"/>
                <w:szCs w:val="22"/>
              </w:rPr>
              <w:t>包最高限价</w:t>
            </w:r>
          </w:p>
        </w:tc>
        <w:tc>
          <w:tcPr>
            <w:tcW w:w="1175" w:type="dxa"/>
            <w:vAlign w:val="center"/>
          </w:tcPr>
          <w:p w14:paraId="7E0EC2C6">
            <w:pPr>
              <w:shd w:val="clear" w:color="auto" w:fill="FFFFFF"/>
              <w:wordWrap w:val="0"/>
              <w:spacing w:line="360" w:lineRule="auto"/>
              <w:jc w:val="left"/>
              <w:rPr>
                <w:rFonts w:ascii="宋体" w:hAnsi="宋体" w:cs="宋体"/>
                <w:sz w:val="22"/>
                <w:szCs w:val="22"/>
              </w:rPr>
            </w:pPr>
            <w:r>
              <w:rPr>
                <w:rFonts w:hint="eastAsia" w:ascii="宋体" w:hAnsi="宋体" w:cs="宋体"/>
                <w:sz w:val="22"/>
                <w:szCs w:val="22"/>
              </w:rPr>
              <w:t>是否专门面向中小企业</w:t>
            </w:r>
          </w:p>
        </w:tc>
        <w:tc>
          <w:tcPr>
            <w:tcW w:w="1675" w:type="dxa"/>
            <w:vAlign w:val="center"/>
          </w:tcPr>
          <w:p w14:paraId="74EA9159">
            <w:pPr>
              <w:shd w:val="clear" w:color="auto" w:fill="FFFFFF"/>
              <w:wordWrap w:val="0"/>
              <w:spacing w:line="360" w:lineRule="auto"/>
              <w:jc w:val="left"/>
              <w:rPr>
                <w:rFonts w:ascii="宋体" w:hAnsi="宋体" w:cs="宋体"/>
                <w:sz w:val="22"/>
                <w:szCs w:val="22"/>
              </w:rPr>
            </w:pPr>
            <w:r>
              <w:rPr>
                <w:rFonts w:hint="eastAsia" w:ascii="宋体" w:hAnsi="宋体" w:cs="宋体"/>
                <w:sz w:val="22"/>
                <w:szCs w:val="22"/>
              </w:rPr>
              <w:t>采购预留金额（元）</w:t>
            </w:r>
          </w:p>
        </w:tc>
      </w:tr>
      <w:tr w14:paraId="7BBC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432" w:type="dxa"/>
            <w:vAlign w:val="center"/>
          </w:tcPr>
          <w:p w14:paraId="435D84C9">
            <w:pPr>
              <w:shd w:val="clear" w:color="auto" w:fill="FFFFFF"/>
              <w:wordWrap w:val="0"/>
              <w:spacing w:line="360" w:lineRule="auto"/>
              <w:jc w:val="center"/>
              <w:rPr>
                <w:rFonts w:ascii="宋体" w:hAnsi="宋体" w:cs="宋体"/>
                <w:sz w:val="22"/>
                <w:szCs w:val="22"/>
              </w:rPr>
            </w:pPr>
            <w:r>
              <w:rPr>
                <w:rFonts w:hint="eastAsia" w:ascii="宋体" w:hAnsi="宋体" w:cs="宋体"/>
                <w:sz w:val="22"/>
                <w:szCs w:val="22"/>
              </w:rPr>
              <w:t>1</w:t>
            </w:r>
          </w:p>
        </w:tc>
        <w:tc>
          <w:tcPr>
            <w:tcW w:w="1644" w:type="dxa"/>
            <w:vAlign w:val="center"/>
          </w:tcPr>
          <w:p w14:paraId="68D011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default" w:ascii="宋体" w:hAnsi="宋体" w:eastAsia="微软雅黑" w:cs="宋体"/>
                <w:sz w:val="22"/>
                <w:szCs w:val="22"/>
                <w:lang w:val="en-US" w:eastAsia="zh-CN"/>
              </w:rPr>
            </w:pPr>
            <w:r>
              <w:rPr>
                <w:rFonts w:ascii="微软雅黑" w:hAnsi="微软雅黑" w:eastAsia="微软雅黑" w:cs="微软雅黑"/>
                <w:color w:val="3D4B64"/>
                <w:sz w:val="21"/>
                <w:szCs w:val="21"/>
              </w:rPr>
              <w:t>YMGZ[2025]068-ZC045</w:t>
            </w:r>
            <w:r>
              <w:rPr>
                <w:rFonts w:hint="eastAsia" w:ascii="微软雅黑" w:hAnsi="微软雅黑" w:eastAsia="微软雅黑" w:cs="微软雅黑"/>
                <w:color w:val="3D4B64"/>
                <w:sz w:val="21"/>
                <w:szCs w:val="21"/>
                <w:lang w:val="en-US" w:eastAsia="zh-CN"/>
              </w:rPr>
              <w:t>-1</w:t>
            </w:r>
          </w:p>
        </w:tc>
        <w:tc>
          <w:tcPr>
            <w:tcW w:w="1675" w:type="dxa"/>
            <w:vAlign w:val="center"/>
          </w:tcPr>
          <w:p w14:paraId="130F5996">
            <w:pPr>
              <w:shd w:val="clear" w:color="auto" w:fill="FFFFFF"/>
              <w:wordWrap w:val="0"/>
              <w:spacing w:line="360" w:lineRule="auto"/>
              <w:jc w:val="left"/>
              <w:rPr>
                <w:rFonts w:ascii="宋体" w:hAnsi="宋体" w:cs="宋体"/>
                <w:sz w:val="22"/>
                <w:szCs w:val="22"/>
              </w:rPr>
            </w:pPr>
            <w:r>
              <w:rPr>
                <w:rFonts w:hint="eastAsia" w:ascii="宋体" w:hAnsi="宋体" w:cs="宋体"/>
                <w:sz w:val="22"/>
                <w:szCs w:val="22"/>
              </w:rPr>
              <w:t>义马市消防救援大队义马大队食堂主副食品采购项目</w:t>
            </w:r>
          </w:p>
        </w:tc>
        <w:tc>
          <w:tcPr>
            <w:tcW w:w="1413" w:type="dxa"/>
            <w:vAlign w:val="center"/>
          </w:tcPr>
          <w:p w14:paraId="74E7FE6C">
            <w:pPr>
              <w:shd w:val="clear" w:color="auto" w:fill="FFFFFF"/>
              <w:wordWrap w:val="0"/>
              <w:spacing w:line="360" w:lineRule="auto"/>
              <w:jc w:val="left"/>
              <w:rPr>
                <w:rFonts w:ascii="宋体" w:hAnsi="宋体" w:cs="宋体"/>
                <w:sz w:val="22"/>
                <w:szCs w:val="22"/>
              </w:rPr>
            </w:pPr>
            <w:r>
              <w:rPr>
                <w:rFonts w:hint="eastAsia" w:ascii="宋体" w:hAnsi="宋体" w:cs="宋体"/>
                <w:sz w:val="22"/>
                <w:szCs w:val="22"/>
                <w:lang w:val="en-US" w:eastAsia="zh-CN"/>
              </w:rPr>
              <w:t>¥</w:t>
            </w:r>
            <w:r>
              <w:rPr>
                <w:rFonts w:hint="eastAsia" w:ascii="宋体" w:hAnsi="宋体" w:cs="宋体"/>
                <w:sz w:val="22"/>
                <w:szCs w:val="22"/>
              </w:rPr>
              <w:t>780000.00</w:t>
            </w:r>
          </w:p>
        </w:tc>
        <w:tc>
          <w:tcPr>
            <w:tcW w:w="1337" w:type="dxa"/>
            <w:vAlign w:val="center"/>
          </w:tcPr>
          <w:p w14:paraId="0EFC289C">
            <w:pPr>
              <w:shd w:val="clear" w:color="auto" w:fill="FFFFFF"/>
              <w:wordWrap w:val="0"/>
              <w:spacing w:line="360" w:lineRule="auto"/>
              <w:jc w:val="left"/>
              <w:rPr>
                <w:rFonts w:ascii="宋体" w:hAnsi="宋体" w:cs="宋体"/>
                <w:sz w:val="22"/>
                <w:szCs w:val="22"/>
              </w:rPr>
            </w:pPr>
            <w:r>
              <w:rPr>
                <w:rFonts w:hint="eastAsia" w:ascii="宋体" w:hAnsi="宋体" w:cs="宋体"/>
                <w:sz w:val="22"/>
                <w:szCs w:val="22"/>
              </w:rPr>
              <w:t>报价(折扣)100%</w:t>
            </w:r>
          </w:p>
        </w:tc>
        <w:tc>
          <w:tcPr>
            <w:tcW w:w="1175" w:type="dxa"/>
            <w:vAlign w:val="center"/>
          </w:tcPr>
          <w:p w14:paraId="0D32D76D">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是</w:t>
            </w:r>
          </w:p>
        </w:tc>
        <w:tc>
          <w:tcPr>
            <w:tcW w:w="1675" w:type="dxa"/>
            <w:vAlign w:val="center"/>
          </w:tcPr>
          <w:p w14:paraId="6A8EF334">
            <w:pPr>
              <w:shd w:val="clear" w:color="auto" w:fill="FFFFFF"/>
              <w:wordWrap w:val="0"/>
              <w:spacing w:line="360" w:lineRule="auto"/>
              <w:jc w:val="left"/>
              <w:rPr>
                <w:rFonts w:ascii="宋体" w:hAnsi="宋体" w:cs="宋体"/>
                <w:sz w:val="22"/>
                <w:szCs w:val="22"/>
              </w:rPr>
            </w:pPr>
            <w:r>
              <w:rPr>
                <w:rFonts w:hint="eastAsia" w:ascii="宋体" w:hAnsi="宋体" w:cs="宋体"/>
                <w:sz w:val="22"/>
                <w:szCs w:val="22"/>
                <w:lang w:val="en-US" w:eastAsia="zh-CN"/>
              </w:rPr>
              <w:t>¥</w:t>
            </w:r>
            <w:r>
              <w:rPr>
                <w:rFonts w:hint="eastAsia" w:ascii="宋体" w:hAnsi="宋体" w:cs="宋体"/>
                <w:sz w:val="22"/>
                <w:szCs w:val="22"/>
              </w:rPr>
              <w:t>780000.00元</w:t>
            </w:r>
          </w:p>
        </w:tc>
      </w:tr>
    </w:tbl>
    <w:p w14:paraId="1F11DD43">
      <w:pPr>
        <w:numPr>
          <w:ilvl w:val="0"/>
          <w:numId w:val="1"/>
        </w:num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采购需求（包括但不限于包的名称、数量、简要技术需求或服务要求等）：</w:t>
      </w:r>
    </w:p>
    <w:p w14:paraId="1EFBBDC7">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（1）采购需求：</w:t>
      </w:r>
      <w:r>
        <w:rPr>
          <w:rFonts w:hint="eastAsia" w:ascii="宋体" w:hAnsi="宋体" w:cs="宋体"/>
          <w:sz w:val="22"/>
          <w:szCs w:val="22"/>
          <w:lang w:val="en-US" w:eastAsia="zh-CN"/>
        </w:rPr>
        <w:t>本次磋商采购共一包，</w:t>
      </w:r>
      <w:r>
        <w:rPr>
          <w:rFonts w:hint="eastAsia" w:ascii="宋体" w:hAnsi="宋体" w:cs="宋体"/>
          <w:sz w:val="22"/>
          <w:szCs w:val="22"/>
        </w:rPr>
        <w:t>对义马市消防救援大队</w:t>
      </w:r>
      <w:r>
        <w:rPr>
          <w:rFonts w:hint="eastAsia" w:ascii="宋体" w:hAnsi="宋体" w:cs="宋体"/>
          <w:sz w:val="22"/>
          <w:szCs w:val="22"/>
          <w:lang w:val="en-US" w:eastAsia="zh-CN"/>
        </w:rPr>
        <w:t>提供</w:t>
      </w:r>
      <w:r>
        <w:rPr>
          <w:rFonts w:hint="eastAsia" w:ascii="宋体" w:hAnsi="宋体" w:cs="宋体"/>
          <w:sz w:val="22"/>
          <w:szCs w:val="22"/>
        </w:rPr>
        <w:t>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67B8890C">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w:t>
      </w:r>
      <w:r>
        <w:rPr>
          <w:rFonts w:hint="eastAsia" w:ascii="宋体" w:hAnsi="宋体" w:cs="宋体"/>
          <w:sz w:val="22"/>
          <w:szCs w:val="22"/>
          <w:lang w:val="en-US" w:eastAsia="zh-CN"/>
        </w:rPr>
        <w:t>服务</w:t>
      </w:r>
      <w:r>
        <w:rPr>
          <w:rFonts w:hint="eastAsia" w:ascii="宋体" w:hAnsi="宋体" w:cs="宋体"/>
          <w:sz w:val="22"/>
          <w:szCs w:val="22"/>
        </w:rPr>
        <w:t>内容：对采购人提供蔬果、禽蛋、禽畜肉、水产品、饮品、米面粮油、调料干杂等食材供应，供应商要严格遵守相关法律法规及行业标准，确保相关服务达到验收标准。（详见竞争性磋商文件）</w:t>
      </w:r>
    </w:p>
    <w:p w14:paraId="1F21E57E">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3</w:t>
      </w:r>
      <w:r>
        <w:rPr>
          <w:rFonts w:hint="eastAsia" w:ascii="宋体" w:hAnsi="宋体" w:cs="宋体"/>
          <w:sz w:val="22"/>
          <w:szCs w:val="22"/>
        </w:rPr>
        <w:t>）服务周期：一年</w:t>
      </w:r>
    </w:p>
    <w:p w14:paraId="2886F5F6">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4</w:t>
      </w:r>
      <w:r>
        <w:rPr>
          <w:rFonts w:hint="eastAsia" w:ascii="宋体" w:hAnsi="宋体" w:cs="宋体"/>
          <w:sz w:val="22"/>
          <w:szCs w:val="22"/>
        </w:rPr>
        <w:t>）服务地点：采购人指定地点</w:t>
      </w:r>
    </w:p>
    <w:p w14:paraId="34F766DF">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5</w:t>
      </w:r>
      <w:r>
        <w:rPr>
          <w:rFonts w:hint="eastAsia" w:ascii="宋体" w:hAnsi="宋体" w:cs="宋体"/>
          <w:sz w:val="22"/>
          <w:szCs w:val="22"/>
        </w:rPr>
        <w:t>）质量要求：符合相关法律法规及行业标准</w:t>
      </w:r>
    </w:p>
    <w:p w14:paraId="790751AF">
      <w:pPr>
        <w:shd w:val="clear" w:color="auto" w:fill="FFFFFF"/>
        <w:wordWrap w:val="0"/>
        <w:spacing w:line="360" w:lineRule="auto"/>
        <w:ind w:firstLine="440" w:firstLineChars="200"/>
        <w:jc w:val="left"/>
        <w:rPr>
          <w:rStyle w:val="33"/>
          <w:sz w:val="22"/>
          <w:szCs w:val="22"/>
        </w:rPr>
      </w:pPr>
      <w:r>
        <w:rPr>
          <w:rFonts w:hint="eastAsia" w:ascii="宋体" w:hAnsi="宋体" w:cs="宋体"/>
          <w:sz w:val="22"/>
          <w:szCs w:val="22"/>
        </w:rPr>
        <w:t>7、是否专门面向中小企业：是</w:t>
      </w:r>
    </w:p>
    <w:p w14:paraId="580BD4BA">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8、本项目是否接受联合体磋商：否</w:t>
      </w:r>
    </w:p>
    <w:p w14:paraId="14376730">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9、是否接受进口产品：否</w:t>
      </w:r>
    </w:p>
    <w:p w14:paraId="6A840426">
      <w:pPr>
        <w:shd w:val="clear" w:color="auto" w:fill="FFFFFF"/>
        <w:spacing w:line="360" w:lineRule="auto"/>
        <w:ind w:firstLine="440" w:firstLineChars="200"/>
        <w:rPr>
          <w:rFonts w:ascii="宋体" w:hAnsi="宋体" w:cs="宋体"/>
          <w:sz w:val="22"/>
          <w:szCs w:val="22"/>
        </w:rPr>
      </w:pPr>
      <w:bookmarkStart w:id="0" w:name="OLE_LINK7"/>
      <w:bookmarkStart w:id="1" w:name="OLE_LINK8"/>
      <w:r>
        <w:rPr>
          <w:rFonts w:hint="eastAsia" w:ascii="宋体" w:hAnsi="宋体" w:cs="宋体"/>
          <w:sz w:val="22"/>
          <w:szCs w:val="22"/>
        </w:rPr>
        <w:t>二、供应商资格要求</w:t>
      </w:r>
      <w:bookmarkEnd w:id="0"/>
      <w:bookmarkEnd w:id="1"/>
    </w:p>
    <w:p w14:paraId="2C4E0AD5">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1、满足《中华人民共和国政府采购法》第二十二条规定；</w:t>
      </w:r>
    </w:p>
    <w:p w14:paraId="467C29C7">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2、落实政府采购政策满足的资格要求：根据《政府采购促进中小企业发展管理办法》（财库〔2020〕46号）规定，本项目专门面向中小企业采购；同时供应商须提供《中小企业声明函》；</w:t>
      </w:r>
    </w:p>
    <w:p w14:paraId="3BF6054A">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3、本项目的特定资格要求</w:t>
      </w:r>
    </w:p>
    <w:p w14:paraId="07EF2B01">
      <w:pPr>
        <w:widowControl/>
        <w:spacing w:line="360" w:lineRule="auto"/>
        <w:ind w:firstLine="420"/>
        <w:jc w:val="left"/>
        <w:rPr>
          <w:rFonts w:hint="eastAsia" w:ascii="宋体" w:hAnsi="宋体" w:cs="宋体" w:eastAsiaTheme="minorEastAsia"/>
          <w:sz w:val="22"/>
          <w:szCs w:val="22"/>
          <w:lang w:eastAsia="zh-CN"/>
        </w:rPr>
      </w:pPr>
      <w:bookmarkStart w:id="2" w:name="OLE_LINK3"/>
      <w:bookmarkStart w:id="3" w:name="OLE_LINK4"/>
      <w:r>
        <w:rPr>
          <w:rFonts w:hint="eastAsia" w:ascii="宋体" w:hAnsi="宋体" w:cs="宋体"/>
          <w:sz w:val="22"/>
          <w:szCs w:val="22"/>
        </w:rPr>
        <w:t>（1）供应商具有独立法人资格，并具有有效的营业执照</w:t>
      </w:r>
      <w:r>
        <w:rPr>
          <w:rFonts w:hint="eastAsia" w:ascii="宋体" w:hAnsi="宋体" w:cs="宋体"/>
          <w:sz w:val="22"/>
          <w:szCs w:val="22"/>
          <w:lang w:eastAsia="zh-CN"/>
        </w:rPr>
        <w:t>；</w:t>
      </w:r>
    </w:p>
    <w:p w14:paraId="511944A6">
      <w:pPr>
        <w:widowControl/>
        <w:spacing w:line="360" w:lineRule="auto"/>
        <w:ind w:firstLine="420"/>
        <w:jc w:val="left"/>
        <w:rPr>
          <w:rFonts w:ascii="宋体" w:hAnsi="宋体" w:cs="宋体"/>
          <w:sz w:val="22"/>
          <w:szCs w:val="22"/>
        </w:rPr>
      </w:pPr>
      <w:r>
        <w:rPr>
          <w:rFonts w:hint="eastAsia" w:ascii="宋体" w:hAnsi="宋体" w:cs="宋体"/>
          <w:sz w:val="22"/>
          <w:szCs w:val="22"/>
        </w:rPr>
        <w:t>（2）供应商具有良好的商业信誉和健全的财务会计制度（提供承诺书，格式自拟）；</w:t>
      </w:r>
    </w:p>
    <w:p w14:paraId="0246BDDC">
      <w:pPr>
        <w:widowControl/>
        <w:spacing w:line="360" w:lineRule="auto"/>
        <w:ind w:firstLine="420"/>
        <w:jc w:val="left"/>
        <w:rPr>
          <w:rFonts w:ascii="宋体" w:hAnsi="宋体" w:cs="宋体"/>
          <w:sz w:val="22"/>
          <w:szCs w:val="22"/>
        </w:rPr>
      </w:pPr>
      <w:r>
        <w:rPr>
          <w:rFonts w:hint="eastAsia" w:ascii="宋体" w:hAnsi="宋体" w:cs="宋体"/>
          <w:sz w:val="22"/>
          <w:szCs w:val="22"/>
        </w:rPr>
        <w:t>（3）供应商具有履行合同所必需的设备和专业技术能力（提供承诺书，格式自拟）；</w:t>
      </w:r>
    </w:p>
    <w:p w14:paraId="7885ED8A">
      <w:pPr>
        <w:widowControl/>
        <w:spacing w:line="360" w:lineRule="auto"/>
        <w:ind w:firstLine="420"/>
        <w:jc w:val="left"/>
        <w:rPr>
          <w:rFonts w:ascii="宋体" w:hAnsi="宋体" w:cs="宋体"/>
          <w:sz w:val="22"/>
          <w:szCs w:val="22"/>
        </w:rPr>
      </w:pPr>
      <w:r>
        <w:rPr>
          <w:rFonts w:hint="eastAsia" w:ascii="宋体" w:hAnsi="宋体" w:cs="宋体"/>
          <w:sz w:val="22"/>
          <w:szCs w:val="22"/>
        </w:rPr>
        <w:t>（4）供应商有依法缴纳税收和社会保障资金的良好记录（提供承诺书，格式自拟）；</w:t>
      </w:r>
    </w:p>
    <w:p w14:paraId="535F7D89">
      <w:pPr>
        <w:widowControl/>
        <w:spacing w:line="360" w:lineRule="auto"/>
        <w:ind w:firstLine="420"/>
        <w:jc w:val="left"/>
        <w:rPr>
          <w:rFonts w:ascii="宋体" w:hAnsi="宋体" w:cs="宋体"/>
          <w:sz w:val="22"/>
          <w:szCs w:val="22"/>
        </w:rPr>
      </w:pPr>
      <w:r>
        <w:rPr>
          <w:rFonts w:hint="eastAsia" w:ascii="宋体" w:hAnsi="宋体" w:cs="宋体"/>
          <w:sz w:val="22"/>
          <w:szCs w:val="22"/>
        </w:rPr>
        <w:t>（5）供应商参加政府采购活动前三年内，在经营活动中没有重大违法记录（提供承诺书，格式自拟）；</w:t>
      </w:r>
    </w:p>
    <w:p w14:paraId="7D0AA54D">
      <w:pPr>
        <w:widowControl/>
        <w:spacing w:line="360" w:lineRule="auto"/>
        <w:ind w:firstLine="420"/>
        <w:jc w:val="left"/>
        <w:rPr>
          <w:rFonts w:ascii="宋体" w:hAnsi="宋体" w:cs="宋体"/>
          <w:sz w:val="22"/>
          <w:szCs w:val="22"/>
        </w:rPr>
      </w:pPr>
      <w:r>
        <w:rPr>
          <w:rFonts w:hint="eastAsia" w:ascii="宋体" w:hAnsi="宋体" w:cs="宋体"/>
          <w:sz w:val="22"/>
          <w:szCs w:val="22"/>
        </w:rPr>
        <w:t>（6）供应商为生产企业的须具有食品生产许可证；</w:t>
      </w:r>
      <w:r>
        <w:rPr>
          <w:rFonts w:hint="eastAsia" w:ascii="宋体" w:hAnsi="宋体" w:cs="宋体"/>
          <w:sz w:val="22"/>
          <w:szCs w:val="22"/>
          <w:lang w:val="en-US" w:eastAsia="zh-CN"/>
        </w:rPr>
        <w:t>供应商</w:t>
      </w:r>
      <w:r>
        <w:rPr>
          <w:rFonts w:hint="eastAsia" w:ascii="宋体" w:hAnsi="宋体" w:cs="宋体"/>
          <w:sz w:val="22"/>
          <w:szCs w:val="22"/>
        </w:rPr>
        <w:t>为经销商的须具有国家相关部门批准的食品经营许可证；</w:t>
      </w:r>
    </w:p>
    <w:p w14:paraId="0AA66C5B">
      <w:pPr>
        <w:widowControl/>
        <w:spacing w:line="360" w:lineRule="auto"/>
        <w:ind w:firstLine="420"/>
        <w:jc w:val="left"/>
        <w:rPr>
          <w:rFonts w:ascii="宋体" w:hAnsi="宋体" w:cs="宋体"/>
          <w:sz w:val="22"/>
          <w:szCs w:val="22"/>
        </w:rPr>
      </w:pPr>
      <w:r>
        <w:rPr>
          <w:rFonts w:hint="eastAsia" w:ascii="宋体" w:hAnsi="宋体" w:cs="宋体"/>
          <w:sz w:val="22"/>
          <w:szCs w:val="22"/>
        </w:rPr>
        <w:t>（7）供应商无行贿犯罪记录行为，在中国裁判文书网自行查询结果或自行承诺（查询/承诺对象：企业、法定代表人）；</w:t>
      </w:r>
    </w:p>
    <w:p w14:paraId="444A4AD5">
      <w:pPr>
        <w:widowControl/>
        <w:spacing w:line="360" w:lineRule="auto"/>
        <w:ind w:firstLine="420"/>
        <w:jc w:val="left"/>
        <w:rPr>
          <w:rFonts w:ascii="宋体" w:hAnsi="宋体" w:cs="宋体"/>
          <w:sz w:val="22"/>
          <w:szCs w:val="22"/>
        </w:rPr>
      </w:pPr>
      <w:r>
        <w:rPr>
          <w:rFonts w:hint="eastAsia" w:ascii="宋体" w:hAnsi="宋体" w:cs="宋体"/>
          <w:sz w:val="22"/>
          <w:szCs w:val="22"/>
        </w:rPr>
        <w:t>（8）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p w14:paraId="59D6A86B">
      <w:pPr>
        <w:widowControl/>
        <w:spacing w:line="360" w:lineRule="auto"/>
        <w:ind w:firstLine="420"/>
        <w:jc w:val="left"/>
        <w:rPr>
          <w:rFonts w:ascii="宋体" w:hAnsi="宋体" w:cs="宋体"/>
          <w:sz w:val="22"/>
          <w:szCs w:val="22"/>
        </w:rPr>
      </w:pPr>
      <w:r>
        <w:rPr>
          <w:rFonts w:hint="eastAsia" w:ascii="宋体" w:hAnsi="宋体" w:cs="宋体"/>
          <w:sz w:val="22"/>
          <w:szCs w:val="22"/>
          <w:lang w:val="en-US" w:eastAsia="zh-CN"/>
        </w:rPr>
        <w:t>（9）</w:t>
      </w:r>
      <w:r>
        <w:rPr>
          <w:rFonts w:hint="eastAsia" w:ascii="宋体" w:hAnsi="宋体" w:cs="宋体"/>
          <w:sz w:val="22"/>
          <w:szCs w:val="22"/>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2"/>
          <w:szCs w:val="22"/>
          <w:lang w:val="en-US" w:eastAsia="zh-CN"/>
        </w:rPr>
        <w:t>l</w:t>
      </w:r>
      <w:r>
        <w:rPr>
          <w:rFonts w:hint="eastAsia" w:ascii="宋体" w:hAnsi="宋体" w:cs="宋体"/>
          <w:sz w:val="22"/>
          <w:szCs w:val="22"/>
        </w:rPr>
        <w:t>网页查询,需包含公司基本信息、股东信息及股权变更信息内容）；</w:t>
      </w:r>
    </w:p>
    <w:p w14:paraId="1FE56D43">
      <w:pPr>
        <w:shd w:val="clear" w:color="auto" w:fill="FFFFFF"/>
        <w:wordWrap w:val="0"/>
        <w:spacing w:line="360" w:lineRule="auto"/>
        <w:ind w:firstLine="440" w:firstLineChars="200"/>
        <w:jc w:val="left"/>
        <w:rPr>
          <w:sz w:val="22"/>
          <w:szCs w:val="28"/>
        </w:rPr>
      </w:pPr>
      <w:r>
        <w:rPr>
          <w:rFonts w:hint="eastAsia" w:ascii="宋体" w:hAnsi="宋体" w:cs="宋体"/>
          <w:sz w:val="22"/>
          <w:szCs w:val="22"/>
          <w:lang w:val="en-US" w:eastAsia="zh-CN"/>
        </w:rPr>
        <w:t>（10）</w:t>
      </w:r>
      <w:r>
        <w:rPr>
          <w:rFonts w:hint="eastAsia" w:ascii="宋体" w:hAnsi="宋体" w:cs="宋体"/>
          <w:sz w:val="22"/>
          <w:szCs w:val="22"/>
        </w:rPr>
        <w:t>本项目实行资格后审</w:t>
      </w:r>
      <w:bookmarkEnd w:id="2"/>
      <w:bookmarkEnd w:id="3"/>
      <w:r>
        <w:rPr>
          <w:rFonts w:hint="eastAsia" w:ascii="宋体" w:hAnsi="宋体" w:cs="宋体"/>
          <w:sz w:val="22"/>
          <w:szCs w:val="22"/>
          <w:lang w:val="en-US" w:eastAsia="zh-CN"/>
        </w:rPr>
        <w:t>（提供资格后审承诺书，格式自拟）</w:t>
      </w:r>
      <w:r>
        <w:rPr>
          <w:rFonts w:hint="eastAsia" w:ascii="宋体" w:hAnsi="宋体" w:cs="宋体"/>
          <w:sz w:val="22"/>
          <w:szCs w:val="22"/>
        </w:rPr>
        <w:t>；</w:t>
      </w:r>
    </w:p>
    <w:p w14:paraId="6BF6B4D6">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lang w:val="en-US" w:eastAsia="zh-CN"/>
        </w:rPr>
        <w:t>（11）</w:t>
      </w:r>
      <w:r>
        <w:rPr>
          <w:rFonts w:hint="eastAsia" w:ascii="宋体" w:hAnsi="宋体" w:cs="宋体"/>
          <w:sz w:val="22"/>
          <w:szCs w:val="22"/>
        </w:rPr>
        <w:t>本项目不接受联合体磋商（提供非联合体承诺书，格式自拟）。</w:t>
      </w:r>
    </w:p>
    <w:p w14:paraId="628083B9">
      <w:pPr>
        <w:shd w:val="clear" w:color="auto" w:fill="FFFFFF"/>
        <w:wordWrap w:val="0"/>
        <w:spacing w:line="360" w:lineRule="auto"/>
        <w:ind w:firstLine="440" w:firstLineChars="200"/>
        <w:jc w:val="left"/>
        <w:rPr>
          <w:rFonts w:hint="eastAsia" w:ascii="宋体" w:hAnsi="宋体" w:cs="宋体" w:eastAsiaTheme="minorEastAsia"/>
          <w:sz w:val="22"/>
          <w:szCs w:val="22"/>
          <w:lang w:eastAsia="zh-CN"/>
        </w:rPr>
      </w:pPr>
      <w:r>
        <w:rPr>
          <w:rFonts w:hint="eastAsia" w:ascii="宋体" w:hAnsi="宋体" w:cs="宋体"/>
          <w:sz w:val="22"/>
          <w:szCs w:val="22"/>
        </w:rPr>
        <w:t>三、获取</w:t>
      </w:r>
      <w:r>
        <w:rPr>
          <w:rFonts w:hint="eastAsia" w:ascii="宋体" w:hAnsi="宋体" w:cs="宋体"/>
          <w:sz w:val="22"/>
          <w:szCs w:val="22"/>
          <w:lang w:eastAsia="zh-CN"/>
        </w:rPr>
        <w:t>磋商文件</w:t>
      </w:r>
    </w:p>
    <w:p w14:paraId="41BAEB56">
      <w:pPr>
        <w:shd w:val="clear" w:color="auto" w:fill="FFFFFF"/>
        <w:wordWrap w:val="0"/>
        <w:spacing w:line="360" w:lineRule="auto"/>
        <w:ind w:firstLine="440" w:firstLineChars="200"/>
        <w:jc w:val="left"/>
        <w:rPr>
          <w:rFonts w:ascii="宋体" w:hAnsi="宋体" w:cs="宋体"/>
          <w:color w:val="FF0000"/>
          <w:sz w:val="22"/>
          <w:szCs w:val="22"/>
          <w:highlight w:val="none"/>
        </w:rPr>
      </w:pPr>
      <w:r>
        <w:rPr>
          <w:rFonts w:hint="eastAsia" w:ascii="宋体" w:hAnsi="宋体" w:cs="宋体"/>
          <w:color w:val="auto"/>
          <w:sz w:val="22"/>
          <w:szCs w:val="22"/>
          <w:highlight w:val="none"/>
        </w:rPr>
        <w:t>1、时间：202</w:t>
      </w:r>
      <w:r>
        <w:rPr>
          <w:rFonts w:ascii="宋体" w:hAnsi="宋体" w:cs="宋体"/>
          <w:color w:val="auto"/>
          <w:sz w:val="22"/>
          <w:szCs w:val="22"/>
          <w:highlight w:val="none"/>
        </w:rPr>
        <w:t>5</w:t>
      </w:r>
      <w:r>
        <w:rPr>
          <w:rFonts w:hint="eastAsia" w:ascii="宋体" w:hAnsi="宋体" w:cs="宋体"/>
          <w:color w:val="auto"/>
          <w:sz w:val="22"/>
          <w:szCs w:val="22"/>
          <w:highlight w:val="none"/>
        </w:rPr>
        <w:t>年0</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日至202</w:t>
      </w:r>
      <w:r>
        <w:rPr>
          <w:rFonts w:ascii="宋体" w:hAnsi="宋体" w:cs="宋体"/>
          <w:color w:val="auto"/>
          <w:sz w:val="22"/>
          <w:szCs w:val="22"/>
          <w:highlight w:val="none"/>
        </w:rPr>
        <w:t>5</w:t>
      </w:r>
      <w:r>
        <w:rPr>
          <w:rFonts w:hint="eastAsia" w:ascii="宋体" w:hAnsi="宋体" w:cs="宋体"/>
          <w:color w:val="auto"/>
          <w:sz w:val="22"/>
          <w:szCs w:val="22"/>
          <w:highlight w:val="none"/>
        </w:rPr>
        <w:t>年0</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23</w:t>
      </w:r>
      <w:r>
        <w:rPr>
          <w:rFonts w:hint="eastAsia" w:ascii="宋体" w:hAnsi="宋体" w:cs="宋体"/>
          <w:color w:val="auto"/>
          <w:sz w:val="22"/>
          <w:szCs w:val="22"/>
          <w:highlight w:val="none"/>
        </w:rPr>
        <w:t>日，每天上午00:00至12:00，下午12:00至23:59（北京时间，法定节假日除外）。</w:t>
      </w:r>
    </w:p>
    <w:p w14:paraId="3506086B">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2、地点：三门峡市公共资源交易中心网下载</w:t>
      </w:r>
    </w:p>
    <w:p w14:paraId="2122B458">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3、方式：</w:t>
      </w:r>
      <w:bookmarkStart w:id="4" w:name="OLE_LINK9"/>
      <w:bookmarkStart w:id="5" w:name="OLE_LINK10"/>
      <w:r>
        <w:rPr>
          <w:rFonts w:hint="eastAsia" w:ascii="宋体" w:hAnsi="宋体" w:cs="宋体"/>
          <w:sz w:val="22"/>
          <w:szCs w:val="22"/>
        </w:rPr>
        <w:t>供应商凭CA数字证书通过三门峡市公共资源交易中心网（网址：http://gzjy.smx.gov.cn），点击交易平台选择“交易主体登录”，在所参与项目右侧点击参与投标，即可直接下载本项目竞争性磋商文件。</w:t>
      </w:r>
    </w:p>
    <w:p w14:paraId="4F45EFBB">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办理CA证书链接http://gzjy.smx.gov.cn/fwzn/004003/20211105/6b2c0463-2536-4c52-bcee-a4ce40f48642.html。</w:t>
      </w:r>
      <w:bookmarkEnd w:id="4"/>
      <w:bookmarkEnd w:id="5"/>
    </w:p>
    <w:p w14:paraId="7DB971E6">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4、售价：0元</w:t>
      </w:r>
    </w:p>
    <w:p w14:paraId="7E3ED0E9">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四、磋商截止时间及地点</w:t>
      </w:r>
    </w:p>
    <w:p w14:paraId="53B16F40">
      <w:pPr>
        <w:shd w:val="clear" w:color="auto" w:fill="FFFFFF"/>
        <w:wordWrap w:val="0"/>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1.时间：</w:t>
      </w:r>
      <w:bookmarkStart w:id="6" w:name="OLE_LINK6"/>
      <w:bookmarkStart w:id="7" w:name="OLE_LINK5"/>
      <w:r>
        <w:rPr>
          <w:rFonts w:hint="eastAsia" w:ascii="宋体" w:hAnsi="宋体" w:cs="宋体"/>
          <w:color w:val="auto"/>
          <w:sz w:val="22"/>
          <w:szCs w:val="22"/>
        </w:rPr>
        <w:t>202</w:t>
      </w:r>
      <w:r>
        <w:rPr>
          <w:rFonts w:ascii="宋体" w:hAnsi="宋体" w:cs="宋体"/>
          <w:color w:val="auto"/>
          <w:sz w:val="22"/>
          <w:szCs w:val="22"/>
        </w:rPr>
        <w:t>5</w:t>
      </w:r>
      <w:r>
        <w:rPr>
          <w:rFonts w:hint="eastAsia" w:ascii="宋体" w:hAnsi="宋体" w:cs="宋体"/>
          <w:color w:val="auto"/>
          <w:sz w:val="22"/>
          <w:szCs w:val="22"/>
        </w:rPr>
        <w:t>年</w:t>
      </w:r>
      <w:r>
        <w:rPr>
          <w:rFonts w:ascii="宋体" w:hAnsi="宋体" w:cs="宋体"/>
          <w:color w:val="auto"/>
          <w:sz w:val="22"/>
          <w:szCs w:val="22"/>
        </w:rPr>
        <w:t>0</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24</w:t>
      </w:r>
      <w:r>
        <w:rPr>
          <w:rFonts w:hint="eastAsia" w:ascii="宋体" w:hAnsi="宋体" w:cs="宋体"/>
          <w:color w:val="auto"/>
          <w:sz w:val="22"/>
          <w:szCs w:val="22"/>
        </w:rPr>
        <w:t>日</w:t>
      </w:r>
      <w:bookmarkEnd w:id="6"/>
      <w:bookmarkEnd w:id="7"/>
      <w:r>
        <w:rPr>
          <w:rFonts w:hint="eastAsia" w:ascii="宋体" w:hAnsi="宋体" w:cs="宋体"/>
          <w:color w:val="auto"/>
          <w:sz w:val="22"/>
          <w:szCs w:val="22"/>
        </w:rPr>
        <w:t>0</w:t>
      </w:r>
      <w:r>
        <w:rPr>
          <w:rFonts w:hint="eastAsia" w:ascii="宋体" w:hAnsi="宋体" w:cs="宋体"/>
          <w:color w:val="auto"/>
          <w:sz w:val="22"/>
          <w:szCs w:val="22"/>
          <w:lang w:val="en-US" w:eastAsia="zh-CN"/>
        </w:rPr>
        <w:t>8</w:t>
      </w:r>
      <w:r>
        <w:rPr>
          <w:rFonts w:hint="eastAsia" w:ascii="宋体" w:hAnsi="宋体" w:cs="宋体"/>
          <w:color w:val="auto"/>
          <w:sz w:val="22"/>
          <w:szCs w:val="22"/>
        </w:rPr>
        <w:t>时</w:t>
      </w:r>
      <w:r>
        <w:rPr>
          <w:rFonts w:hint="eastAsia" w:ascii="宋体" w:hAnsi="宋体" w:cs="宋体"/>
          <w:color w:val="auto"/>
          <w:sz w:val="22"/>
          <w:szCs w:val="22"/>
          <w:lang w:val="en-US" w:eastAsia="zh-CN"/>
        </w:rPr>
        <w:t>3</w:t>
      </w:r>
      <w:r>
        <w:rPr>
          <w:rFonts w:hint="eastAsia" w:ascii="宋体" w:hAnsi="宋体" w:cs="宋体"/>
          <w:color w:val="auto"/>
          <w:sz w:val="22"/>
          <w:szCs w:val="22"/>
        </w:rPr>
        <w:t>0分（北京时间）</w:t>
      </w:r>
    </w:p>
    <w:p w14:paraId="75A72A5B">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2.地点：加密电子响应文件须在磋商截止时间前通过“三门峡市公共资源交易中心网站（http://gzjy.smx.gov.cn/）”电子交易平台加密上传。逾期上传的响应文件，采购人不予受理。</w:t>
      </w:r>
    </w:p>
    <w:p w14:paraId="15EC0FED">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五、开标时间及地点</w:t>
      </w:r>
    </w:p>
    <w:p w14:paraId="5E2B6768">
      <w:pPr>
        <w:shd w:val="clear" w:color="auto" w:fill="FFFFFF"/>
        <w:wordWrap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1.时间：202</w:t>
      </w:r>
      <w:r>
        <w:rPr>
          <w:rFonts w:ascii="宋体" w:hAnsi="宋体" w:cs="宋体"/>
          <w:color w:val="auto"/>
          <w:sz w:val="22"/>
          <w:szCs w:val="22"/>
          <w:highlight w:val="none"/>
        </w:rPr>
        <w:t>5</w:t>
      </w:r>
      <w:r>
        <w:rPr>
          <w:rFonts w:hint="eastAsia" w:ascii="宋体" w:hAnsi="宋体" w:cs="宋体"/>
          <w:color w:val="auto"/>
          <w:sz w:val="22"/>
          <w:szCs w:val="22"/>
          <w:highlight w:val="none"/>
        </w:rPr>
        <w:t>年</w:t>
      </w:r>
      <w:r>
        <w:rPr>
          <w:rFonts w:ascii="宋体" w:hAnsi="宋体" w:cs="宋体"/>
          <w:color w:val="auto"/>
          <w:sz w:val="22"/>
          <w:szCs w:val="22"/>
          <w:highlight w:val="none"/>
        </w:rPr>
        <w:t>0</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24</w:t>
      </w:r>
      <w:r>
        <w:rPr>
          <w:rFonts w:hint="eastAsia" w:ascii="宋体" w:hAnsi="宋体" w:cs="宋体"/>
          <w:color w:val="auto"/>
          <w:sz w:val="22"/>
          <w:szCs w:val="22"/>
          <w:highlight w:val="none"/>
        </w:rPr>
        <w:t>日0</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时</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0分（北京时间）</w:t>
      </w:r>
    </w:p>
    <w:p w14:paraId="4845029B">
      <w:pPr>
        <w:shd w:val="clear" w:color="auto" w:fill="FFFFFF"/>
        <w:wordWrap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2.地点：</w:t>
      </w:r>
      <w:r>
        <w:rPr>
          <w:rFonts w:hint="eastAsia" w:ascii="宋体" w:hAnsi="宋体" w:cs="宋体"/>
          <w:color w:val="auto"/>
          <w:sz w:val="22"/>
          <w:szCs w:val="22"/>
          <w:highlight w:val="none"/>
          <w:lang w:eastAsia="zh-CN"/>
        </w:rPr>
        <w:t>义马市公共资源交易中心开标</w:t>
      </w:r>
      <w:r>
        <w:rPr>
          <w:rFonts w:hint="eastAsia" w:ascii="宋体" w:hAnsi="宋体" w:cs="宋体"/>
          <w:color w:val="auto"/>
          <w:sz w:val="22"/>
          <w:szCs w:val="22"/>
          <w:highlight w:val="none"/>
          <w:lang w:val="en-US" w:eastAsia="zh-CN"/>
        </w:rPr>
        <w:t>二</w:t>
      </w:r>
      <w:r>
        <w:rPr>
          <w:rFonts w:hint="eastAsia" w:ascii="宋体" w:hAnsi="宋体" w:cs="宋体"/>
          <w:color w:val="auto"/>
          <w:sz w:val="22"/>
          <w:szCs w:val="22"/>
          <w:highlight w:val="none"/>
          <w:lang w:eastAsia="zh-CN"/>
        </w:rPr>
        <w:t>室</w:t>
      </w:r>
    </w:p>
    <w:p w14:paraId="56FF1D2E">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六、磋商保证金：</w:t>
      </w:r>
    </w:p>
    <w:p w14:paraId="58F1868B">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按《河南省财政厅关于优化政府采购营商环境有关问题的通知》（豫财购[2019]4号文）的要求本项目不再收取磋商保证金。</w:t>
      </w:r>
    </w:p>
    <w:p w14:paraId="430FC631">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七、发布公告的媒介</w:t>
      </w:r>
    </w:p>
    <w:p w14:paraId="095AEF71">
      <w:pPr>
        <w:shd w:val="clear" w:color="auto" w:fill="FFFFFF"/>
        <w:wordWrap w:val="0"/>
        <w:spacing w:line="360" w:lineRule="auto"/>
        <w:ind w:firstLine="440" w:firstLineChars="200"/>
        <w:jc w:val="left"/>
        <w:rPr>
          <w:rFonts w:ascii="宋体" w:hAnsi="宋体" w:cs="宋体"/>
          <w:sz w:val="22"/>
          <w:szCs w:val="22"/>
        </w:rPr>
      </w:pPr>
      <w:bookmarkStart w:id="8" w:name="OLE_LINK11"/>
      <w:bookmarkStart w:id="9" w:name="OLE_LINK12"/>
      <w:r>
        <w:rPr>
          <w:rFonts w:hint="eastAsia" w:ascii="宋体" w:hAnsi="宋体" w:cs="宋体"/>
          <w:sz w:val="22"/>
          <w:szCs w:val="22"/>
        </w:rPr>
        <w:t>本次</w:t>
      </w:r>
      <w:r>
        <w:rPr>
          <w:rFonts w:hint="eastAsia" w:ascii="宋体" w:hAnsi="宋体" w:cs="宋体"/>
          <w:sz w:val="22"/>
          <w:szCs w:val="22"/>
          <w:lang w:val="en-US" w:eastAsia="zh-CN"/>
        </w:rPr>
        <w:t>磋商</w:t>
      </w:r>
      <w:r>
        <w:rPr>
          <w:rFonts w:hint="eastAsia" w:ascii="宋体" w:hAnsi="宋体" w:cs="宋体"/>
          <w:sz w:val="22"/>
          <w:szCs w:val="22"/>
        </w:rPr>
        <w:t>公告在《河南省政府采购网》、《中国招标投标公共服务平台》、《三门峡市公共资源交易中心网》上发布。</w:t>
      </w:r>
      <w:bookmarkEnd w:id="8"/>
      <w:bookmarkEnd w:id="9"/>
    </w:p>
    <w:p w14:paraId="5AD93234">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八、其他补充事宜</w:t>
      </w:r>
    </w:p>
    <w:p w14:paraId="51B75F0D">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1、资格评（预）审部分：资格评（预）审以响应文件为准，其上传资料真实性由供应商自行承担，同时，供应商请完善主体库。</w:t>
      </w:r>
    </w:p>
    <w:p w14:paraId="1E26592B">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2、评标打分部分：评标打分部分仍按照100分制原则进行，涉及到资格审查、企业荣誉、企业业绩等计分部分时，以供应商自行上传到响应文件中的相应内容为准。</w:t>
      </w:r>
    </w:p>
    <w:p w14:paraId="1CD4174D">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3、响应文件编制部分：在竞争性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w:t>
      </w:r>
    </w:p>
    <w:p w14:paraId="4A632A0B">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4、供应商应仔细阅读操作手册，在本公告中要求的截止时间前完成磋商文件下载等工作。因供应商操作不当等问题造成的无法下载竞争性磋商文件、无法磋商等一切后果，由供应商自行承担。</w:t>
      </w:r>
    </w:p>
    <w:p w14:paraId="5F6F5C1C">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5、供应商递交的响应文件不论成交与否均不予退还。</w:t>
      </w:r>
    </w:p>
    <w:p w14:paraId="38F0AEF9">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lang w:val="en-US" w:eastAsia="zh-CN"/>
        </w:rPr>
        <w:t>九</w:t>
      </w:r>
      <w:r>
        <w:rPr>
          <w:rFonts w:hint="eastAsia" w:ascii="宋体" w:hAnsi="宋体" w:cs="宋体"/>
          <w:sz w:val="22"/>
          <w:szCs w:val="22"/>
        </w:rPr>
        <w:t>、凡对本次</w:t>
      </w:r>
      <w:r>
        <w:rPr>
          <w:rFonts w:hint="eastAsia" w:ascii="宋体" w:hAnsi="宋体" w:cs="宋体"/>
          <w:sz w:val="22"/>
          <w:szCs w:val="22"/>
          <w:lang w:val="en-US" w:eastAsia="zh-CN"/>
        </w:rPr>
        <w:t>磋商</w:t>
      </w:r>
      <w:r>
        <w:rPr>
          <w:rFonts w:hint="eastAsia" w:ascii="宋体" w:hAnsi="宋体" w:cs="宋体"/>
          <w:sz w:val="22"/>
          <w:szCs w:val="22"/>
        </w:rPr>
        <w:t>提出询问，请按照以下方式联系</w:t>
      </w:r>
    </w:p>
    <w:p w14:paraId="320E4A1B">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1、监督单位：</w:t>
      </w:r>
      <w:r>
        <w:rPr>
          <w:rFonts w:hint="eastAsia" w:ascii="宋体" w:hAnsi="宋体" w:cs="宋体"/>
          <w:sz w:val="22"/>
          <w:szCs w:val="22"/>
          <w:highlight w:val="none"/>
          <w:lang w:val="en-US" w:eastAsia="zh-CN"/>
        </w:rPr>
        <w:t>义马市财政局政府采购监督管理科</w:t>
      </w:r>
    </w:p>
    <w:p w14:paraId="27E762D8">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lang w:val="en-US" w:eastAsia="zh-CN"/>
        </w:rPr>
        <w:t>电话：0398-5832143</w:t>
      </w:r>
    </w:p>
    <w:p w14:paraId="023622B3">
      <w:pPr>
        <w:numPr>
          <w:ilvl w:val="0"/>
          <w:numId w:val="2"/>
        </w:numPr>
        <w:wordWrap w:val="0"/>
        <w:spacing w:line="360" w:lineRule="auto"/>
        <w:ind w:firstLine="440" w:firstLineChars="200"/>
        <w:rPr>
          <w:rFonts w:ascii="宋体" w:hAnsi="宋体" w:cs="宋体"/>
          <w:sz w:val="22"/>
          <w:szCs w:val="22"/>
        </w:rPr>
      </w:pPr>
      <w:r>
        <w:rPr>
          <w:rFonts w:hint="eastAsia" w:ascii="宋体" w:hAnsi="宋体" w:cs="宋体"/>
          <w:sz w:val="22"/>
          <w:szCs w:val="22"/>
        </w:rPr>
        <w:t>采购人：义马市消防救援大队</w:t>
      </w:r>
    </w:p>
    <w:p w14:paraId="74189472">
      <w:pPr>
        <w:wordWrap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地址：义马市人民路和民安街交叉口</w:t>
      </w:r>
    </w:p>
    <w:p w14:paraId="0A5F57D6">
      <w:pPr>
        <w:wordWrap w:val="0"/>
        <w:spacing w:line="360" w:lineRule="auto"/>
        <w:ind w:firstLine="440" w:firstLineChars="200"/>
        <w:rPr>
          <w:rFonts w:hint="eastAsia" w:ascii="宋体" w:hAnsi="宋体" w:cs="宋体" w:eastAsiaTheme="minorEastAsia"/>
          <w:sz w:val="22"/>
          <w:szCs w:val="22"/>
          <w:highlight w:val="none"/>
          <w:lang w:val="en-US" w:eastAsia="zh-CN"/>
        </w:rPr>
      </w:pPr>
      <w:r>
        <w:rPr>
          <w:rFonts w:hint="eastAsia" w:ascii="宋体" w:hAnsi="宋体" w:cs="宋体"/>
          <w:sz w:val="22"/>
          <w:szCs w:val="22"/>
          <w:highlight w:val="none"/>
        </w:rPr>
        <w:t>联系人：</w:t>
      </w:r>
      <w:r>
        <w:rPr>
          <w:rFonts w:hint="eastAsia" w:ascii="宋体" w:hAnsi="宋体" w:cs="宋体"/>
          <w:spacing w:val="6"/>
          <w:sz w:val="22"/>
          <w:szCs w:val="22"/>
          <w:lang w:val="en-US" w:eastAsia="zh-CN"/>
        </w:rPr>
        <w:t>吴春生</w:t>
      </w:r>
    </w:p>
    <w:p w14:paraId="224B4821">
      <w:pPr>
        <w:wordWrap w:val="0"/>
        <w:spacing w:line="360" w:lineRule="auto"/>
        <w:ind w:firstLine="440" w:firstLineChars="200"/>
        <w:rPr>
          <w:rFonts w:hint="default" w:ascii="宋体" w:hAnsi="宋体" w:cs="宋体" w:eastAsiaTheme="minorEastAsia"/>
          <w:sz w:val="22"/>
          <w:szCs w:val="22"/>
          <w:highlight w:val="none"/>
          <w:lang w:val="en-US" w:eastAsia="zh-CN"/>
        </w:rPr>
      </w:pPr>
      <w:r>
        <w:rPr>
          <w:rFonts w:hint="eastAsia" w:ascii="宋体" w:hAnsi="宋体" w:cs="宋体"/>
          <w:sz w:val="22"/>
          <w:szCs w:val="22"/>
          <w:highlight w:val="none"/>
        </w:rPr>
        <w:t>联系方式：</w:t>
      </w:r>
      <w:r>
        <w:rPr>
          <w:rFonts w:hint="eastAsia" w:ascii="宋体" w:hAnsi="宋体" w:cs="宋体"/>
          <w:sz w:val="22"/>
          <w:szCs w:val="22"/>
          <w:highlight w:val="none"/>
          <w:lang w:val="en-US" w:eastAsia="zh-CN"/>
        </w:rPr>
        <w:t>15039866119</w:t>
      </w:r>
    </w:p>
    <w:p w14:paraId="555E58F1">
      <w:pPr>
        <w:wordWrap w:val="0"/>
        <w:spacing w:line="360" w:lineRule="auto"/>
        <w:ind w:firstLine="440" w:firstLineChars="200"/>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3、采购代理机构：河南友拓工程管理有限公司</w:t>
      </w:r>
    </w:p>
    <w:p w14:paraId="05851876">
      <w:pPr>
        <w:wordWrap w:val="0"/>
        <w:spacing w:line="360" w:lineRule="auto"/>
        <w:ind w:firstLine="440" w:firstLineChars="200"/>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地址：三门峡市湖滨区河堤北路伟业大厦905室</w:t>
      </w:r>
    </w:p>
    <w:p w14:paraId="5EC0D575">
      <w:pPr>
        <w:wordWrap w:val="0"/>
        <w:spacing w:line="360" w:lineRule="auto"/>
        <w:ind w:firstLine="440" w:firstLineChars="200"/>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联系人：郭</w:t>
      </w:r>
      <w:r>
        <w:rPr>
          <w:rFonts w:hint="eastAsia" w:ascii="宋体" w:hAnsi="宋体" w:cs="宋体"/>
          <w:sz w:val="22"/>
          <w:szCs w:val="22"/>
          <w:lang w:val="en-US" w:eastAsia="zh-CN"/>
        </w:rPr>
        <w:t>哲</w:t>
      </w:r>
    </w:p>
    <w:p w14:paraId="37E2DDB4">
      <w:pPr>
        <w:wordWrap w:val="0"/>
        <w:spacing w:line="360" w:lineRule="auto"/>
        <w:ind w:firstLine="440" w:firstLineChars="200"/>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联系方式：</w:t>
      </w:r>
      <w:r>
        <w:rPr>
          <w:rFonts w:hint="eastAsia" w:ascii="宋体" w:hAnsi="宋体" w:cs="宋体"/>
          <w:sz w:val="22"/>
          <w:szCs w:val="22"/>
          <w:lang w:val="en-US" w:eastAsia="zh-CN"/>
        </w:rPr>
        <w:t>18939052988</w:t>
      </w:r>
    </w:p>
    <w:p w14:paraId="526A1445">
      <w:pPr>
        <w:wordWrap w:val="0"/>
        <w:spacing w:line="360" w:lineRule="auto"/>
        <w:ind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4、项目联系人</w:t>
      </w:r>
    </w:p>
    <w:p w14:paraId="3D32DF16">
      <w:pPr>
        <w:wordWrap w:val="0"/>
        <w:spacing w:line="360" w:lineRule="auto"/>
        <w:ind w:firstLine="440" w:firstLineChars="200"/>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联系人：郭</w:t>
      </w:r>
      <w:r>
        <w:rPr>
          <w:rFonts w:hint="eastAsia" w:ascii="宋体" w:hAnsi="宋体" w:cs="宋体"/>
          <w:sz w:val="22"/>
          <w:szCs w:val="22"/>
          <w:lang w:val="en-US" w:eastAsia="zh-CN"/>
        </w:rPr>
        <w:t>哲</w:t>
      </w:r>
    </w:p>
    <w:p w14:paraId="4BC7778D">
      <w:pPr>
        <w:wordWrap w:val="0"/>
        <w:spacing w:line="360" w:lineRule="auto"/>
        <w:ind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联系方式：</w:t>
      </w:r>
      <w:r>
        <w:rPr>
          <w:rFonts w:hint="eastAsia" w:ascii="宋体" w:hAnsi="宋体" w:cs="宋体"/>
          <w:sz w:val="22"/>
          <w:szCs w:val="22"/>
          <w:lang w:val="en-US" w:eastAsia="zh-CN"/>
        </w:rPr>
        <w:t>18939052988</w:t>
      </w:r>
    </w:p>
    <w:p w14:paraId="1EA5468F">
      <w:pPr>
        <w:pStyle w:val="14"/>
        <w:rPr>
          <w:b/>
          <w:bCs/>
          <w:sz w:val="32"/>
          <w:szCs w:val="40"/>
        </w:rPr>
      </w:pPr>
    </w:p>
    <w:p w14:paraId="63B2E7A1">
      <w:pPr>
        <w:pStyle w:val="14"/>
        <w:rPr>
          <w:b/>
          <w:bCs/>
          <w:sz w:val="32"/>
          <w:szCs w:val="40"/>
        </w:rPr>
      </w:pPr>
    </w:p>
    <w:p w14:paraId="5E829A8B">
      <w:pPr>
        <w:pStyle w:val="14"/>
        <w:rPr>
          <w:b/>
          <w:bCs/>
          <w:sz w:val="32"/>
          <w:szCs w:val="40"/>
        </w:rPr>
      </w:pPr>
    </w:p>
    <w:p w14:paraId="1A009B9E">
      <w:pPr>
        <w:pStyle w:val="14"/>
        <w:rPr>
          <w:b/>
          <w:bCs/>
          <w:sz w:val="32"/>
          <w:szCs w:val="40"/>
        </w:rPr>
      </w:pPr>
    </w:p>
    <w:p w14:paraId="365A87DD">
      <w:pPr>
        <w:pStyle w:val="14"/>
        <w:rPr>
          <w:b/>
          <w:bCs/>
          <w:sz w:val="32"/>
          <w:szCs w:val="40"/>
        </w:rPr>
      </w:pPr>
    </w:p>
    <w:p w14:paraId="60707A39">
      <w:pPr>
        <w:pStyle w:val="14"/>
        <w:rPr>
          <w:b/>
          <w:bCs/>
          <w:sz w:val="32"/>
          <w:szCs w:val="40"/>
        </w:rPr>
      </w:pPr>
    </w:p>
    <w:p w14:paraId="11881E9C">
      <w:pPr>
        <w:pStyle w:val="14"/>
        <w:rPr>
          <w:b/>
          <w:bCs/>
          <w:sz w:val="32"/>
          <w:szCs w:val="40"/>
        </w:rPr>
      </w:pPr>
    </w:p>
    <w:p w14:paraId="51EE4D44">
      <w:pPr>
        <w:pStyle w:val="14"/>
        <w:rPr>
          <w:b/>
          <w:bCs/>
          <w:sz w:val="32"/>
          <w:szCs w:val="40"/>
        </w:rPr>
      </w:pPr>
    </w:p>
    <w:p w14:paraId="7030A521">
      <w:pPr>
        <w:pStyle w:val="14"/>
        <w:rPr>
          <w:b/>
          <w:bCs/>
          <w:sz w:val="32"/>
          <w:szCs w:val="40"/>
        </w:rPr>
      </w:pPr>
    </w:p>
    <w:p w14:paraId="684B0203">
      <w:pPr>
        <w:pStyle w:val="14"/>
        <w:rPr>
          <w:b/>
          <w:bCs/>
          <w:sz w:val="32"/>
          <w:szCs w:val="40"/>
        </w:rPr>
      </w:pPr>
    </w:p>
    <w:p w14:paraId="696029A1">
      <w:pPr>
        <w:pStyle w:val="14"/>
        <w:rPr>
          <w:b/>
          <w:bCs/>
          <w:sz w:val="32"/>
          <w:szCs w:val="40"/>
        </w:rPr>
      </w:pPr>
    </w:p>
    <w:p w14:paraId="33BFB880">
      <w:pPr>
        <w:pStyle w:val="14"/>
        <w:rPr>
          <w:b/>
          <w:bCs/>
          <w:sz w:val="32"/>
          <w:szCs w:val="40"/>
        </w:rPr>
      </w:pPr>
    </w:p>
    <w:p w14:paraId="080EF677">
      <w:pPr>
        <w:pStyle w:val="14"/>
        <w:rPr>
          <w:b/>
          <w:bCs/>
          <w:sz w:val="32"/>
          <w:szCs w:val="40"/>
        </w:rPr>
      </w:pPr>
    </w:p>
    <w:p w14:paraId="5B7F52F4">
      <w:pPr>
        <w:pStyle w:val="14"/>
        <w:rPr>
          <w:b/>
          <w:bCs/>
          <w:sz w:val="32"/>
          <w:szCs w:val="40"/>
        </w:rPr>
      </w:pPr>
    </w:p>
    <w:p w14:paraId="44BC5C3F">
      <w:pPr>
        <w:pStyle w:val="14"/>
        <w:rPr>
          <w:b/>
          <w:bCs/>
          <w:sz w:val="32"/>
          <w:szCs w:val="40"/>
        </w:rPr>
      </w:pPr>
    </w:p>
    <w:p w14:paraId="7DD3C94D">
      <w:pPr>
        <w:pStyle w:val="14"/>
        <w:rPr>
          <w:b/>
          <w:bCs/>
          <w:sz w:val="32"/>
          <w:szCs w:val="40"/>
        </w:rPr>
      </w:pPr>
    </w:p>
    <w:p w14:paraId="311B72E1">
      <w:pPr>
        <w:pStyle w:val="14"/>
        <w:rPr>
          <w:b/>
          <w:bCs/>
          <w:sz w:val="32"/>
          <w:szCs w:val="40"/>
        </w:rPr>
      </w:pPr>
    </w:p>
    <w:p w14:paraId="4D635367">
      <w:pPr>
        <w:pStyle w:val="14"/>
        <w:rPr>
          <w:b/>
          <w:bCs/>
          <w:sz w:val="32"/>
          <w:szCs w:val="40"/>
        </w:rPr>
      </w:pPr>
    </w:p>
    <w:p w14:paraId="7549DE76">
      <w:pPr>
        <w:pStyle w:val="14"/>
        <w:rPr>
          <w:b/>
          <w:bCs/>
          <w:sz w:val="32"/>
          <w:szCs w:val="40"/>
        </w:rPr>
      </w:pPr>
    </w:p>
    <w:p w14:paraId="6A847E90">
      <w:pPr>
        <w:pStyle w:val="14"/>
        <w:rPr>
          <w:b/>
          <w:bCs/>
          <w:sz w:val="32"/>
          <w:szCs w:val="40"/>
        </w:rPr>
      </w:pPr>
    </w:p>
    <w:p w14:paraId="3A011635">
      <w:pPr>
        <w:pStyle w:val="14"/>
        <w:rPr>
          <w:b/>
          <w:bCs/>
          <w:sz w:val="32"/>
          <w:szCs w:val="40"/>
        </w:rPr>
      </w:pPr>
    </w:p>
    <w:p w14:paraId="38C1939D">
      <w:pPr>
        <w:pStyle w:val="14"/>
        <w:rPr>
          <w:b/>
          <w:bCs/>
          <w:sz w:val="32"/>
          <w:szCs w:val="40"/>
        </w:rPr>
      </w:pPr>
    </w:p>
    <w:p w14:paraId="7931890C">
      <w:pPr>
        <w:pStyle w:val="14"/>
        <w:rPr>
          <w:b/>
          <w:bCs/>
          <w:sz w:val="32"/>
          <w:szCs w:val="40"/>
        </w:rPr>
      </w:pPr>
    </w:p>
    <w:p w14:paraId="35B6603F">
      <w:pPr>
        <w:spacing w:line="360" w:lineRule="auto"/>
        <w:jc w:val="center"/>
        <w:rPr>
          <w:rFonts w:ascii="黑体" w:cs="黑体"/>
          <w:b/>
          <w:sz w:val="28"/>
          <w:szCs w:val="28"/>
        </w:rPr>
      </w:pPr>
      <w:r>
        <w:rPr>
          <w:rFonts w:hint="eastAsia" w:ascii="黑体" w:cs="宋体"/>
          <w:b/>
          <w:sz w:val="28"/>
          <w:szCs w:val="28"/>
        </w:rPr>
        <w:t>第二章</w:t>
      </w:r>
      <w:r>
        <w:rPr>
          <w:rFonts w:hint="eastAsia" w:ascii="黑体" w:cs="黑体"/>
          <w:b/>
          <w:sz w:val="28"/>
          <w:szCs w:val="28"/>
        </w:rPr>
        <w:t xml:space="preserve">  </w:t>
      </w:r>
      <w:r>
        <w:rPr>
          <w:rFonts w:hint="eastAsia" w:ascii="黑体" w:cs="宋体"/>
          <w:b/>
          <w:sz w:val="28"/>
          <w:szCs w:val="28"/>
        </w:rPr>
        <w:t>供应商须知</w:t>
      </w:r>
    </w:p>
    <w:p w14:paraId="655249BC">
      <w:pPr>
        <w:keepNext/>
        <w:keepLines/>
        <w:spacing w:line="360" w:lineRule="auto"/>
        <w:jc w:val="center"/>
        <w:outlineLvl w:val="1"/>
        <w:rPr>
          <w:rFonts w:ascii="宋体" w:hAnsi="宋体"/>
          <w:b/>
          <w:sz w:val="32"/>
          <w:szCs w:val="32"/>
        </w:rPr>
      </w:pPr>
      <w:bookmarkStart w:id="10" w:name="_Toc461977413"/>
      <w:bookmarkEnd w:id="10"/>
      <w:r>
        <w:rPr>
          <w:rFonts w:hint="eastAsia" w:ascii="宋体" w:hAnsi="宋体" w:cs="宋体"/>
          <w:b/>
          <w:sz w:val="28"/>
          <w:szCs w:val="28"/>
        </w:rPr>
        <w:t>供应商须知前附表</w:t>
      </w:r>
    </w:p>
    <w:tbl>
      <w:tblPr>
        <w:tblStyle w:val="21"/>
        <w:tblpPr w:leftFromText="180" w:rightFromText="180" w:vertAnchor="text" w:horzAnchor="page" w:tblpX="1539" w:tblpY="461"/>
        <w:tblOverlap w:val="never"/>
        <w:tblW w:w="9004" w:type="dxa"/>
        <w:tblInd w:w="0" w:type="dxa"/>
        <w:tblLayout w:type="fixed"/>
        <w:tblCellMar>
          <w:top w:w="0" w:type="dxa"/>
          <w:left w:w="108" w:type="dxa"/>
          <w:bottom w:w="0" w:type="dxa"/>
          <w:right w:w="108" w:type="dxa"/>
        </w:tblCellMar>
      </w:tblPr>
      <w:tblGrid>
        <w:gridCol w:w="828"/>
        <w:gridCol w:w="1611"/>
        <w:gridCol w:w="6565"/>
      </w:tblGrid>
      <w:tr w14:paraId="00C57E41">
        <w:tblPrEx>
          <w:tblCellMar>
            <w:top w:w="0" w:type="dxa"/>
            <w:left w:w="108" w:type="dxa"/>
            <w:bottom w:w="0" w:type="dxa"/>
            <w:right w:w="108" w:type="dxa"/>
          </w:tblCellMar>
        </w:tblPrEx>
        <w:trPr>
          <w:cantSplit/>
          <w:trHeight w:val="697" w:hRule="atLeast"/>
        </w:trPr>
        <w:tc>
          <w:tcPr>
            <w:tcW w:w="828" w:type="dxa"/>
            <w:tcBorders>
              <w:top w:val="single" w:color="auto" w:sz="12" w:space="0"/>
              <w:left w:val="single" w:color="auto" w:sz="12" w:space="0"/>
              <w:bottom w:val="single" w:color="auto" w:sz="6" w:space="0"/>
              <w:right w:val="single" w:color="auto" w:sz="6" w:space="0"/>
            </w:tcBorders>
            <w:vAlign w:val="center"/>
          </w:tcPr>
          <w:p w14:paraId="5A893ECA">
            <w:pPr>
              <w:adjustRightInd w:val="0"/>
              <w:spacing w:line="360" w:lineRule="auto"/>
              <w:ind w:left="3" w:hanging="2" w:hangingChars="1"/>
              <w:jc w:val="center"/>
              <w:rPr>
                <w:rFonts w:ascii="宋体" w:hAnsi="宋体" w:cs="宋体"/>
                <w:spacing w:val="6"/>
                <w:sz w:val="22"/>
                <w:szCs w:val="22"/>
              </w:rPr>
            </w:pPr>
            <w:r>
              <w:rPr>
                <w:rFonts w:ascii="宋体" w:hAnsi="宋体" w:cs="宋体"/>
                <w:spacing w:val="6"/>
                <w:sz w:val="22"/>
                <w:szCs w:val="22"/>
              </w:rPr>
              <w:t>条款</w:t>
            </w:r>
          </w:p>
        </w:tc>
        <w:tc>
          <w:tcPr>
            <w:tcW w:w="1611" w:type="dxa"/>
            <w:tcBorders>
              <w:top w:val="single" w:color="auto" w:sz="12" w:space="0"/>
              <w:left w:val="single" w:color="auto" w:sz="6" w:space="0"/>
              <w:bottom w:val="single" w:color="auto" w:sz="6" w:space="0"/>
              <w:right w:val="single" w:color="auto" w:sz="6" w:space="0"/>
            </w:tcBorders>
            <w:vAlign w:val="center"/>
          </w:tcPr>
          <w:p w14:paraId="1DDBE558">
            <w:pPr>
              <w:adjustRightInd w:val="0"/>
              <w:spacing w:line="360" w:lineRule="auto"/>
              <w:ind w:left="3" w:hanging="2" w:hangingChars="1"/>
              <w:jc w:val="center"/>
              <w:rPr>
                <w:rFonts w:ascii="宋体" w:hAnsi="宋体" w:cs="宋体"/>
                <w:spacing w:val="6"/>
                <w:sz w:val="22"/>
                <w:szCs w:val="22"/>
              </w:rPr>
            </w:pPr>
            <w:r>
              <w:rPr>
                <w:rFonts w:ascii="宋体" w:hAnsi="宋体" w:cs="宋体"/>
                <w:spacing w:val="6"/>
                <w:sz w:val="22"/>
                <w:szCs w:val="22"/>
              </w:rPr>
              <w:t>条款号</w:t>
            </w:r>
          </w:p>
        </w:tc>
        <w:tc>
          <w:tcPr>
            <w:tcW w:w="6565" w:type="dxa"/>
            <w:tcBorders>
              <w:top w:val="single" w:color="auto" w:sz="12" w:space="0"/>
              <w:left w:val="single" w:color="auto" w:sz="6" w:space="0"/>
              <w:bottom w:val="single" w:color="auto" w:sz="6" w:space="0"/>
              <w:right w:val="single" w:color="auto" w:sz="12" w:space="0"/>
            </w:tcBorders>
            <w:vAlign w:val="center"/>
          </w:tcPr>
          <w:p w14:paraId="25C1E9ED">
            <w:pPr>
              <w:adjustRightInd w:val="0"/>
              <w:spacing w:line="360" w:lineRule="auto"/>
              <w:ind w:left="3" w:hanging="2" w:hangingChars="1"/>
              <w:jc w:val="center"/>
              <w:rPr>
                <w:rFonts w:ascii="宋体" w:hAnsi="宋体" w:cs="宋体"/>
                <w:spacing w:val="6"/>
                <w:sz w:val="22"/>
                <w:szCs w:val="22"/>
              </w:rPr>
            </w:pPr>
            <w:r>
              <w:rPr>
                <w:rFonts w:ascii="宋体" w:hAnsi="宋体" w:cs="宋体"/>
                <w:spacing w:val="6"/>
                <w:sz w:val="22"/>
                <w:szCs w:val="22"/>
              </w:rPr>
              <w:t>编列内容</w:t>
            </w:r>
          </w:p>
        </w:tc>
      </w:tr>
      <w:tr w14:paraId="00070BD8">
        <w:tblPrEx>
          <w:tblCellMar>
            <w:top w:w="0" w:type="dxa"/>
            <w:left w:w="108" w:type="dxa"/>
            <w:bottom w:w="0" w:type="dxa"/>
            <w:right w:w="108" w:type="dxa"/>
          </w:tblCellMar>
        </w:tblPrEx>
        <w:trPr>
          <w:cantSplit/>
          <w:trHeight w:val="563" w:hRule="atLeast"/>
        </w:trPr>
        <w:tc>
          <w:tcPr>
            <w:tcW w:w="828" w:type="dxa"/>
            <w:tcBorders>
              <w:top w:val="single" w:color="auto" w:sz="6" w:space="0"/>
              <w:left w:val="single" w:color="auto" w:sz="12" w:space="0"/>
              <w:bottom w:val="single" w:color="auto" w:sz="6" w:space="0"/>
              <w:right w:val="single" w:color="auto" w:sz="6" w:space="0"/>
            </w:tcBorders>
            <w:vAlign w:val="center"/>
          </w:tcPr>
          <w:p w14:paraId="6E8D16D3">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1</w:t>
            </w:r>
          </w:p>
        </w:tc>
        <w:tc>
          <w:tcPr>
            <w:tcW w:w="1611" w:type="dxa"/>
            <w:tcBorders>
              <w:top w:val="single" w:color="auto" w:sz="6" w:space="0"/>
              <w:left w:val="single" w:color="auto" w:sz="6" w:space="0"/>
              <w:bottom w:val="single" w:color="auto" w:sz="6" w:space="0"/>
              <w:right w:val="single" w:color="auto" w:sz="6" w:space="0"/>
            </w:tcBorders>
            <w:vAlign w:val="center"/>
          </w:tcPr>
          <w:p w14:paraId="2F343AA2">
            <w:pPr>
              <w:adjustRightInd w:val="0"/>
              <w:spacing w:line="360" w:lineRule="auto"/>
              <w:ind w:left="2" w:hanging="2" w:hangingChars="1"/>
              <w:jc w:val="center"/>
              <w:rPr>
                <w:rFonts w:ascii="宋体" w:hAnsi="宋体" w:cs="宋体"/>
                <w:spacing w:val="6"/>
                <w:sz w:val="22"/>
                <w:szCs w:val="22"/>
              </w:rPr>
            </w:pPr>
            <w:r>
              <w:rPr>
                <w:rFonts w:hint="eastAsia" w:ascii="宋体" w:hAnsi="宋体" w:eastAsia="宋体" w:cs="宋体"/>
                <w:kern w:val="0"/>
                <w:sz w:val="22"/>
                <w:szCs w:val="22"/>
              </w:rPr>
              <w:t>监督单位及采购人</w:t>
            </w:r>
          </w:p>
        </w:tc>
        <w:tc>
          <w:tcPr>
            <w:tcW w:w="6565" w:type="dxa"/>
            <w:tcBorders>
              <w:top w:val="single" w:color="auto" w:sz="6" w:space="0"/>
              <w:left w:val="single" w:color="auto" w:sz="6" w:space="0"/>
              <w:bottom w:val="single" w:color="auto" w:sz="6" w:space="0"/>
              <w:right w:val="single" w:color="auto" w:sz="12" w:space="0"/>
            </w:tcBorders>
            <w:vAlign w:val="center"/>
          </w:tcPr>
          <w:p w14:paraId="5A26B155">
            <w:pPr>
              <w:spacing w:line="360" w:lineRule="auto"/>
              <w:rPr>
                <w:rFonts w:hint="eastAsia" w:ascii="宋体" w:hAnsi="宋体" w:cs="宋体"/>
                <w:spacing w:val="6"/>
                <w:sz w:val="22"/>
                <w:szCs w:val="22"/>
              </w:rPr>
            </w:pPr>
            <w:r>
              <w:rPr>
                <w:rFonts w:hint="eastAsia" w:ascii="宋体" w:hAnsi="宋体" w:cs="宋体"/>
                <w:spacing w:val="6"/>
                <w:sz w:val="22"/>
                <w:szCs w:val="22"/>
              </w:rPr>
              <w:t>1、监督单位：</w:t>
            </w:r>
            <w:r>
              <w:rPr>
                <w:rFonts w:hint="eastAsia" w:ascii="宋体" w:hAnsi="宋体" w:cs="宋体"/>
                <w:spacing w:val="6"/>
                <w:sz w:val="22"/>
                <w:szCs w:val="22"/>
                <w:lang w:val="en-US" w:eastAsia="zh-CN"/>
              </w:rPr>
              <w:t>义马市财政局政府采购监督管理科</w:t>
            </w:r>
          </w:p>
          <w:p w14:paraId="2FAA7A90">
            <w:pPr>
              <w:spacing w:line="360" w:lineRule="auto"/>
              <w:rPr>
                <w:rFonts w:hint="eastAsia" w:ascii="宋体" w:hAnsi="宋体" w:cs="宋体"/>
                <w:spacing w:val="6"/>
                <w:sz w:val="22"/>
                <w:szCs w:val="22"/>
              </w:rPr>
            </w:pPr>
            <w:r>
              <w:rPr>
                <w:rFonts w:hint="eastAsia" w:ascii="宋体" w:hAnsi="宋体" w:cs="宋体"/>
                <w:spacing w:val="6"/>
                <w:sz w:val="22"/>
                <w:szCs w:val="22"/>
                <w:lang w:val="en-US" w:eastAsia="zh-CN"/>
              </w:rPr>
              <w:t>电话：0398-5832143</w:t>
            </w:r>
          </w:p>
          <w:p w14:paraId="191A79DE">
            <w:pPr>
              <w:spacing w:line="360" w:lineRule="auto"/>
              <w:rPr>
                <w:rFonts w:ascii="宋体" w:hAnsi="宋体" w:cs="宋体"/>
                <w:spacing w:val="6"/>
                <w:sz w:val="22"/>
                <w:szCs w:val="22"/>
              </w:rPr>
            </w:pPr>
            <w:r>
              <w:rPr>
                <w:rFonts w:hint="eastAsia" w:ascii="宋体" w:hAnsi="宋体" w:cs="宋体"/>
                <w:spacing w:val="6"/>
                <w:sz w:val="22"/>
                <w:szCs w:val="22"/>
                <w:lang w:val="en-US" w:eastAsia="zh-CN"/>
              </w:rPr>
              <w:t>2、</w:t>
            </w:r>
            <w:r>
              <w:rPr>
                <w:rFonts w:hint="eastAsia" w:ascii="宋体" w:hAnsi="宋体" w:cs="宋体"/>
                <w:spacing w:val="6"/>
                <w:sz w:val="22"/>
                <w:szCs w:val="22"/>
              </w:rPr>
              <w:t>采购人：义马市消防救援大队</w:t>
            </w:r>
          </w:p>
          <w:p w14:paraId="52639C39">
            <w:pPr>
              <w:spacing w:line="360" w:lineRule="auto"/>
              <w:rPr>
                <w:rFonts w:ascii="宋体" w:hAnsi="宋体" w:cs="宋体"/>
                <w:spacing w:val="6"/>
                <w:sz w:val="22"/>
                <w:szCs w:val="22"/>
              </w:rPr>
            </w:pPr>
            <w:r>
              <w:rPr>
                <w:rFonts w:hint="eastAsia" w:ascii="宋体" w:hAnsi="宋体" w:cs="宋体"/>
                <w:spacing w:val="6"/>
                <w:sz w:val="22"/>
                <w:szCs w:val="22"/>
              </w:rPr>
              <w:t>地址：义马市人民路和民安街交叉口</w:t>
            </w:r>
          </w:p>
          <w:p w14:paraId="02116AEB">
            <w:pPr>
              <w:spacing w:line="360" w:lineRule="auto"/>
              <w:rPr>
                <w:rFonts w:hint="eastAsia" w:ascii="宋体" w:hAnsi="宋体" w:cs="宋体"/>
                <w:spacing w:val="6"/>
                <w:sz w:val="22"/>
                <w:szCs w:val="22"/>
                <w:lang w:val="en-US" w:eastAsia="zh-CN"/>
              </w:rPr>
            </w:pPr>
            <w:r>
              <w:rPr>
                <w:rFonts w:hint="eastAsia" w:ascii="宋体" w:hAnsi="宋体" w:cs="宋体"/>
                <w:spacing w:val="6"/>
                <w:sz w:val="22"/>
                <w:szCs w:val="22"/>
              </w:rPr>
              <w:t>联系人：</w:t>
            </w:r>
            <w:r>
              <w:rPr>
                <w:rFonts w:hint="eastAsia" w:ascii="宋体" w:hAnsi="宋体" w:cs="宋体"/>
                <w:spacing w:val="6"/>
                <w:sz w:val="22"/>
                <w:szCs w:val="22"/>
                <w:lang w:val="en-US" w:eastAsia="zh-CN"/>
              </w:rPr>
              <w:t>吴春生</w:t>
            </w:r>
          </w:p>
          <w:p w14:paraId="598E35F6">
            <w:pPr>
              <w:spacing w:line="360" w:lineRule="auto"/>
              <w:rPr>
                <w:rFonts w:ascii="宋体" w:hAnsi="宋体" w:cs="宋体"/>
                <w:spacing w:val="6"/>
                <w:sz w:val="22"/>
                <w:szCs w:val="22"/>
              </w:rPr>
            </w:pPr>
            <w:r>
              <w:rPr>
                <w:rFonts w:hint="eastAsia" w:ascii="宋体" w:hAnsi="宋体" w:cs="宋体"/>
                <w:spacing w:val="6"/>
                <w:sz w:val="22"/>
                <w:szCs w:val="22"/>
              </w:rPr>
              <w:t>联系方式：</w:t>
            </w:r>
            <w:r>
              <w:rPr>
                <w:rFonts w:hint="eastAsia" w:ascii="宋体" w:hAnsi="宋体" w:cs="宋体"/>
                <w:spacing w:val="6"/>
                <w:sz w:val="22"/>
                <w:szCs w:val="22"/>
                <w:lang w:val="en-US" w:eastAsia="zh-CN"/>
              </w:rPr>
              <w:t>15039866119</w:t>
            </w:r>
          </w:p>
        </w:tc>
      </w:tr>
      <w:tr w14:paraId="7E57CB94">
        <w:tblPrEx>
          <w:tblCellMar>
            <w:top w:w="0" w:type="dxa"/>
            <w:left w:w="108" w:type="dxa"/>
            <w:bottom w:w="0" w:type="dxa"/>
            <w:right w:w="108" w:type="dxa"/>
          </w:tblCellMar>
        </w:tblPrEx>
        <w:trPr>
          <w:cantSplit/>
          <w:trHeight w:val="563" w:hRule="atLeast"/>
        </w:trPr>
        <w:tc>
          <w:tcPr>
            <w:tcW w:w="828" w:type="dxa"/>
            <w:tcBorders>
              <w:top w:val="single" w:color="auto" w:sz="6" w:space="0"/>
              <w:left w:val="single" w:color="auto" w:sz="12" w:space="0"/>
              <w:bottom w:val="single" w:color="auto" w:sz="6" w:space="0"/>
              <w:right w:val="single" w:color="auto" w:sz="6" w:space="0"/>
            </w:tcBorders>
            <w:vAlign w:val="center"/>
          </w:tcPr>
          <w:p w14:paraId="4A5E95F7">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2</w:t>
            </w:r>
          </w:p>
        </w:tc>
        <w:tc>
          <w:tcPr>
            <w:tcW w:w="1611" w:type="dxa"/>
            <w:tcBorders>
              <w:top w:val="single" w:color="auto" w:sz="6" w:space="0"/>
              <w:left w:val="single" w:color="auto" w:sz="6" w:space="0"/>
              <w:bottom w:val="single" w:color="auto" w:sz="6" w:space="0"/>
              <w:right w:val="single" w:color="auto" w:sz="6" w:space="0"/>
            </w:tcBorders>
            <w:vAlign w:val="center"/>
          </w:tcPr>
          <w:p w14:paraId="14311291">
            <w:pPr>
              <w:adjustRightInd w:val="0"/>
              <w:spacing w:line="360" w:lineRule="auto"/>
              <w:ind w:left="3" w:hanging="2" w:hangingChars="1"/>
              <w:jc w:val="center"/>
              <w:rPr>
                <w:rFonts w:ascii="宋体" w:hAnsi="宋体" w:cs="宋体"/>
                <w:spacing w:val="6"/>
                <w:sz w:val="22"/>
                <w:szCs w:val="22"/>
              </w:rPr>
            </w:pPr>
            <w:r>
              <w:rPr>
                <w:rFonts w:hint="eastAsia" w:ascii="宋体" w:hAnsi="宋体" w:cs="宋体"/>
                <w:spacing w:val="6"/>
                <w:sz w:val="22"/>
                <w:szCs w:val="22"/>
              </w:rPr>
              <w:t>代理机构</w:t>
            </w:r>
          </w:p>
        </w:tc>
        <w:tc>
          <w:tcPr>
            <w:tcW w:w="6565" w:type="dxa"/>
            <w:tcBorders>
              <w:top w:val="single" w:color="auto" w:sz="6" w:space="0"/>
              <w:left w:val="single" w:color="auto" w:sz="6" w:space="0"/>
              <w:bottom w:val="single" w:color="auto" w:sz="6" w:space="0"/>
              <w:right w:val="single" w:color="auto" w:sz="12" w:space="0"/>
            </w:tcBorders>
            <w:vAlign w:val="center"/>
          </w:tcPr>
          <w:p w14:paraId="1A1CD200">
            <w:pPr>
              <w:keepNext w:val="0"/>
              <w:keepLines w:val="0"/>
              <w:pageBreakBefore w:val="0"/>
              <w:kinsoku/>
              <w:wordWrap w:val="0"/>
              <w:overflowPunct/>
              <w:topLinePunct w:val="0"/>
              <w:autoSpaceDE/>
              <w:autoSpaceDN/>
              <w:bidi w:val="0"/>
              <w:adjustRightInd/>
              <w:spacing w:line="360" w:lineRule="auto"/>
              <w:textAlignment w:val="auto"/>
              <w:rPr>
                <w:rFonts w:hint="default" w:ascii="宋体" w:hAnsi="宋体" w:cs="宋体" w:eastAsiaTheme="minorEastAsia"/>
                <w:sz w:val="22"/>
                <w:szCs w:val="22"/>
                <w:lang w:val="en-US" w:eastAsia="zh-CN"/>
              </w:rPr>
            </w:pPr>
            <w:r>
              <w:rPr>
                <w:rFonts w:hint="eastAsia" w:ascii="宋体" w:hAnsi="宋体" w:cs="宋体"/>
                <w:sz w:val="22"/>
                <w:szCs w:val="22"/>
              </w:rPr>
              <w:t>采购代理机构：</w:t>
            </w:r>
            <w:r>
              <w:rPr>
                <w:rFonts w:hint="eastAsia" w:ascii="宋体" w:hAnsi="宋体" w:cs="宋体"/>
                <w:sz w:val="22"/>
                <w:szCs w:val="22"/>
                <w:lang w:val="en-US" w:eastAsia="zh-CN"/>
              </w:rPr>
              <w:t>河南友拓工程管理有限公司</w:t>
            </w:r>
          </w:p>
          <w:p w14:paraId="0C4AA87C">
            <w:pPr>
              <w:keepNext w:val="0"/>
              <w:keepLines w:val="0"/>
              <w:pageBreakBefore w:val="0"/>
              <w:kinsoku/>
              <w:wordWrap w:val="0"/>
              <w:overflowPunct/>
              <w:topLinePunct w:val="0"/>
              <w:autoSpaceDE/>
              <w:autoSpaceDN/>
              <w:bidi w:val="0"/>
              <w:adjustRightInd/>
              <w:spacing w:line="360" w:lineRule="auto"/>
              <w:textAlignment w:val="auto"/>
              <w:rPr>
                <w:rFonts w:hint="eastAsia" w:ascii="宋体" w:hAnsi="宋体" w:cs="宋体"/>
                <w:color w:val="auto"/>
                <w:sz w:val="24"/>
                <w:szCs w:val="24"/>
                <w:highlight w:val="none"/>
              </w:rPr>
            </w:pPr>
            <w:r>
              <w:rPr>
                <w:rFonts w:hint="eastAsia" w:ascii="宋体" w:hAnsi="宋体" w:cs="宋体"/>
                <w:sz w:val="22"/>
                <w:szCs w:val="22"/>
              </w:rPr>
              <w:t>地址：</w:t>
            </w:r>
            <w:r>
              <w:rPr>
                <w:rFonts w:hint="eastAsia" w:ascii="宋体" w:hAnsi="宋体" w:cs="宋体"/>
                <w:color w:val="auto"/>
                <w:sz w:val="24"/>
                <w:szCs w:val="24"/>
                <w:highlight w:val="none"/>
              </w:rPr>
              <w:t>三门峡市湖滨区河堤北路伟业大厦905室</w:t>
            </w:r>
          </w:p>
          <w:p w14:paraId="5CC72921">
            <w:pPr>
              <w:keepNext w:val="0"/>
              <w:keepLines w:val="0"/>
              <w:pageBreakBefore w:val="0"/>
              <w:kinsoku/>
              <w:wordWrap w:val="0"/>
              <w:overflowPunct/>
              <w:topLinePunct w:val="0"/>
              <w:autoSpaceDE/>
              <w:autoSpaceDN/>
              <w:bidi w:val="0"/>
              <w:adjustRightInd/>
              <w:spacing w:line="360" w:lineRule="auto"/>
              <w:textAlignment w:val="auto"/>
              <w:rPr>
                <w:rFonts w:hint="default" w:ascii="宋体" w:hAnsi="宋体" w:cs="宋体" w:eastAsiaTheme="minorEastAsia"/>
                <w:sz w:val="22"/>
                <w:szCs w:val="22"/>
                <w:lang w:val="en-US" w:eastAsia="zh-CN"/>
              </w:rPr>
            </w:pPr>
            <w:r>
              <w:rPr>
                <w:rFonts w:hint="eastAsia" w:ascii="宋体" w:hAnsi="宋体" w:cs="宋体"/>
                <w:sz w:val="22"/>
                <w:szCs w:val="22"/>
              </w:rPr>
              <w:t>联系人：</w:t>
            </w:r>
            <w:r>
              <w:rPr>
                <w:rFonts w:hint="eastAsia" w:ascii="宋体" w:hAnsi="宋体" w:cs="宋体"/>
                <w:sz w:val="22"/>
                <w:szCs w:val="22"/>
                <w:lang w:val="en-US" w:eastAsia="zh-CN"/>
              </w:rPr>
              <w:t>郭哲</w:t>
            </w:r>
          </w:p>
          <w:p w14:paraId="2BF2AAEA">
            <w:pPr>
              <w:keepNext w:val="0"/>
              <w:keepLines w:val="0"/>
              <w:pageBreakBefore w:val="0"/>
              <w:kinsoku/>
              <w:wordWrap w:val="0"/>
              <w:overflowPunct/>
              <w:topLinePunct w:val="0"/>
              <w:autoSpaceDE/>
              <w:autoSpaceDN/>
              <w:bidi w:val="0"/>
              <w:adjustRightInd/>
              <w:spacing w:line="360" w:lineRule="auto"/>
              <w:textAlignment w:val="auto"/>
              <w:rPr>
                <w:rFonts w:hint="default" w:ascii="宋体" w:hAnsi="宋体" w:cs="宋体"/>
                <w:spacing w:val="6"/>
                <w:sz w:val="22"/>
                <w:szCs w:val="22"/>
                <w:lang w:val="en-US"/>
              </w:rPr>
            </w:pPr>
            <w:r>
              <w:rPr>
                <w:rFonts w:hint="eastAsia" w:ascii="宋体" w:hAnsi="宋体" w:cs="宋体"/>
                <w:sz w:val="22"/>
                <w:szCs w:val="22"/>
              </w:rPr>
              <w:t>联系方式：</w:t>
            </w:r>
            <w:r>
              <w:rPr>
                <w:rFonts w:hint="eastAsia" w:ascii="宋体" w:hAnsi="宋体" w:cs="宋体"/>
                <w:sz w:val="22"/>
                <w:szCs w:val="22"/>
                <w:lang w:val="en-US" w:eastAsia="zh-CN"/>
              </w:rPr>
              <w:t>18939052988</w:t>
            </w:r>
          </w:p>
        </w:tc>
      </w:tr>
      <w:tr w14:paraId="66DAA310">
        <w:tblPrEx>
          <w:tblCellMar>
            <w:top w:w="0" w:type="dxa"/>
            <w:left w:w="108" w:type="dxa"/>
            <w:bottom w:w="0" w:type="dxa"/>
            <w:right w:w="108" w:type="dxa"/>
          </w:tblCellMar>
        </w:tblPrEx>
        <w:trPr>
          <w:cantSplit/>
          <w:trHeight w:val="616" w:hRule="atLeast"/>
        </w:trPr>
        <w:tc>
          <w:tcPr>
            <w:tcW w:w="828" w:type="dxa"/>
            <w:tcBorders>
              <w:top w:val="single" w:color="auto" w:sz="6" w:space="0"/>
              <w:left w:val="single" w:color="auto" w:sz="12" w:space="0"/>
              <w:bottom w:val="single" w:color="auto" w:sz="6" w:space="0"/>
              <w:right w:val="single" w:color="auto" w:sz="6" w:space="0"/>
            </w:tcBorders>
            <w:vAlign w:val="center"/>
          </w:tcPr>
          <w:p w14:paraId="33BA1F73">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3</w:t>
            </w:r>
          </w:p>
        </w:tc>
        <w:tc>
          <w:tcPr>
            <w:tcW w:w="1611" w:type="dxa"/>
            <w:tcBorders>
              <w:top w:val="single" w:color="auto" w:sz="6" w:space="0"/>
              <w:left w:val="single" w:color="auto" w:sz="6" w:space="0"/>
              <w:bottom w:val="single" w:color="auto" w:sz="6" w:space="0"/>
              <w:right w:val="single" w:color="auto" w:sz="6" w:space="0"/>
            </w:tcBorders>
            <w:vAlign w:val="center"/>
          </w:tcPr>
          <w:p w14:paraId="46334023">
            <w:pPr>
              <w:adjustRightInd w:val="0"/>
              <w:spacing w:line="360" w:lineRule="auto"/>
              <w:jc w:val="center"/>
              <w:rPr>
                <w:rFonts w:ascii="宋体" w:hAnsi="宋体" w:cs="宋体"/>
                <w:spacing w:val="6"/>
                <w:sz w:val="22"/>
                <w:szCs w:val="22"/>
              </w:rPr>
            </w:pPr>
            <w:r>
              <w:rPr>
                <w:rFonts w:ascii="宋体" w:hAnsi="宋体" w:cs="宋体"/>
                <w:spacing w:val="6"/>
                <w:sz w:val="22"/>
                <w:szCs w:val="22"/>
              </w:rPr>
              <w:t>项目名称</w:t>
            </w:r>
          </w:p>
        </w:tc>
        <w:tc>
          <w:tcPr>
            <w:tcW w:w="6565" w:type="dxa"/>
            <w:tcBorders>
              <w:top w:val="single" w:color="auto" w:sz="6" w:space="0"/>
              <w:left w:val="single" w:color="auto" w:sz="6" w:space="0"/>
              <w:bottom w:val="single" w:color="auto" w:sz="4" w:space="0"/>
              <w:right w:val="single" w:color="auto" w:sz="12" w:space="0"/>
            </w:tcBorders>
            <w:vAlign w:val="center"/>
          </w:tcPr>
          <w:p w14:paraId="64D5F62C">
            <w:pPr>
              <w:spacing w:line="360" w:lineRule="auto"/>
              <w:rPr>
                <w:rFonts w:ascii="宋体" w:hAnsi="宋体" w:eastAsia="宋体" w:cs="宋体"/>
                <w:spacing w:val="6"/>
                <w:sz w:val="22"/>
                <w:szCs w:val="22"/>
              </w:rPr>
            </w:pPr>
            <w:r>
              <w:rPr>
                <w:rFonts w:hint="eastAsia" w:ascii="宋体" w:hAnsi="宋体" w:eastAsia="宋体" w:cs="宋体"/>
                <w:spacing w:val="6"/>
                <w:sz w:val="22"/>
                <w:szCs w:val="22"/>
              </w:rPr>
              <w:t>义马市消防救援大队义马大队食堂主副食品采购项目</w:t>
            </w:r>
          </w:p>
        </w:tc>
      </w:tr>
      <w:tr w14:paraId="59052C8C">
        <w:tblPrEx>
          <w:tblCellMar>
            <w:top w:w="0" w:type="dxa"/>
            <w:left w:w="108" w:type="dxa"/>
            <w:bottom w:w="0" w:type="dxa"/>
            <w:right w:w="108" w:type="dxa"/>
          </w:tblCellMar>
        </w:tblPrEx>
        <w:trPr>
          <w:cantSplit/>
          <w:trHeight w:val="237" w:hRule="atLeast"/>
        </w:trPr>
        <w:tc>
          <w:tcPr>
            <w:tcW w:w="828" w:type="dxa"/>
            <w:vMerge w:val="restart"/>
            <w:tcBorders>
              <w:top w:val="single" w:color="auto" w:sz="6" w:space="0"/>
              <w:left w:val="single" w:color="auto" w:sz="12" w:space="0"/>
              <w:right w:val="single" w:color="auto" w:sz="6" w:space="0"/>
            </w:tcBorders>
            <w:vAlign w:val="center"/>
          </w:tcPr>
          <w:p w14:paraId="545EC4CE">
            <w:pPr>
              <w:adjustRightInd w:val="0"/>
              <w:spacing w:line="360" w:lineRule="auto"/>
              <w:ind w:left="3" w:hanging="2" w:hangingChars="1"/>
              <w:jc w:val="center"/>
              <w:rPr>
                <w:rFonts w:ascii="宋体" w:hAnsi="宋体" w:cs="宋体"/>
                <w:spacing w:val="6"/>
                <w:sz w:val="22"/>
                <w:szCs w:val="22"/>
              </w:rPr>
            </w:pPr>
            <w:r>
              <w:rPr>
                <w:rFonts w:hint="eastAsia" w:ascii="宋体" w:hAnsi="宋体" w:cs="宋体"/>
                <w:spacing w:val="6"/>
                <w:sz w:val="22"/>
                <w:szCs w:val="22"/>
              </w:rPr>
              <w:t>4</w:t>
            </w:r>
          </w:p>
        </w:tc>
        <w:tc>
          <w:tcPr>
            <w:tcW w:w="1611" w:type="dxa"/>
            <w:tcBorders>
              <w:top w:val="single" w:color="auto" w:sz="6" w:space="0"/>
              <w:left w:val="single" w:color="auto" w:sz="6" w:space="0"/>
              <w:bottom w:val="single" w:color="auto" w:sz="6" w:space="0"/>
              <w:right w:val="single" w:color="auto" w:sz="4" w:space="0"/>
            </w:tcBorders>
            <w:vAlign w:val="center"/>
          </w:tcPr>
          <w:p w14:paraId="724A129A">
            <w:pPr>
              <w:adjustRightInd w:val="0"/>
              <w:spacing w:line="360" w:lineRule="auto"/>
              <w:ind w:left="2" w:hanging="2" w:hangingChars="1"/>
              <w:jc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采购</w:t>
            </w:r>
            <w:r>
              <w:rPr>
                <w:rFonts w:ascii="宋体" w:hAnsi="宋体" w:cs="宋体"/>
                <w:color w:val="auto"/>
                <w:sz w:val="22"/>
                <w:szCs w:val="22"/>
                <w:highlight w:val="none"/>
              </w:rPr>
              <w:t>编号</w:t>
            </w:r>
          </w:p>
        </w:tc>
        <w:tc>
          <w:tcPr>
            <w:tcW w:w="6565" w:type="dxa"/>
            <w:tcBorders>
              <w:top w:val="single" w:color="auto" w:sz="4" w:space="0"/>
              <w:left w:val="single" w:color="auto" w:sz="4" w:space="0"/>
              <w:bottom w:val="single" w:color="auto" w:sz="4" w:space="0"/>
              <w:right w:val="single" w:color="auto" w:sz="4" w:space="0"/>
            </w:tcBorders>
            <w:vAlign w:val="center"/>
          </w:tcPr>
          <w:p w14:paraId="7A5F7381">
            <w:pPr>
              <w:adjustRightInd w:val="0"/>
              <w:spacing w:line="360" w:lineRule="auto"/>
              <w:rPr>
                <w:rFonts w:hint="default" w:ascii="宋体" w:hAnsi="宋体" w:eastAsia="宋体" w:cs="宋体"/>
                <w:color w:val="auto"/>
                <w:spacing w:val="6"/>
                <w:sz w:val="22"/>
                <w:szCs w:val="22"/>
                <w:highlight w:val="none"/>
                <w:lang w:val="en-US"/>
              </w:rPr>
            </w:pPr>
            <w:r>
              <w:rPr>
                <w:rFonts w:hint="eastAsia" w:ascii="宋体" w:hAnsi="宋体" w:cs="宋体"/>
                <w:sz w:val="22"/>
                <w:szCs w:val="22"/>
                <w:highlight w:val="none"/>
              </w:rPr>
              <w:t>义马竞磋采购-2025-31</w:t>
            </w:r>
          </w:p>
        </w:tc>
      </w:tr>
      <w:tr w14:paraId="586F2589">
        <w:tblPrEx>
          <w:tblCellMar>
            <w:top w:w="0" w:type="dxa"/>
            <w:left w:w="108" w:type="dxa"/>
            <w:bottom w:w="0" w:type="dxa"/>
            <w:right w:w="108" w:type="dxa"/>
          </w:tblCellMar>
        </w:tblPrEx>
        <w:trPr>
          <w:cantSplit/>
          <w:trHeight w:val="237" w:hRule="atLeast"/>
        </w:trPr>
        <w:tc>
          <w:tcPr>
            <w:tcW w:w="828" w:type="dxa"/>
            <w:vMerge w:val="continue"/>
            <w:tcBorders>
              <w:left w:val="single" w:color="auto" w:sz="12" w:space="0"/>
              <w:bottom w:val="single" w:color="auto" w:sz="6" w:space="0"/>
              <w:right w:val="single" w:color="auto" w:sz="6" w:space="0"/>
            </w:tcBorders>
            <w:vAlign w:val="center"/>
          </w:tcPr>
          <w:p w14:paraId="55ABBB71">
            <w:pPr>
              <w:adjustRightInd w:val="0"/>
              <w:spacing w:line="360" w:lineRule="auto"/>
              <w:ind w:left="2" w:hanging="2" w:hangingChars="1"/>
              <w:jc w:val="center"/>
            </w:pPr>
          </w:p>
        </w:tc>
        <w:tc>
          <w:tcPr>
            <w:tcW w:w="1611" w:type="dxa"/>
            <w:tcBorders>
              <w:top w:val="single" w:color="auto" w:sz="6" w:space="0"/>
              <w:left w:val="single" w:color="auto" w:sz="6" w:space="0"/>
              <w:bottom w:val="single" w:color="auto" w:sz="6" w:space="0"/>
              <w:right w:val="single" w:color="auto" w:sz="4" w:space="0"/>
            </w:tcBorders>
            <w:vAlign w:val="center"/>
          </w:tcPr>
          <w:p w14:paraId="473E2A8E">
            <w:pPr>
              <w:adjustRightInd w:val="0"/>
              <w:spacing w:line="360" w:lineRule="auto"/>
              <w:ind w:left="2" w:hanging="2" w:hangingChars="1"/>
              <w:jc w:val="center"/>
              <w:rPr>
                <w:rFonts w:hint="eastAsia"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lang w:val="en-US" w:eastAsia="zh-CN"/>
              </w:rPr>
              <w:t>项目编号</w:t>
            </w:r>
          </w:p>
        </w:tc>
        <w:tc>
          <w:tcPr>
            <w:tcW w:w="6565" w:type="dxa"/>
            <w:tcBorders>
              <w:top w:val="single" w:color="auto" w:sz="4" w:space="0"/>
              <w:left w:val="single" w:color="auto" w:sz="4" w:space="0"/>
              <w:bottom w:val="single" w:color="auto" w:sz="4" w:space="0"/>
              <w:right w:val="single" w:color="auto" w:sz="4" w:space="0"/>
            </w:tcBorders>
            <w:vAlign w:val="center"/>
          </w:tcPr>
          <w:p w14:paraId="213FAA2A">
            <w:pPr>
              <w:adjustRightInd w:val="0"/>
              <w:spacing w:line="360" w:lineRule="auto"/>
              <w:ind w:left="2" w:hanging="2" w:hangingChars="1"/>
              <w:jc w:val="both"/>
              <w:rPr>
                <w:rFonts w:hint="eastAsia" w:ascii="宋体" w:hAnsi="宋体" w:cs="宋体" w:eastAsiaTheme="minorEastAsia"/>
                <w:color w:val="auto"/>
                <w:sz w:val="22"/>
                <w:szCs w:val="22"/>
                <w:highlight w:val="none"/>
                <w:lang w:val="en-US" w:eastAsia="zh-CN"/>
              </w:rPr>
            </w:pPr>
            <w:r>
              <w:rPr>
                <w:rFonts w:hint="eastAsia" w:ascii="宋体" w:hAnsi="宋体" w:cs="宋体" w:eastAsiaTheme="minorEastAsia"/>
                <w:color w:val="auto"/>
                <w:sz w:val="22"/>
                <w:szCs w:val="22"/>
                <w:highlight w:val="none"/>
                <w:lang w:val="en-US" w:eastAsia="zh-CN"/>
              </w:rPr>
              <w:t>YMGZ[2025]068-ZC045</w:t>
            </w:r>
          </w:p>
        </w:tc>
      </w:tr>
      <w:tr w14:paraId="4B1D9761">
        <w:tblPrEx>
          <w:tblCellMar>
            <w:top w:w="0" w:type="dxa"/>
            <w:left w:w="108" w:type="dxa"/>
            <w:bottom w:w="0" w:type="dxa"/>
            <w:right w:w="108" w:type="dxa"/>
          </w:tblCellMar>
        </w:tblPrEx>
        <w:trPr>
          <w:cantSplit/>
          <w:trHeight w:val="490" w:hRule="atLeast"/>
        </w:trPr>
        <w:tc>
          <w:tcPr>
            <w:tcW w:w="828" w:type="dxa"/>
            <w:tcBorders>
              <w:top w:val="single" w:color="auto" w:sz="6" w:space="0"/>
              <w:left w:val="single" w:color="auto" w:sz="12" w:space="0"/>
              <w:bottom w:val="single" w:color="auto" w:sz="6" w:space="0"/>
              <w:right w:val="single" w:color="auto" w:sz="6" w:space="0"/>
            </w:tcBorders>
            <w:vAlign w:val="center"/>
          </w:tcPr>
          <w:p w14:paraId="48E0C4D1">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5</w:t>
            </w:r>
          </w:p>
        </w:tc>
        <w:tc>
          <w:tcPr>
            <w:tcW w:w="1611" w:type="dxa"/>
            <w:tcBorders>
              <w:top w:val="single" w:color="auto" w:sz="6" w:space="0"/>
              <w:left w:val="single" w:color="auto" w:sz="6" w:space="0"/>
              <w:bottom w:val="single" w:color="auto" w:sz="6" w:space="0"/>
              <w:right w:val="single" w:color="auto" w:sz="6" w:space="0"/>
            </w:tcBorders>
            <w:vAlign w:val="center"/>
          </w:tcPr>
          <w:p w14:paraId="6810A830">
            <w:pPr>
              <w:adjustRightInd w:val="0"/>
              <w:spacing w:line="360" w:lineRule="auto"/>
              <w:jc w:val="center"/>
              <w:rPr>
                <w:rFonts w:ascii="宋体" w:hAnsi="宋体" w:cs="宋体"/>
                <w:sz w:val="22"/>
                <w:szCs w:val="22"/>
              </w:rPr>
            </w:pPr>
            <w:r>
              <w:rPr>
                <w:rFonts w:ascii="宋体" w:hAnsi="宋体" w:cs="宋体"/>
                <w:sz w:val="22"/>
                <w:szCs w:val="22"/>
              </w:rPr>
              <w:t>采购</w:t>
            </w:r>
            <w:r>
              <w:rPr>
                <w:rFonts w:hint="eastAsia" w:ascii="宋体" w:hAnsi="宋体" w:cs="宋体"/>
                <w:sz w:val="22"/>
                <w:szCs w:val="22"/>
              </w:rPr>
              <w:t>人</w:t>
            </w:r>
          </w:p>
        </w:tc>
        <w:tc>
          <w:tcPr>
            <w:tcW w:w="6565" w:type="dxa"/>
            <w:tcBorders>
              <w:top w:val="single" w:color="auto" w:sz="4" w:space="0"/>
              <w:left w:val="single" w:color="auto" w:sz="6" w:space="0"/>
              <w:bottom w:val="single" w:color="auto" w:sz="6" w:space="0"/>
              <w:right w:val="single" w:color="auto" w:sz="12" w:space="0"/>
            </w:tcBorders>
            <w:vAlign w:val="center"/>
          </w:tcPr>
          <w:p w14:paraId="1DB502A7">
            <w:pPr>
              <w:adjustRightInd w:val="0"/>
              <w:spacing w:line="360" w:lineRule="auto"/>
              <w:ind w:left="3" w:hanging="2" w:hangingChars="1"/>
              <w:rPr>
                <w:rFonts w:ascii="宋体" w:hAnsi="宋体" w:eastAsia="宋体" w:cs="宋体"/>
                <w:spacing w:val="6"/>
                <w:sz w:val="22"/>
                <w:szCs w:val="22"/>
              </w:rPr>
            </w:pPr>
            <w:r>
              <w:rPr>
                <w:rFonts w:hint="eastAsia" w:ascii="宋体" w:hAnsi="宋体" w:cs="宋体"/>
                <w:spacing w:val="6"/>
                <w:sz w:val="22"/>
                <w:szCs w:val="22"/>
              </w:rPr>
              <w:t>义马市消防救援大队</w:t>
            </w:r>
          </w:p>
        </w:tc>
      </w:tr>
      <w:tr w14:paraId="1EF51709">
        <w:tblPrEx>
          <w:tblCellMar>
            <w:top w:w="0" w:type="dxa"/>
            <w:left w:w="108" w:type="dxa"/>
            <w:bottom w:w="0" w:type="dxa"/>
            <w:right w:w="108" w:type="dxa"/>
          </w:tblCellMar>
        </w:tblPrEx>
        <w:trPr>
          <w:cantSplit/>
          <w:trHeight w:val="490" w:hRule="atLeast"/>
        </w:trPr>
        <w:tc>
          <w:tcPr>
            <w:tcW w:w="828" w:type="dxa"/>
            <w:tcBorders>
              <w:top w:val="single" w:color="auto" w:sz="6" w:space="0"/>
              <w:left w:val="single" w:color="auto" w:sz="12" w:space="0"/>
              <w:bottom w:val="single" w:color="auto" w:sz="6" w:space="0"/>
              <w:right w:val="single" w:color="auto" w:sz="6" w:space="0"/>
            </w:tcBorders>
            <w:vAlign w:val="center"/>
          </w:tcPr>
          <w:p w14:paraId="13F22272">
            <w:pPr>
              <w:adjustRightInd w:val="0"/>
              <w:spacing w:line="360" w:lineRule="auto"/>
              <w:jc w:val="center"/>
              <w:rPr>
                <w:rFonts w:ascii="宋体" w:hAnsi="宋体" w:eastAsia="宋体" w:cs="宋体"/>
                <w:spacing w:val="6"/>
                <w:sz w:val="22"/>
                <w:szCs w:val="22"/>
              </w:rPr>
            </w:pPr>
            <w:r>
              <w:rPr>
                <w:rFonts w:hint="eastAsia" w:ascii="宋体" w:hAnsi="宋体" w:cs="宋体"/>
                <w:spacing w:val="6"/>
                <w:sz w:val="22"/>
                <w:szCs w:val="22"/>
              </w:rPr>
              <w:t>6</w:t>
            </w:r>
          </w:p>
        </w:tc>
        <w:tc>
          <w:tcPr>
            <w:tcW w:w="1611" w:type="dxa"/>
            <w:tcBorders>
              <w:top w:val="single" w:color="auto" w:sz="6" w:space="0"/>
              <w:left w:val="single" w:color="auto" w:sz="6" w:space="0"/>
              <w:bottom w:val="single" w:color="auto" w:sz="6" w:space="0"/>
              <w:right w:val="single" w:color="auto" w:sz="6" w:space="0"/>
            </w:tcBorders>
            <w:vAlign w:val="center"/>
          </w:tcPr>
          <w:p w14:paraId="4C2B133E">
            <w:pPr>
              <w:adjustRightInd w:val="0"/>
              <w:spacing w:line="360" w:lineRule="auto"/>
              <w:jc w:val="center"/>
              <w:rPr>
                <w:rFonts w:ascii="宋体" w:hAnsi="宋体" w:cs="宋体"/>
                <w:sz w:val="22"/>
                <w:szCs w:val="22"/>
              </w:rPr>
            </w:pPr>
            <w:r>
              <w:rPr>
                <w:rFonts w:hint="eastAsia" w:ascii="宋体" w:hAnsi="宋体" w:eastAsia="宋体" w:cs="宋体"/>
                <w:spacing w:val="6"/>
                <w:sz w:val="22"/>
                <w:szCs w:val="22"/>
              </w:rPr>
              <w:t>采购预算</w:t>
            </w:r>
          </w:p>
        </w:tc>
        <w:tc>
          <w:tcPr>
            <w:tcW w:w="6565" w:type="dxa"/>
            <w:tcBorders>
              <w:top w:val="single" w:color="auto" w:sz="6" w:space="0"/>
              <w:left w:val="single" w:color="auto" w:sz="6" w:space="0"/>
              <w:bottom w:val="single" w:color="auto" w:sz="6" w:space="0"/>
              <w:right w:val="single" w:color="auto" w:sz="12" w:space="0"/>
            </w:tcBorders>
            <w:vAlign w:val="center"/>
          </w:tcPr>
          <w:p w14:paraId="408C52D9">
            <w:pPr>
              <w:adjustRightInd w:val="0"/>
              <w:spacing w:line="360" w:lineRule="auto"/>
              <w:ind w:left="3" w:hanging="2" w:hangingChars="1"/>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780000.00</w:t>
            </w:r>
            <w:r>
              <w:rPr>
                <w:rFonts w:hint="eastAsia" w:ascii="宋体" w:hAnsi="宋体" w:eastAsia="宋体" w:cs="宋体"/>
                <w:spacing w:val="6"/>
                <w:sz w:val="22"/>
                <w:szCs w:val="22"/>
                <w:lang w:val="en-US" w:eastAsia="zh-CN"/>
              </w:rPr>
              <w:t>元（本预算为暂定金额，以实际采购量为准，按照实际供货数量据实结算。）  </w:t>
            </w:r>
          </w:p>
        </w:tc>
      </w:tr>
      <w:tr w14:paraId="4E365D9D">
        <w:tblPrEx>
          <w:tblCellMar>
            <w:top w:w="0" w:type="dxa"/>
            <w:left w:w="108" w:type="dxa"/>
            <w:bottom w:w="0" w:type="dxa"/>
            <w:right w:w="108" w:type="dxa"/>
          </w:tblCellMar>
        </w:tblPrEx>
        <w:trPr>
          <w:cantSplit/>
          <w:trHeight w:val="490" w:hRule="atLeast"/>
        </w:trPr>
        <w:tc>
          <w:tcPr>
            <w:tcW w:w="828" w:type="dxa"/>
            <w:tcBorders>
              <w:top w:val="single" w:color="auto" w:sz="6" w:space="0"/>
              <w:left w:val="single" w:color="auto" w:sz="12" w:space="0"/>
              <w:bottom w:val="single" w:color="auto" w:sz="6" w:space="0"/>
              <w:right w:val="single" w:color="auto" w:sz="6" w:space="0"/>
            </w:tcBorders>
            <w:vAlign w:val="center"/>
          </w:tcPr>
          <w:p w14:paraId="23A78EA8">
            <w:pPr>
              <w:adjustRightInd w:val="0"/>
              <w:spacing w:line="360" w:lineRule="auto"/>
              <w:jc w:val="center"/>
              <w:rPr>
                <w:rFonts w:ascii="宋体" w:hAnsi="宋体" w:eastAsia="宋体" w:cs="宋体"/>
                <w:spacing w:val="6"/>
                <w:sz w:val="22"/>
                <w:szCs w:val="22"/>
              </w:rPr>
            </w:pPr>
            <w:r>
              <w:rPr>
                <w:rFonts w:hint="eastAsia" w:ascii="宋体" w:hAnsi="宋体" w:cs="宋体"/>
                <w:spacing w:val="6"/>
                <w:sz w:val="22"/>
                <w:szCs w:val="22"/>
              </w:rPr>
              <w:t>7</w:t>
            </w:r>
          </w:p>
        </w:tc>
        <w:tc>
          <w:tcPr>
            <w:tcW w:w="1611" w:type="dxa"/>
            <w:tcBorders>
              <w:top w:val="single" w:color="auto" w:sz="6" w:space="0"/>
              <w:left w:val="single" w:color="auto" w:sz="6" w:space="0"/>
              <w:bottom w:val="single" w:color="auto" w:sz="6" w:space="0"/>
              <w:right w:val="single" w:color="auto" w:sz="6" w:space="0"/>
            </w:tcBorders>
            <w:vAlign w:val="center"/>
          </w:tcPr>
          <w:p w14:paraId="36FC160B">
            <w:pPr>
              <w:adjustRightInd w:val="0"/>
              <w:spacing w:line="360" w:lineRule="auto"/>
              <w:jc w:val="center"/>
              <w:rPr>
                <w:rFonts w:ascii="宋体" w:hAnsi="宋体" w:cs="宋体"/>
                <w:sz w:val="22"/>
                <w:szCs w:val="22"/>
              </w:rPr>
            </w:pPr>
            <w:r>
              <w:rPr>
                <w:rFonts w:hint="eastAsia" w:ascii="宋体" w:hAnsi="宋体" w:cs="宋体"/>
                <w:sz w:val="22"/>
                <w:szCs w:val="22"/>
              </w:rPr>
              <w:t>标段划分</w:t>
            </w:r>
          </w:p>
        </w:tc>
        <w:tc>
          <w:tcPr>
            <w:tcW w:w="6565" w:type="dxa"/>
            <w:tcBorders>
              <w:top w:val="single" w:color="auto" w:sz="6" w:space="0"/>
              <w:left w:val="single" w:color="auto" w:sz="6" w:space="0"/>
              <w:bottom w:val="single" w:color="auto" w:sz="6" w:space="0"/>
              <w:right w:val="single" w:color="auto" w:sz="12" w:space="0"/>
            </w:tcBorders>
            <w:vAlign w:val="center"/>
          </w:tcPr>
          <w:p w14:paraId="5A9572F9">
            <w:pPr>
              <w:adjustRightInd w:val="0"/>
              <w:spacing w:line="360" w:lineRule="auto"/>
              <w:ind w:left="3" w:hanging="2" w:hangingChars="1"/>
              <w:rPr>
                <w:rFonts w:ascii="宋体" w:hAnsi="宋体" w:eastAsia="宋体" w:cs="宋体"/>
                <w:spacing w:val="6"/>
                <w:sz w:val="22"/>
                <w:szCs w:val="22"/>
              </w:rPr>
            </w:pPr>
            <w:r>
              <w:rPr>
                <w:rFonts w:hint="eastAsia" w:ascii="宋体" w:hAnsi="宋体" w:eastAsia="宋体" w:cs="宋体"/>
                <w:spacing w:val="6"/>
                <w:sz w:val="22"/>
                <w:szCs w:val="22"/>
              </w:rPr>
              <w:t>本项目不划分标段</w:t>
            </w:r>
          </w:p>
        </w:tc>
      </w:tr>
      <w:tr w14:paraId="0D54CDC4">
        <w:tblPrEx>
          <w:tblCellMar>
            <w:top w:w="0" w:type="dxa"/>
            <w:left w:w="108" w:type="dxa"/>
            <w:bottom w:w="0" w:type="dxa"/>
            <w:right w:w="108" w:type="dxa"/>
          </w:tblCellMar>
        </w:tblPrEx>
        <w:trPr>
          <w:cantSplit/>
          <w:trHeight w:val="515" w:hRule="atLeast"/>
        </w:trPr>
        <w:tc>
          <w:tcPr>
            <w:tcW w:w="828" w:type="dxa"/>
            <w:tcBorders>
              <w:top w:val="single" w:color="auto" w:sz="6" w:space="0"/>
              <w:left w:val="single" w:color="auto" w:sz="12" w:space="0"/>
              <w:bottom w:val="single" w:color="auto" w:sz="6" w:space="0"/>
              <w:right w:val="single" w:color="auto" w:sz="6" w:space="0"/>
            </w:tcBorders>
            <w:vAlign w:val="center"/>
          </w:tcPr>
          <w:p w14:paraId="378033F4">
            <w:pPr>
              <w:adjustRightInd w:val="0"/>
              <w:spacing w:line="360" w:lineRule="auto"/>
              <w:jc w:val="center"/>
              <w:rPr>
                <w:rFonts w:ascii="宋体" w:hAnsi="宋体" w:eastAsia="宋体" w:cs="宋体"/>
                <w:spacing w:val="6"/>
                <w:sz w:val="22"/>
                <w:szCs w:val="22"/>
              </w:rPr>
            </w:pPr>
            <w:r>
              <w:rPr>
                <w:rFonts w:hint="eastAsia" w:ascii="宋体" w:hAnsi="宋体" w:cs="宋体"/>
                <w:spacing w:val="6"/>
                <w:sz w:val="22"/>
                <w:szCs w:val="22"/>
              </w:rPr>
              <w:t>8</w:t>
            </w:r>
          </w:p>
        </w:tc>
        <w:tc>
          <w:tcPr>
            <w:tcW w:w="1611" w:type="dxa"/>
            <w:tcBorders>
              <w:top w:val="single" w:color="auto" w:sz="6" w:space="0"/>
              <w:left w:val="single" w:color="auto" w:sz="6" w:space="0"/>
              <w:bottom w:val="single" w:color="auto" w:sz="6" w:space="0"/>
              <w:right w:val="single" w:color="auto" w:sz="6" w:space="0"/>
            </w:tcBorders>
            <w:vAlign w:val="center"/>
          </w:tcPr>
          <w:p w14:paraId="2311CBB8">
            <w:pPr>
              <w:adjustRightInd w:val="0"/>
              <w:spacing w:line="360" w:lineRule="auto"/>
              <w:jc w:val="center"/>
              <w:rPr>
                <w:rFonts w:ascii="宋体" w:hAnsi="宋体" w:cs="宋体"/>
                <w:spacing w:val="6"/>
                <w:sz w:val="22"/>
                <w:szCs w:val="22"/>
              </w:rPr>
            </w:pPr>
            <w:r>
              <w:rPr>
                <w:rFonts w:hint="eastAsia" w:ascii="宋体" w:hAnsi="宋体" w:cs="宋体"/>
                <w:sz w:val="22"/>
                <w:szCs w:val="22"/>
                <w:lang w:val="en-US" w:eastAsia="zh-CN"/>
              </w:rPr>
              <w:t>服务</w:t>
            </w:r>
            <w:r>
              <w:rPr>
                <w:rFonts w:hint="eastAsia" w:ascii="宋体" w:hAnsi="宋体" w:cs="宋体"/>
                <w:sz w:val="22"/>
                <w:szCs w:val="22"/>
              </w:rPr>
              <w:t>内容</w:t>
            </w:r>
          </w:p>
        </w:tc>
        <w:tc>
          <w:tcPr>
            <w:tcW w:w="6565" w:type="dxa"/>
            <w:tcBorders>
              <w:top w:val="single" w:color="auto" w:sz="6" w:space="0"/>
              <w:left w:val="single" w:color="auto" w:sz="6" w:space="0"/>
              <w:bottom w:val="single" w:color="auto" w:sz="6" w:space="0"/>
              <w:right w:val="single" w:color="auto" w:sz="12" w:space="0"/>
            </w:tcBorders>
            <w:vAlign w:val="center"/>
          </w:tcPr>
          <w:p w14:paraId="06A52406">
            <w:pPr>
              <w:shd w:val="clear" w:color="auto" w:fill="FFFFFF"/>
              <w:spacing w:line="360" w:lineRule="auto"/>
              <w:rPr>
                <w:rFonts w:ascii="宋体" w:hAnsi="宋体" w:cs="宋体"/>
                <w:spacing w:val="6"/>
                <w:sz w:val="22"/>
                <w:szCs w:val="22"/>
              </w:rPr>
            </w:pPr>
            <w:r>
              <w:rPr>
                <w:rFonts w:hint="eastAsia" w:ascii="宋体" w:hAnsi="宋体" w:cs="宋体"/>
                <w:spacing w:val="6"/>
                <w:sz w:val="22"/>
                <w:szCs w:val="22"/>
              </w:rPr>
              <w:t>对采购人提供蔬果、禽蛋、禽畜肉、水产品、饮品、米面粮油、调料干杂等食材供应，供应商要严格遵守相关法律法规及行业标准，确保相关服务达到验收标准。（详见竞争性磋商文件）</w:t>
            </w:r>
          </w:p>
        </w:tc>
      </w:tr>
      <w:tr w14:paraId="38A34EDB">
        <w:tblPrEx>
          <w:tblCellMar>
            <w:top w:w="0" w:type="dxa"/>
            <w:left w:w="108" w:type="dxa"/>
            <w:bottom w:w="0" w:type="dxa"/>
            <w:right w:w="108" w:type="dxa"/>
          </w:tblCellMar>
        </w:tblPrEx>
        <w:trPr>
          <w:trHeight w:val="489" w:hRule="atLeast"/>
        </w:trPr>
        <w:tc>
          <w:tcPr>
            <w:tcW w:w="828" w:type="dxa"/>
            <w:tcBorders>
              <w:top w:val="single" w:color="auto" w:sz="6" w:space="0"/>
              <w:left w:val="single" w:color="auto" w:sz="12" w:space="0"/>
              <w:bottom w:val="single" w:color="auto" w:sz="6" w:space="0"/>
              <w:right w:val="single" w:color="auto" w:sz="6" w:space="0"/>
            </w:tcBorders>
            <w:vAlign w:val="center"/>
          </w:tcPr>
          <w:p w14:paraId="1504B2CE">
            <w:pPr>
              <w:adjustRightInd w:val="0"/>
              <w:spacing w:line="360" w:lineRule="auto"/>
              <w:ind w:left="3" w:hanging="2" w:hangingChars="1"/>
              <w:jc w:val="center"/>
              <w:rPr>
                <w:rFonts w:ascii="宋体" w:hAnsi="宋体" w:eastAsia="宋体" w:cs="宋体"/>
                <w:spacing w:val="6"/>
                <w:sz w:val="22"/>
                <w:szCs w:val="22"/>
              </w:rPr>
            </w:pPr>
            <w:r>
              <w:rPr>
                <w:rFonts w:hint="eastAsia" w:ascii="宋体" w:hAnsi="宋体" w:cs="宋体"/>
                <w:spacing w:val="6"/>
                <w:sz w:val="22"/>
                <w:szCs w:val="22"/>
              </w:rPr>
              <w:t>9</w:t>
            </w:r>
          </w:p>
        </w:tc>
        <w:tc>
          <w:tcPr>
            <w:tcW w:w="1611" w:type="dxa"/>
            <w:tcBorders>
              <w:top w:val="single" w:color="auto" w:sz="6" w:space="0"/>
              <w:left w:val="single" w:color="auto" w:sz="6" w:space="0"/>
              <w:bottom w:val="single" w:color="auto" w:sz="6" w:space="0"/>
              <w:right w:val="single" w:color="auto" w:sz="6" w:space="0"/>
            </w:tcBorders>
            <w:vAlign w:val="center"/>
          </w:tcPr>
          <w:p w14:paraId="39730B5D">
            <w:pPr>
              <w:adjustRightInd w:val="0"/>
              <w:spacing w:line="360" w:lineRule="auto"/>
              <w:jc w:val="center"/>
              <w:rPr>
                <w:rFonts w:ascii="宋体" w:hAnsi="宋体" w:cs="宋体"/>
                <w:spacing w:val="6"/>
                <w:sz w:val="22"/>
                <w:szCs w:val="22"/>
              </w:rPr>
            </w:pPr>
            <w:r>
              <w:rPr>
                <w:rFonts w:ascii="宋体" w:hAnsi="宋体" w:cs="宋体"/>
                <w:spacing w:val="6"/>
                <w:sz w:val="22"/>
                <w:szCs w:val="22"/>
              </w:rPr>
              <w:t>采购方式</w:t>
            </w:r>
          </w:p>
        </w:tc>
        <w:tc>
          <w:tcPr>
            <w:tcW w:w="6565" w:type="dxa"/>
            <w:tcBorders>
              <w:top w:val="single" w:color="auto" w:sz="6" w:space="0"/>
              <w:left w:val="single" w:color="auto" w:sz="6" w:space="0"/>
              <w:bottom w:val="single" w:color="auto" w:sz="6" w:space="0"/>
              <w:right w:val="single" w:color="auto" w:sz="12" w:space="0"/>
            </w:tcBorders>
            <w:vAlign w:val="center"/>
          </w:tcPr>
          <w:p w14:paraId="5D369615">
            <w:pPr>
              <w:adjustRightInd w:val="0"/>
              <w:spacing w:line="360" w:lineRule="auto"/>
              <w:rPr>
                <w:rFonts w:ascii="宋体" w:hAnsi="宋体" w:cs="宋体"/>
                <w:spacing w:val="6"/>
                <w:sz w:val="22"/>
                <w:szCs w:val="22"/>
              </w:rPr>
            </w:pPr>
            <w:r>
              <w:rPr>
                <w:rFonts w:ascii="宋体" w:hAnsi="宋体" w:cs="宋体"/>
                <w:spacing w:val="6"/>
                <w:sz w:val="22"/>
                <w:szCs w:val="22"/>
              </w:rPr>
              <w:t>竞争性磋商</w:t>
            </w:r>
          </w:p>
        </w:tc>
      </w:tr>
      <w:tr w14:paraId="1F6761A2">
        <w:tblPrEx>
          <w:tblCellMar>
            <w:top w:w="0" w:type="dxa"/>
            <w:left w:w="108" w:type="dxa"/>
            <w:bottom w:w="0" w:type="dxa"/>
            <w:right w:w="108" w:type="dxa"/>
          </w:tblCellMar>
        </w:tblPrEx>
        <w:trPr>
          <w:trHeight w:val="506" w:hRule="atLeast"/>
        </w:trPr>
        <w:tc>
          <w:tcPr>
            <w:tcW w:w="828" w:type="dxa"/>
            <w:tcBorders>
              <w:top w:val="single" w:color="auto" w:sz="6" w:space="0"/>
              <w:left w:val="single" w:color="auto" w:sz="12" w:space="0"/>
              <w:bottom w:val="single" w:color="auto" w:sz="6" w:space="0"/>
              <w:right w:val="single" w:color="auto" w:sz="6" w:space="0"/>
            </w:tcBorders>
            <w:vAlign w:val="center"/>
          </w:tcPr>
          <w:p w14:paraId="75FA80A2">
            <w:pPr>
              <w:adjustRightInd w:val="0"/>
              <w:spacing w:line="360" w:lineRule="auto"/>
              <w:jc w:val="center"/>
              <w:rPr>
                <w:rFonts w:ascii="宋体" w:hAnsi="宋体" w:eastAsia="宋体" w:cs="宋体"/>
                <w:spacing w:val="6"/>
                <w:sz w:val="22"/>
                <w:szCs w:val="22"/>
              </w:rPr>
            </w:pPr>
            <w:r>
              <w:rPr>
                <w:rFonts w:hint="eastAsia" w:ascii="宋体" w:hAnsi="宋体" w:cs="宋体"/>
                <w:spacing w:val="6"/>
                <w:sz w:val="22"/>
                <w:szCs w:val="22"/>
              </w:rPr>
              <w:t>10</w:t>
            </w:r>
          </w:p>
        </w:tc>
        <w:tc>
          <w:tcPr>
            <w:tcW w:w="1611" w:type="dxa"/>
            <w:tcBorders>
              <w:top w:val="single" w:color="auto" w:sz="6" w:space="0"/>
              <w:left w:val="single" w:color="auto" w:sz="6" w:space="0"/>
              <w:bottom w:val="single" w:color="auto" w:sz="6" w:space="0"/>
              <w:right w:val="single" w:color="auto" w:sz="6" w:space="0"/>
            </w:tcBorders>
            <w:vAlign w:val="center"/>
          </w:tcPr>
          <w:p w14:paraId="5899BB44">
            <w:pPr>
              <w:adjustRightInd w:val="0"/>
              <w:spacing w:line="360" w:lineRule="auto"/>
              <w:jc w:val="center"/>
              <w:rPr>
                <w:rFonts w:ascii="宋体" w:hAnsi="宋体" w:cs="宋体"/>
                <w:spacing w:val="6"/>
                <w:sz w:val="22"/>
                <w:szCs w:val="22"/>
              </w:rPr>
            </w:pPr>
            <w:r>
              <w:rPr>
                <w:rFonts w:ascii="宋体" w:hAnsi="宋体" w:cs="宋体"/>
                <w:spacing w:val="6"/>
                <w:sz w:val="22"/>
                <w:szCs w:val="22"/>
              </w:rPr>
              <w:t>质量要求</w:t>
            </w:r>
          </w:p>
        </w:tc>
        <w:tc>
          <w:tcPr>
            <w:tcW w:w="6565" w:type="dxa"/>
            <w:tcBorders>
              <w:top w:val="single" w:color="auto" w:sz="6" w:space="0"/>
              <w:left w:val="single" w:color="auto" w:sz="6" w:space="0"/>
              <w:bottom w:val="single" w:color="auto" w:sz="6" w:space="0"/>
              <w:right w:val="single" w:color="auto" w:sz="12" w:space="0"/>
            </w:tcBorders>
            <w:vAlign w:val="center"/>
          </w:tcPr>
          <w:p w14:paraId="25B8126B">
            <w:pPr>
              <w:adjustRightInd w:val="0"/>
              <w:spacing w:line="360" w:lineRule="auto"/>
              <w:rPr>
                <w:rFonts w:ascii="宋体" w:hAnsi="宋体" w:cs="宋体"/>
                <w:spacing w:val="6"/>
                <w:sz w:val="22"/>
                <w:szCs w:val="22"/>
              </w:rPr>
            </w:pPr>
            <w:r>
              <w:rPr>
                <w:rFonts w:hint="eastAsia" w:ascii="宋体" w:hAnsi="宋体" w:cs="宋体"/>
                <w:spacing w:val="6"/>
                <w:sz w:val="22"/>
                <w:szCs w:val="22"/>
              </w:rPr>
              <w:t>符合相关法律法规及行业标准</w:t>
            </w:r>
          </w:p>
        </w:tc>
      </w:tr>
      <w:tr w14:paraId="6573FDC8">
        <w:tblPrEx>
          <w:tblCellMar>
            <w:top w:w="0" w:type="dxa"/>
            <w:left w:w="108" w:type="dxa"/>
            <w:bottom w:w="0" w:type="dxa"/>
            <w:right w:w="108" w:type="dxa"/>
          </w:tblCellMar>
        </w:tblPrEx>
        <w:trPr>
          <w:trHeight w:val="506" w:hRule="atLeast"/>
        </w:trPr>
        <w:tc>
          <w:tcPr>
            <w:tcW w:w="828" w:type="dxa"/>
            <w:tcBorders>
              <w:top w:val="single" w:color="auto" w:sz="6" w:space="0"/>
              <w:left w:val="single" w:color="auto" w:sz="12" w:space="0"/>
              <w:bottom w:val="single" w:color="auto" w:sz="6" w:space="0"/>
              <w:right w:val="single" w:color="auto" w:sz="6" w:space="0"/>
            </w:tcBorders>
            <w:vAlign w:val="center"/>
          </w:tcPr>
          <w:p w14:paraId="2BF3FB74">
            <w:pPr>
              <w:adjustRightInd w:val="0"/>
              <w:spacing w:line="360" w:lineRule="auto"/>
              <w:jc w:val="center"/>
              <w:rPr>
                <w:rFonts w:ascii="宋体" w:hAnsi="宋体" w:eastAsia="宋体" w:cs="宋体"/>
                <w:spacing w:val="6"/>
                <w:sz w:val="22"/>
                <w:szCs w:val="22"/>
              </w:rPr>
            </w:pPr>
            <w:r>
              <w:rPr>
                <w:rFonts w:hint="eastAsia" w:ascii="宋体" w:hAnsi="宋体" w:cs="宋体"/>
                <w:spacing w:val="6"/>
                <w:sz w:val="22"/>
                <w:szCs w:val="22"/>
              </w:rPr>
              <w:t>11</w:t>
            </w:r>
          </w:p>
        </w:tc>
        <w:tc>
          <w:tcPr>
            <w:tcW w:w="1611" w:type="dxa"/>
            <w:tcBorders>
              <w:top w:val="single" w:color="auto" w:sz="6" w:space="0"/>
              <w:left w:val="single" w:color="auto" w:sz="6" w:space="0"/>
              <w:bottom w:val="single" w:color="auto" w:sz="6" w:space="0"/>
              <w:right w:val="single" w:color="auto" w:sz="6" w:space="0"/>
            </w:tcBorders>
            <w:vAlign w:val="center"/>
          </w:tcPr>
          <w:p w14:paraId="00287687">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服务地点</w:t>
            </w:r>
          </w:p>
        </w:tc>
        <w:tc>
          <w:tcPr>
            <w:tcW w:w="6565" w:type="dxa"/>
            <w:tcBorders>
              <w:top w:val="single" w:color="auto" w:sz="6" w:space="0"/>
              <w:left w:val="single" w:color="auto" w:sz="6" w:space="0"/>
              <w:bottom w:val="single" w:color="auto" w:sz="6" w:space="0"/>
              <w:right w:val="single" w:color="auto" w:sz="12" w:space="0"/>
            </w:tcBorders>
            <w:vAlign w:val="center"/>
          </w:tcPr>
          <w:p w14:paraId="1C85BA8D">
            <w:pPr>
              <w:adjustRightInd w:val="0"/>
              <w:spacing w:line="360" w:lineRule="auto"/>
              <w:rPr>
                <w:rFonts w:ascii="宋体" w:hAnsi="宋体" w:cs="宋体"/>
                <w:spacing w:val="6"/>
                <w:sz w:val="22"/>
                <w:szCs w:val="22"/>
              </w:rPr>
            </w:pPr>
            <w:r>
              <w:rPr>
                <w:rFonts w:hint="eastAsia" w:ascii="宋体" w:hAnsi="宋体" w:eastAsia="宋体" w:cs="宋体"/>
                <w:sz w:val="22"/>
                <w:szCs w:val="22"/>
              </w:rPr>
              <w:t>采购人指定地点</w:t>
            </w:r>
          </w:p>
        </w:tc>
      </w:tr>
      <w:tr w14:paraId="6FB20D1A">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12" w:space="0"/>
              <w:bottom w:val="single" w:color="auto" w:sz="6" w:space="0"/>
              <w:right w:val="single" w:color="auto" w:sz="6" w:space="0"/>
            </w:tcBorders>
            <w:vAlign w:val="center"/>
          </w:tcPr>
          <w:p w14:paraId="587CE408">
            <w:pPr>
              <w:adjustRightInd w:val="0"/>
              <w:spacing w:line="360" w:lineRule="auto"/>
              <w:jc w:val="center"/>
              <w:rPr>
                <w:rFonts w:ascii="宋体" w:hAnsi="宋体" w:eastAsia="宋体" w:cs="宋体"/>
                <w:spacing w:val="6"/>
                <w:sz w:val="22"/>
                <w:szCs w:val="22"/>
              </w:rPr>
            </w:pPr>
            <w:r>
              <w:rPr>
                <w:rFonts w:ascii="宋体" w:hAnsi="宋体" w:cs="宋体"/>
                <w:spacing w:val="6"/>
                <w:sz w:val="22"/>
                <w:szCs w:val="22"/>
              </w:rPr>
              <w:t>1</w:t>
            </w:r>
            <w:r>
              <w:rPr>
                <w:rFonts w:hint="eastAsia" w:ascii="宋体" w:hAnsi="宋体" w:cs="宋体"/>
                <w:spacing w:val="6"/>
                <w:sz w:val="22"/>
                <w:szCs w:val="22"/>
              </w:rPr>
              <w:t>2</w:t>
            </w:r>
          </w:p>
        </w:tc>
        <w:tc>
          <w:tcPr>
            <w:tcW w:w="1611" w:type="dxa"/>
            <w:tcBorders>
              <w:top w:val="single" w:color="auto" w:sz="6" w:space="0"/>
              <w:left w:val="single" w:color="auto" w:sz="6" w:space="0"/>
              <w:bottom w:val="single" w:color="auto" w:sz="6" w:space="0"/>
              <w:right w:val="single" w:color="auto" w:sz="6" w:space="0"/>
            </w:tcBorders>
            <w:vAlign w:val="center"/>
          </w:tcPr>
          <w:p w14:paraId="03DA5A14">
            <w:pPr>
              <w:adjustRightInd w:val="0"/>
              <w:spacing w:line="360" w:lineRule="auto"/>
              <w:ind w:left="2" w:hanging="2" w:hangingChars="1"/>
              <w:jc w:val="center"/>
              <w:rPr>
                <w:rFonts w:ascii="宋体" w:hAnsi="宋体" w:cs="宋体"/>
                <w:sz w:val="22"/>
                <w:szCs w:val="22"/>
              </w:rPr>
            </w:pPr>
            <w:r>
              <w:rPr>
                <w:rFonts w:hint="eastAsia" w:ascii="宋体" w:hAnsi="宋体" w:cs="宋体"/>
                <w:sz w:val="22"/>
                <w:szCs w:val="22"/>
              </w:rPr>
              <w:t>服务周期</w:t>
            </w:r>
          </w:p>
        </w:tc>
        <w:tc>
          <w:tcPr>
            <w:tcW w:w="6565" w:type="dxa"/>
            <w:tcBorders>
              <w:top w:val="single" w:color="auto" w:sz="6" w:space="0"/>
              <w:left w:val="single" w:color="auto" w:sz="6" w:space="0"/>
              <w:bottom w:val="single" w:color="auto" w:sz="6" w:space="0"/>
              <w:right w:val="single" w:color="auto" w:sz="12" w:space="0"/>
            </w:tcBorders>
            <w:vAlign w:val="center"/>
          </w:tcPr>
          <w:p w14:paraId="0EC6B424">
            <w:pPr>
              <w:adjustRightInd w:val="0"/>
              <w:spacing w:line="360" w:lineRule="auto"/>
              <w:ind w:left="3" w:hanging="2" w:hangingChars="1"/>
              <w:rPr>
                <w:rFonts w:ascii="宋体" w:hAnsi="宋体" w:eastAsia="宋体" w:cs="宋体"/>
                <w:spacing w:val="6"/>
                <w:sz w:val="22"/>
                <w:szCs w:val="22"/>
              </w:rPr>
            </w:pPr>
            <w:r>
              <w:rPr>
                <w:rFonts w:hint="eastAsia" w:ascii="宋体" w:hAnsi="宋体" w:eastAsia="宋体" w:cs="宋体"/>
                <w:spacing w:val="6"/>
                <w:sz w:val="22"/>
                <w:szCs w:val="22"/>
              </w:rPr>
              <w:t>一年</w:t>
            </w:r>
          </w:p>
        </w:tc>
      </w:tr>
      <w:tr w14:paraId="1A56EEEC">
        <w:tblPrEx>
          <w:tblCellMar>
            <w:top w:w="0" w:type="dxa"/>
            <w:left w:w="108" w:type="dxa"/>
            <w:bottom w:w="0" w:type="dxa"/>
            <w:right w:w="108" w:type="dxa"/>
          </w:tblCellMar>
        </w:tblPrEx>
        <w:trPr>
          <w:trHeight w:val="486" w:hRule="atLeast"/>
        </w:trPr>
        <w:tc>
          <w:tcPr>
            <w:tcW w:w="828" w:type="dxa"/>
            <w:tcBorders>
              <w:top w:val="single" w:color="auto" w:sz="6" w:space="0"/>
              <w:left w:val="single" w:color="auto" w:sz="12" w:space="0"/>
              <w:bottom w:val="single" w:color="auto" w:sz="6" w:space="0"/>
              <w:right w:val="single" w:color="auto" w:sz="6" w:space="0"/>
            </w:tcBorders>
            <w:vAlign w:val="center"/>
          </w:tcPr>
          <w:p w14:paraId="3413B16E">
            <w:pPr>
              <w:adjustRightInd w:val="0"/>
              <w:spacing w:line="360" w:lineRule="auto"/>
              <w:jc w:val="center"/>
              <w:rPr>
                <w:rFonts w:ascii="宋体" w:hAnsi="宋体" w:eastAsia="宋体" w:cs="宋体"/>
                <w:spacing w:val="6"/>
                <w:sz w:val="22"/>
                <w:szCs w:val="22"/>
              </w:rPr>
            </w:pPr>
            <w:r>
              <w:rPr>
                <w:rFonts w:ascii="宋体" w:hAnsi="宋体" w:cs="宋体"/>
                <w:spacing w:val="6"/>
                <w:sz w:val="22"/>
                <w:szCs w:val="22"/>
              </w:rPr>
              <w:t>1</w:t>
            </w:r>
            <w:r>
              <w:rPr>
                <w:rFonts w:hint="eastAsia" w:ascii="宋体" w:hAnsi="宋体" w:cs="宋体"/>
                <w:spacing w:val="6"/>
                <w:sz w:val="22"/>
                <w:szCs w:val="22"/>
              </w:rPr>
              <w:t>3</w:t>
            </w:r>
          </w:p>
        </w:tc>
        <w:tc>
          <w:tcPr>
            <w:tcW w:w="1611" w:type="dxa"/>
            <w:tcBorders>
              <w:top w:val="single" w:color="auto" w:sz="6" w:space="0"/>
              <w:left w:val="single" w:color="auto" w:sz="6" w:space="0"/>
              <w:bottom w:val="single" w:color="auto" w:sz="6" w:space="0"/>
              <w:right w:val="single" w:color="auto" w:sz="6" w:space="0"/>
            </w:tcBorders>
            <w:vAlign w:val="center"/>
          </w:tcPr>
          <w:p w14:paraId="0ECFCF53">
            <w:pPr>
              <w:adjustRightInd w:val="0"/>
              <w:spacing w:line="360" w:lineRule="auto"/>
              <w:jc w:val="center"/>
              <w:rPr>
                <w:rFonts w:ascii="宋体" w:hAnsi="宋体" w:cs="宋体"/>
                <w:sz w:val="22"/>
                <w:szCs w:val="22"/>
              </w:rPr>
            </w:pPr>
            <w:r>
              <w:rPr>
                <w:rFonts w:ascii="宋体" w:hAnsi="宋体" w:cs="宋体"/>
                <w:sz w:val="22"/>
                <w:szCs w:val="22"/>
              </w:rPr>
              <w:t>资金来源</w:t>
            </w:r>
          </w:p>
        </w:tc>
        <w:tc>
          <w:tcPr>
            <w:tcW w:w="6565" w:type="dxa"/>
            <w:tcBorders>
              <w:top w:val="single" w:color="auto" w:sz="6" w:space="0"/>
              <w:left w:val="single" w:color="auto" w:sz="6" w:space="0"/>
              <w:bottom w:val="single" w:color="auto" w:sz="6" w:space="0"/>
              <w:right w:val="single" w:color="auto" w:sz="12" w:space="0"/>
            </w:tcBorders>
            <w:vAlign w:val="center"/>
          </w:tcPr>
          <w:p w14:paraId="6EB31F93">
            <w:pPr>
              <w:adjustRightInd w:val="0"/>
              <w:spacing w:line="360" w:lineRule="auto"/>
              <w:rPr>
                <w:rFonts w:ascii="宋体" w:hAnsi="宋体" w:cs="宋体"/>
                <w:spacing w:val="6"/>
                <w:sz w:val="22"/>
                <w:szCs w:val="22"/>
              </w:rPr>
            </w:pPr>
            <w:r>
              <w:rPr>
                <w:rFonts w:hint="eastAsia" w:ascii="宋体" w:hAnsi="宋体" w:cs="宋体"/>
                <w:spacing w:val="6"/>
                <w:sz w:val="22"/>
                <w:szCs w:val="22"/>
              </w:rPr>
              <w:t>财政资金，已落实</w:t>
            </w:r>
          </w:p>
        </w:tc>
      </w:tr>
      <w:tr w14:paraId="77FEE57F">
        <w:tblPrEx>
          <w:tblCellMar>
            <w:top w:w="0" w:type="dxa"/>
            <w:left w:w="108" w:type="dxa"/>
            <w:bottom w:w="0" w:type="dxa"/>
            <w:right w:w="108" w:type="dxa"/>
          </w:tblCellMar>
        </w:tblPrEx>
        <w:trPr>
          <w:trHeight w:val="536" w:hRule="atLeast"/>
        </w:trPr>
        <w:tc>
          <w:tcPr>
            <w:tcW w:w="828" w:type="dxa"/>
            <w:tcBorders>
              <w:top w:val="single" w:color="auto" w:sz="6" w:space="0"/>
              <w:left w:val="single" w:color="auto" w:sz="12" w:space="0"/>
              <w:bottom w:val="single" w:color="auto" w:sz="6" w:space="0"/>
              <w:right w:val="single" w:color="auto" w:sz="6" w:space="0"/>
            </w:tcBorders>
            <w:vAlign w:val="center"/>
          </w:tcPr>
          <w:p w14:paraId="43EC1E2A">
            <w:pPr>
              <w:adjustRightInd w:val="0"/>
              <w:spacing w:line="360" w:lineRule="auto"/>
              <w:jc w:val="center"/>
              <w:rPr>
                <w:rFonts w:ascii="宋体" w:hAnsi="宋体" w:eastAsia="宋体" w:cs="宋体"/>
                <w:spacing w:val="6"/>
                <w:sz w:val="22"/>
                <w:szCs w:val="22"/>
              </w:rPr>
            </w:pPr>
            <w:r>
              <w:rPr>
                <w:rFonts w:ascii="宋体" w:hAnsi="宋体" w:cs="宋体"/>
                <w:spacing w:val="6"/>
                <w:sz w:val="22"/>
                <w:szCs w:val="22"/>
              </w:rPr>
              <w:t>1</w:t>
            </w:r>
            <w:r>
              <w:rPr>
                <w:rFonts w:hint="eastAsia" w:ascii="宋体" w:hAnsi="宋体" w:cs="宋体"/>
                <w:spacing w:val="6"/>
                <w:sz w:val="22"/>
                <w:szCs w:val="22"/>
              </w:rPr>
              <w:t>4</w:t>
            </w:r>
          </w:p>
        </w:tc>
        <w:tc>
          <w:tcPr>
            <w:tcW w:w="1611" w:type="dxa"/>
            <w:tcBorders>
              <w:top w:val="single" w:color="auto" w:sz="6" w:space="0"/>
              <w:left w:val="single" w:color="auto" w:sz="6" w:space="0"/>
              <w:bottom w:val="single" w:color="auto" w:sz="6" w:space="0"/>
              <w:right w:val="single" w:color="auto" w:sz="6" w:space="0"/>
            </w:tcBorders>
            <w:vAlign w:val="center"/>
          </w:tcPr>
          <w:p w14:paraId="0A0927F8">
            <w:pPr>
              <w:adjustRightInd w:val="0"/>
              <w:spacing w:line="360" w:lineRule="auto"/>
              <w:jc w:val="center"/>
              <w:rPr>
                <w:rFonts w:ascii="宋体" w:hAnsi="宋体" w:cs="宋体"/>
                <w:spacing w:val="-40"/>
                <w:sz w:val="22"/>
                <w:szCs w:val="22"/>
                <w:highlight w:val="yellow"/>
              </w:rPr>
            </w:pPr>
            <w:r>
              <w:rPr>
                <w:rFonts w:ascii="宋体" w:hAnsi="宋体" w:cs="宋体"/>
                <w:sz w:val="22"/>
                <w:szCs w:val="22"/>
              </w:rPr>
              <w:t>供应商资</w:t>
            </w:r>
            <w:r>
              <w:rPr>
                <w:rFonts w:hint="eastAsia" w:ascii="宋体" w:hAnsi="宋体" w:cs="宋体"/>
                <w:sz w:val="22"/>
                <w:szCs w:val="22"/>
              </w:rPr>
              <w:t>格</w:t>
            </w:r>
            <w:r>
              <w:rPr>
                <w:rFonts w:ascii="宋体" w:hAnsi="宋体" w:cs="宋体"/>
                <w:sz w:val="22"/>
                <w:szCs w:val="22"/>
              </w:rPr>
              <w:t>要求</w:t>
            </w:r>
          </w:p>
        </w:tc>
        <w:tc>
          <w:tcPr>
            <w:tcW w:w="6565" w:type="dxa"/>
            <w:tcBorders>
              <w:top w:val="single" w:color="auto" w:sz="6" w:space="0"/>
              <w:left w:val="single" w:color="auto" w:sz="6" w:space="0"/>
              <w:bottom w:val="single" w:color="auto" w:sz="6" w:space="0"/>
              <w:right w:val="single" w:color="auto" w:sz="12" w:space="0"/>
            </w:tcBorders>
            <w:vAlign w:val="center"/>
          </w:tcPr>
          <w:p w14:paraId="2BA64030">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1、满足《中华人民共和国政府采购法》第二十二条规定；</w:t>
            </w:r>
          </w:p>
          <w:p w14:paraId="0B6ED98B">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2、落实政府采购政策满足的资格要求：根据《政府采购促进中小企业发展管理办法》（财库〔2020〕46号）规定，本项目专门面向中小企业采购；同时供应商须提供《中小企业声明函》；</w:t>
            </w:r>
          </w:p>
          <w:p w14:paraId="50285A6C">
            <w:pPr>
              <w:shd w:val="clear" w:color="auto" w:fill="FFFFFF"/>
              <w:wordWrap w:val="0"/>
              <w:spacing w:line="360" w:lineRule="auto"/>
              <w:ind w:firstLine="440" w:firstLineChars="200"/>
              <w:jc w:val="left"/>
              <w:rPr>
                <w:rFonts w:ascii="宋体" w:hAnsi="宋体" w:cs="宋体"/>
                <w:sz w:val="22"/>
                <w:szCs w:val="22"/>
              </w:rPr>
            </w:pPr>
            <w:r>
              <w:rPr>
                <w:rFonts w:hint="eastAsia" w:ascii="宋体" w:hAnsi="宋体" w:cs="宋体"/>
                <w:sz w:val="22"/>
                <w:szCs w:val="22"/>
              </w:rPr>
              <w:t>3、本项目的特定资格要求</w:t>
            </w:r>
          </w:p>
          <w:p w14:paraId="63D58E2F">
            <w:pPr>
              <w:widowControl/>
              <w:spacing w:line="360" w:lineRule="auto"/>
              <w:ind w:firstLine="420"/>
              <w:jc w:val="left"/>
              <w:rPr>
                <w:rFonts w:hint="eastAsia" w:ascii="宋体" w:hAnsi="宋体" w:cs="宋体" w:eastAsiaTheme="minorEastAsia"/>
                <w:sz w:val="22"/>
                <w:szCs w:val="22"/>
                <w:lang w:eastAsia="zh-CN"/>
              </w:rPr>
            </w:pPr>
            <w:r>
              <w:rPr>
                <w:rFonts w:hint="eastAsia" w:ascii="宋体" w:hAnsi="宋体" w:cs="宋体"/>
                <w:sz w:val="22"/>
                <w:szCs w:val="22"/>
              </w:rPr>
              <w:t>（1）供应商具有独立法人资格，并具有有效的营业执照</w:t>
            </w:r>
            <w:r>
              <w:rPr>
                <w:rFonts w:hint="eastAsia" w:ascii="宋体" w:hAnsi="宋体" w:cs="宋体"/>
                <w:sz w:val="22"/>
                <w:szCs w:val="22"/>
                <w:lang w:eastAsia="zh-CN"/>
              </w:rPr>
              <w:t>；</w:t>
            </w:r>
          </w:p>
          <w:p w14:paraId="6BF13F7A">
            <w:pPr>
              <w:widowControl/>
              <w:spacing w:line="360" w:lineRule="auto"/>
              <w:ind w:firstLine="420"/>
              <w:jc w:val="left"/>
              <w:rPr>
                <w:rFonts w:ascii="宋体" w:hAnsi="宋体" w:cs="宋体"/>
                <w:sz w:val="22"/>
                <w:szCs w:val="22"/>
              </w:rPr>
            </w:pPr>
            <w:r>
              <w:rPr>
                <w:rFonts w:hint="eastAsia" w:ascii="宋体" w:hAnsi="宋体" w:cs="宋体"/>
                <w:sz w:val="22"/>
                <w:szCs w:val="22"/>
              </w:rPr>
              <w:t>（2）供应商具有良好的商业信誉和健全的财务会计制度（提供承诺书，格式自拟）；</w:t>
            </w:r>
          </w:p>
          <w:p w14:paraId="03AE1683">
            <w:pPr>
              <w:widowControl/>
              <w:spacing w:line="360" w:lineRule="auto"/>
              <w:ind w:firstLine="420"/>
              <w:jc w:val="left"/>
              <w:rPr>
                <w:rFonts w:ascii="宋体" w:hAnsi="宋体" w:cs="宋体"/>
                <w:sz w:val="22"/>
                <w:szCs w:val="22"/>
              </w:rPr>
            </w:pPr>
            <w:r>
              <w:rPr>
                <w:rFonts w:hint="eastAsia" w:ascii="宋体" w:hAnsi="宋体" w:cs="宋体"/>
                <w:sz w:val="22"/>
                <w:szCs w:val="22"/>
              </w:rPr>
              <w:t>（3）供应商具有履行合同所必需的设备和专业技术能力（提供承诺书，格式自拟）；</w:t>
            </w:r>
          </w:p>
          <w:p w14:paraId="37FBC391">
            <w:pPr>
              <w:widowControl/>
              <w:spacing w:line="360" w:lineRule="auto"/>
              <w:ind w:firstLine="420"/>
              <w:jc w:val="left"/>
              <w:rPr>
                <w:rFonts w:ascii="宋体" w:hAnsi="宋体" w:cs="宋体"/>
                <w:sz w:val="22"/>
                <w:szCs w:val="22"/>
              </w:rPr>
            </w:pPr>
            <w:r>
              <w:rPr>
                <w:rFonts w:hint="eastAsia" w:ascii="宋体" w:hAnsi="宋体" w:cs="宋体"/>
                <w:sz w:val="22"/>
                <w:szCs w:val="22"/>
              </w:rPr>
              <w:t>（4）供应商有依法缴纳税收和社会保障资金的良好记录（提供承诺书，格式自拟）；</w:t>
            </w:r>
          </w:p>
          <w:p w14:paraId="01A816F4">
            <w:pPr>
              <w:widowControl/>
              <w:spacing w:line="360" w:lineRule="auto"/>
              <w:ind w:firstLine="420"/>
              <w:jc w:val="left"/>
              <w:rPr>
                <w:rFonts w:ascii="宋体" w:hAnsi="宋体" w:cs="宋体"/>
                <w:sz w:val="22"/>
                <w:szCs w:val="22"/>
              </w:rPr>
            </w:pPr>
            <w:r>
              <w:rPr>
                <w:rFonts w:hint="eastAsia" w:ascii="宋体" w:hAnsi="宋体" w:cs="宋体"/>
                <w:sz w:val="22"/>
                <w:szCs w:val="22"/>
              </w:rPr>
              <w:t>（5）供应商参加政府采购活动前三年内，在经营活动中没有重大违法记录（提供承诺书，格式自拟）；</w:t>
            </w:r>
          </w:p>
          <w:p w14:paraId="3A5F950A">
            <w:pPr>
              <w:widowControl/>
              <w:spacing w:line="360" w:lineRule="auto"/>
              <w:ind w:firstLine="420"/>
              <w:jc w:val="left"/>
              <w:rPr>
                <w:rFonts w:ascii="宋体" w:hAnsi="宋体" w:cs="宋体"/>
                <w:sz w:val="22"/>
                <w:szCs w:val="22"/>
              </w:rPr>
            </w:pPr>
            <w:r>
              <w:rPr>
                <w:rFonts w:hint="eastAsia" w:ascii="宋体" w:hAnsi="宋体" w:cs="宋体"/>
                <w:sz w:val="22"/>
                <w:szCs w:val="22"/>
              </w:rPr>
              <w:t>（6）供应商为生产企业的须具有食品生产许可证；</w:t>
            </w:r>
            <w:r>
              <w:rPr>
                <w:rFonts w:hint="eastAsia" w:ascii="宋体" w:hAnsi="宋体" w:cs="宋体"/>
                <w:sz w:val="22"/>
                <w:szCs w:val="22"/>
                <w:lang w:val="en-US" w:eastAsia="zh-CN"/>
              </w:rPr>
              <w:t>供应商</w:t>
            </w:r>
            <w:r>
              <w:rPr>
                <w:rFonts w:hint="eastAsia" w:ascii="宋体" w:hAnsi="宋体" w:cs="宋体"/>
                <w:sz w:val="22"/>
                <w:szCs w:val="22"/>
              </w:rPr>
              <w:t>为经销商的须具有国家相关部门批准的食品经营许可证；</w:t>
            </w:r>
          </w:p>
          <w:p w14:paraId="140A66C2">
            <w:pPr>
              <w:widowControl/>
              <w:spacing w:line="360" w:lineRule="auto"/>
              <w:ind w:firstLine="420"/>
              <w:jc w:val="left"/>
              <w:rPr>
                <w:rFonts w:ascii="宋体" w:hAnsi="宋体" w:cs="宋体"/>
                <w:sz w:val="22"/>
                <w:szCs w:val="22"/>
              </w:rPr>
            </w:pPr>
            <w:r>
              <w:rPr>
                <w:rFonts w:hint="eastAsia" w:ascii="宋体" w:hAnsi="宋体" w:cs="宋体"/>
                <w:sz w:val="22"/>
                <w:szCs w:val="22"/>
              </w:rPr>
              <w:t>（7）供应商无行贿犯罪记录行为，在中国裁判文书网自行查询结果或自行承诺（查询/承诺对象：企业、法定代表人）；</w:t>
            </w:r>
          </w:p>
          <w:p w14:paraId="2D9D9A73">
            <w:pPr>
              <w:widowControl/>
              <w:spacing w:line="360" w:lineRule="auto"/>
              <w:ind w:firstLine="420"/>
              <w:jc w:val="left"/>
              <w:rPr>
                <w:rFonts w:ascii="宋体" w:hAnsi="宋体" w:cs="宋体"/>
                <w:sz w:val="22"/>
                <w:szCs w:val="22"/>
              </w:rPr>
            </w:pPr>
            <w:r>
              <w:rPr>
                <w:rFonts w:hint="eastAsia" w:ascii="宋体" w:hAnsi="宋体" w:cs="宋体"/>
                <w:sz w:val="22"/>
                <w:szCs w:val="22"/>
              </w:rPr>
              <w:t>（8）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p w14:paraId="7504355B">
            <w:pPr>
              <w:widowControl/>
              <w:spacing w:line="360" w:lineRule="auto"/>
              <w:ind w:firstLine="420"/>
              <w:jc w:val="left"/>
              <w:rPr>
                <w:rFonts w:ascii="宋体" w:hAnsi="宋体" w:cs="宋体"/>
                <w:sz w:val="22"/>
                <w:szCs w:val="22"/>
              </w:rPr>
            </w:pPr>
            <w:r>
              <w:rPr>
                <w:rFonts w:hint="eastAsia" w:ascii="宋体" w:hAnsi="宋体" w:cs="宋体"/>
                <w:sz w:val="22"/>
                <w:szCs w:val="22"/>
                <w:lang w:val="en-US" w:eastAsia="zh-CN"/>
              </w:rPr>
              <w:t>（9）</w:t>
            </w:r>
            <w:r>
              <w:rPr>
                <w:rFonts w:hint="eastAsia" w:ascii="宋体" w:hAnsi="宋体" w:cs="宋体"/>
                <w:sz w:val="22"/>
                <w:szCs w:val="22"/>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2"/>
                <w:szCs w:val="22"/>
                <w:lang w:val="en-US" w:eastAsia="zh-CN"/>
              </w:rPr>
              <w:t>l</w:t>
            </w:r>
            <w:r>
              <w:rPr>
                <w:rFonts w:hint="eastAsia" w:ascii="宋体" w:hAnsi="宋体" w:cs="宋体"/>
                <w:sz w:val="22"/>
                <w:szCs w:val="22"/>
              </w:rPr>
              <w:t>网页查询,需包含公司基本信息、股东信息及股权变更信息内容）；</w:t>
            </w:r>
          </w:p>
          <w:p w14:paraId="635EAE94">
            <w:pPr>
              <w:shd w:val="clear" w:color="auto" w:fill="FFFFFF"/>
              <w:wordWrap w:val="0"/>
              <w:spacing w:line="360" w:lineRule="auto"/>
              <w:ind w:firstLine="440" w:firstLineChars="200"/>
              <w:jc w:val="left"/>
              <w:rPr>
                <w:sz w:val="22"/>
                <w:szCs w:val="28"/>
              </w:rPr>
            </w:pPr>
            <w:r>
              <w:rPr>
                <w:rFonts w:hint="eastAsia" w:ascii="宋体" w:hAnsi="宋体" w:cs="宋体"/>
                <w:sz w:val="22"/>
                <w:szCs w:val="22"/>
                <w:lang w:val="en-US" w:eastAsia="zh-CN"/>
              </w:rPr>
              <w:t>（10）</w:t>
            </w:r>
            <w:r>
              <w:rPr>
                <w:rFonts w:hint="eastAsia" w:ascii="宋体" w:hAnsi="宋体" w:cs="宋体"/>
                <w:sz w:val="22"/>
                <w:szCs w:val="22"/>
              </w:rPr>
              <w:t>本项目实行资格后审</w:t>
            </w:r>
            <w:r>
              <w:rPr>
                <w:rFonts w:hint="eastAsia" w:ascii="宋体" w:hAnsi="宋体" w:cs="宋体"/>
                <w:sz w:val="22"/>
                <w:szCs w:val="22"/>
                <w:lang w:val="en-US" w:eastAsia="zh-CN"/>
              </w:rPr>
              <w:t>（提供资格后审承诺书，格式自拟）</w:t>
            </w:r>
            <w:r>
              <w:rPr>
                <w:rFonts w:hint="eastAsia" w:ascii="宋体" w:hAnsi="宋体" w:cs="宋体"/>
                <w:sz w:val="22"/>
                <w:szCs w:val="22"/>
              </w:rPr>
              <w:t>；</w:t>
            </w:r>
          </w:p>
          <w:p w14:paraId="495106DC">
            <w:pPr>
              <w:shd w:val="clear" w:color="auto" w:fill="FFFFFF"/>
              <w:wordWrap w:val="0"/>
              <w:spacing w:line="360" w:lineRule="auto"/>
              <w:ind w:firstLine="440" w:firstLineChars="200"/>
              <w:jc w:val="left"/>
              <w:rPr>
                <w:rFonts w:ascii="宋体" w:hAnsi="宋体" w:eastAsia="宋体" w:cs="宋体"/>
                <w:sz w:val="22"/>
                <w:szCs w:val="22"/>
              </w:rPr>
            </w:pPr>
            <w:r>
              <w:rPr>
                <w:rFonts w:hint="eastAsia" w:ascii="宋体" w:hAnsi="宋体" w:cs="宋体"/>
                <w:sz w:val="22"/>
                <w:szCs w:val="22"/>
                <w:lang w:val="en-US" w:eastAsia="zh-CN"/>
              </w:rPr>
              <w:t>（11）</w:t>
            </w:r>
            <w:r>
              <w:rPr>
                <w:rFonts w:hint="eastAsia" w:ascii="宋体" w:hAnsi="宋体" w:cs="宋体"/>
                <w:sz w:val="22"/>
                <w:szCs w:val="22"/>
              </w:rPr>
              <w:t>本项目不接受联合体磋商（提供非联合体承诺书，格式自拟）。</w:t>
            </w:r>
          </w:p>
        </w:tc>
      </w:tr>
      <w:tr w14:paraId="33794362">
        <w:tblPrEx>
          <w:tblCellMar>
            <w:top w:w="0" w:type="dxa"/>
            <w:left w:w="108" w:type="dxa"/>
            <w:bottom w:w="0" w:type="dxa"/>
            <w:right w:w="108" w:type="dxa"/>
          </w:tblCellMar>
        </w:tblPrEx>
        <w:trPr>
          <w:trHeight w:val="552" w:hRule="atLeast"/>
        </w:trPr>
        <w:tc>
          <w:tcPr>
            <w:tcW w:w="828" w:type="dxa"/>
            <w:tcBorders>
              <w:top w:val="single" w:color="auto" w:sz="6" w:space="0"/>
              <w:left w:val="single" w:color="auto" w:sz="12" w:space="0"/>
              <w:bottom w:val="single" w:color="auto" w:sz="6" w:space="0"/>
              <w:right w:val="single" w:color="auto" w:sz="6" w:space="0"/>
            </w:tcBorders>
            <w:vAlign w:val="center"/>
          </w:tcPr>
          <w:p w14:paraId="49F7EEAE">
            <w:pPr>
              <w:adjustRightInd w:val="0"/>
              <w:spacing w:line="360" w:lineRule="auto"/>
              <w:jc w:val="center"/>
              <w:rPr>
                <w:rFonts w:ascii="宋体" w:hAnsi="宋体" w:eastAsia="宋体" w:cs="宋体"/>
                <w:spacing w:val="6"/>
                <w:sz w:val="22"/>
                <w:szCs w:val="22"/>
              </w:rPr>
            </w:pPr>
            <w:r>
              <w:rPr>
                <w:rFonts w:ascii="宋体" w:hAnsi="宋体" w:cs="宋体"/>
                <w:spacing w:val="6"/>
                <w:sz w:val="22"/>
                <w:szCs w:val="22"/>
              </w:rPr>
              <w:t>15</w:t>
            </w:r>
          </w:p>
        </w:tc>
        <w:tc>
          <w:tcPr>
            <w:tcW w:w="1611" w:type="dxa"/>
            <w:tcBorders>
              <w:top w:val="single" w:color="auto" w:sz="6" w:space="0"/>
              <w:left w:val="single" w:color="auto" w:sz="6" w:space="0"/>
              <w:bottom w:val="single" w:color="auto" w:sz="6" w:space="0"/>
              <w:right w:val="single" w:color="auto" w:sz="6" w:space="0"/>
            </w:tcBorders>
            <w:vAlign w:val="center"/>
          </w:tcPr>
          <w:p w14:paraId="3B06712C">
            <w:pPr>
              <w:adjustRightInd w:val="0"/>
              <w:spacing w:line="360" w:lineRule="auto"/>
              <w:jc w:val="center"/>
              <w:rPr>
                <w:rFonts w:ascii="宋体" w:hAnsi="宋体" w:cs="宋体"/>
                <w:sz w:val="22"/>
                <w:szCs w:val="22"/>
              </w:rPr>
            </w:pPr>
            <w:r>
              <w:rPr>
                <w:rFonts w:ascii="宋体" w:hAnsi="宋体" w:cs="宋体"/>
                <w:sz w:val="22"/>
                <w:szCs w:val="22"/>
              </w:rPr>
              <w:t>竞争性磋商有效期</w:t>
            </w:r>
          </w:p>
        </w:tc>
        <w:tc>
          <w:tcPr>
            <w:tcW w:w="6565" w:type="dxa"/>
            <w:tcBorders>
              <w:top w:val="single" w:color="auto" w:sz="6" w:space="0"/>
              <w:left w:val="single" w:color="auto" w:sz="6" w:space="0"/>
              <w:bottom w:val="single" w:color="auto" w:sz="6" w:space="0"/>
              <w:right w:val="single" w:color="auto" w:sz="12" w:space="0"/>
            </w:tcBorders>
            <w:vAlign w:val="center"/>
          </w:tcPr>
          <w:p w14:paraId="5B742EDE">
            <w:pPr>
              <w:adjustRightInd w:val="0"/>
              <w:spacing w:line="360" w:lineRule="auto"/>
              <w:rPr>
                <w:rFonts w:ascii="宋体" w:hAnsi="宋体" w:cs="宋体"/>
                <w:sz w:val="22"/>
                <w:szCs w:val="22"/>
              </w:rPr>
            </w:pPr>
            <w:r>
              <w:rPr>
                <w:rFonts w:ascii="宋体" w:hAnsi="宋体" w:cs="宋体"/>
                <w:sz w:val="22"/>
                <w:szCs w:val="22"/>
              </w:rPr>
              <w:t>60日历天(</w:t>
            </w:r>
            <w:r>
              <w:rPr>
                <w:rFonts w:hint="eastAsia" w:ascii="宋体" w:hAnsi="宋体" w:cs="宋体"/>
                <w:sz w:val="22"/>
                <w:szCs w:val="22"/>
              </w:rPr>
              <w:t>指本次采购项目递交响应性文件截止之日起</w:t>
            </w:r>
            <w:r>
              <w:rPr>
                <w:rFonts w:ascii="宋体" w:hAnsi="宋体" w:cs="宋体"/>
                <w:sz w:val="22"/>
                <w:szCs w:val="22"/>
              </w:rPr>
              <w:t>)</w:t>
            </w:r>
          </w:p>
        </w:tc>
      </w:tr>
      <w:tr w14:paraId="73D7A7D8">
        <w:tblPrEx>
          <w:tblCellMar>
            <w:top w:w="0" w:type="dxa"/>
            <w:left w:w="108" w:type="dxa"/>
            <w:bottom w:w="0" w:type="dxa"/>
            <w:right w:w="108" w:type="dxa"/>
          </w:tblCellMar>
        </w:tblPrEx>
        <w:trPr>
          <w:trHeight w:val="901" w:hRule="atLeast"/>
        </w:trPr>
        <w:tc>
          <w:tcPr>
            <w:tcW w:w="828" w:type="dxa"/>
            <w:tcBorders>
              <w:top w:val="single" w:color="auto" w:sz="6" w:space="0"/>
              <w:left w:val="single" w:color="auto" w:sz="12" w:space="0"/>
              <w:bottom w:val="single" w:color="auto" w:sz="6" w:space="0"/>
              <w:right w:val="single" w:color="auto" w:sz="6" w:space="0"/>
            </w:tcBorders>
            <w:vAlign w:val="center"/>
          </w:tcPr>
          <w:p w14:paraId="54CA7732">
            <w:pPr>
              <w:adjustRightInd w:val="0"/>
              <w:spacing w:line="360" w:lineRule="auto"/>
              <w:jc w:val="center"/>
              <w:rPr>
                <w:rFonts w:ascii="宋体" w:hAnsi="宋体" w:eastAsia="宋体" w:cs="宋体"/>
                <w:spacing w:val="6"/>
                <w:sz w:val="22"/>
                <w:szCs w:val="22"/>
              </w:rPr>
            </w:pPr>
            <w:r>
              <w:rPr>
                <w:rFonts w:ascii="宋体" w:hAnsi="宋体" w:cs="宋体"/>
                <w:spacing w:val="6"/>
                <w:sz w:val="22"/>
                <w:szCs w:val="22"/>
              </w:rPr>
              <w:t>16</w:t>
            </w:r>
          </w:p>
        </w:tc>
        <w:tc>
          <w:tcPr>
            <w:tcW w:w="1611" w:type="dxa"/>
            <w:tcBorders>
              <w:top w:val="single" w:color="auto" w:sz="6" w:space="0"/>
              <w:left w:val="single" w:color="auto" w:sz="6" w:space="0"/>
              <w:bottom w:val="single" w:color="auto" w:sz="6" w:space="0"/>
              <w:right w:val="single" w:color="auto" w:sz="6" w:space="0"/>
            </w:tcBorders>
            <w:vAlign w:val="center"/>
          </w:tcPr>
          <w:p w14:paraId="1D28416D">
            <w:pPr>
              <w:adjustRightInd w:val="0"/>
              <w:spacing w:line="360" w:lineRule="auto"/>
              <w:jc w:val="center"/>
              <w:rPr>
                <w:rFonts w:ascii="宋体" w:hAnsi="宋体" w:cs="宋体"/>
                <w:sz w:val="22"/>
                <w:szCs w:val="22"/>
              </w:rPr>
            </w:pPr>
            <w:r>
              <w:rPr>
                <w:rFonts w:hint="eastAsia" w:ascii="宋体" w:hAnsi="宋体" w:cs="宋体"/>
                <w:sz w:val="22"/>
                <w:szCs w:val="22"/>
              </w:rPr>
              <w:t>磋商</w:t>
            </w:r>
            <w:r>
              <w:rPr>
                <w:rFonts w:ascii="宋体" w:hAnsi="宋体" w:cs="宋体"/>
                <w:sz w:val="22"/>
                <w:szCs w:val="22"/>
              </w:rPr>
              <w:t>保证金</w:t>
            </w:r>
          </w:p>
        </w:tc>
        <w:tc>
          <w:tcPr>
            <w:tcW w:w="6565" w:type="dxa"/>
            <w:tcBorders>
              <w:top w:val="single" w:color="auto" w:sz="6" w:space="0"/>
              <w:left w:val="single" w:color="auto" w:sz="6" w:space="0"/>
              <w:bottom w:val="single" w:color="auto" w:sz="6" w:space="0"/>
              <w:right w:val="single" w:color="auto" w:sz="12" w:space="0"/>
            </w:tcBorders>
            <w:vAlign w:val="center"/>
          </w:tcPr>
          <w:p w14:paraId="280C5B6B">
            <w:pPr>
              <w:adjustRightInd w:val="0"/>
              <w:spacing w:line="360" w:lineRule="auto"/>
              <w:rPr>
                <w:rFonts w:ascii="宋体" w:hAnsi="宋体" w:cs="宋体"/>
                <w:sz w:val="22"/>
                <w:szCs w:val="22"/>
              </w:rPr>
            </w:pPr>
            <w:r>
              <w:rPr>
                <w:rFonts w:hint="eastAsia" w:ascii="宋体" w:hAnsi="宋体" w:cs="宋体"/>
                <w:sz w:val="22"/>
                <w:szCs w:val="22"/>
              </w:rPr>
              <w:t>按照《河南省财政厅关于优化政府采购营商环境有关问题的通知》（豫财购[2019]4号文）的要求本项目不再收取磋商保证金</w:t>
            </w:r>
          </w:p>
        </w:tc>
      </w:tr>
      <w:tr w14:paraId="1A98AE94">
        <w:tblPrEx>
          <w:tblCellMar>
            <w:top w:w="0" w:type="dxa"/>
            <w:left w:w="108" w:type="dxa"/>
            <w:bottom w:w="0" w:type="dxa"/>
            <w:right w:w="108" w:type="dxa"/>
          </w:tblCellMar>
        </w:tblPrEx>
        <w:trPr>
          <w:trHeight w:val="901" w:hRule="atLeast"/>
        </w:trPr>
        <w:tc>
          <w:tcPr>
            <w:tcW w:w="828" w:type="dxa"/>
            <w:tcBorders>
              <w:top w:val="single" w:color="auto" w:sz="6" w:space="0"/>
              <w:left w:val="single" w:color="auto" w:sz="12" w:space="0"/>
              <w:bottom w:val="single" w:color="auto" w:sz="6" w:space="0"/>
              <w:right w:val="single" w:color="auto" w:sz="6" w:space="0"/>
            </w:tcBorders>
            <w:vAlign w:val="center"/>
          </w:tcPr>
          <w:p w14:paraId="034F584F">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17</w:t>
            </w:r>
          </w:p>
        </w:tc>
        <w:tc>
          <w:tcPr>
            <w:tcW w:w="1611" w:type="dxa"/>
            <w:tcBorders>
              <w:top w:val="single" w:color="auto" w:sz="6" w:space="0"/>
              <w:left w:val="single" w:color="auto" w:sz="6" w:space="0"/>
              <w:bottom w:val="single" w:color="auto" w:sz="6" w:space="0"/>
              <w:right w:val="single" w:color="auto" w:sz="6" w:space="0"/>
            </w:tcBorders>
            <w:vAlign w:val="center"/>
          </w:tcPr>
          <w:p w14:paraId="27A88824">
            <w:pPr>
              <w:adjustRightInd w:val="0"/>
              <w:spacing w:line="360" w:lineRule="auto"/>
              <w:jc w:val="center"/>
              <w:rPr>
                <w:rFonts w:ascii="宋体" w:hAnsi="宋体" w:cs="宋体"/>
                <w:sz w:val="22"/>
                <w:szCs w:val="22"/>
              </w:rPr>
            </w:pPr>
            <w:r>
              <w:rPr>
                <w:rFonts w:hint="eastAsia" w:ascii="宋体" w:hAnsi="宋体"/>
                <w:sz w:val="22"/>
                <w:szCs w:val="22"/>
              </w:rPr>
              <w:t>履约保证金</w:t>
            </w:r>
          </w:p>
        </w:tc>
        <w:tc>
          <w:tcPr>
            <w:tcW w:w="6565" w:type="dxa"/>
            <w:tcBorders>
              <w:top w:val="single" w:color="auto" w:sz="6" w:space="0"/>
              <w:left w:val="single" w:color="auto" w:sz="6" w:space="0"/>
              <w:bottom w:val="single" w:color="auto" w:sz="6" w:space="0"/>
              <w:right w:val="single" w:color="auto" w:sz="12" w:space="0"/>
            </w:tcBorders>
            <w:vAlign w:val="center"/>
          </w:tcPr>
          <w:p w14:paraId="43940B0D">
            <w:pPr>
              <w:adjustRightInd w:val="0"/>
              <w:spacing w:line="360" w:lineRule="auto"/>
              <w:rPr>
                <w:rFonts w:hint="eastAsia" w:ascii="宋体" w:hAnsi="宋体" w:cs="宋体" w:eastAsiaTheme="minorEastAsia"/>
                <w:sz w:val="22"/>
                <w:szCs w:val="22"/>
                <w:lang w:eastAsia="zh-CN"/>
              </w:rPr>
            </w:pPr>
            <w:r>
              <w:rPr>
                <w:rFonts w:hint="eastAsia" w:ascii="宋体" w:hAnsi="宋体"/>
                <w:kern w:val="0"/>
                <w:sz w:val="22"/>
                <w:szCs w:val="22"/>
                <w:highlight w:val="none"/>
                <w:lang w:val="en-US" w:eastAsia="zh-CN"/>
              </w:rPr>
              <w:t>不收取</w:t>
            </w:r>
          </w:p>
        </w:tc>
      </w:tr>
      <w:tr w14:paraId="4A5DC897">
        <w:tblPrEx>
          <w:tblCellMar>
            <w:top w:w="0" w:type="dxa"/>
            <w:left w:w="108" w:type="dxa"/>
            <w:bottom w:w="0" w:type="dxa"/>
            <w:right w:w="108" w:type="dxa"/>
          </w:tblCellMar>
        </w:tblPrEx>
        <w:trPr>
          <w:trHeight w:val="615" w:hRule="atLeast"/>
        </w:trPr>
        <w:tc>
          <w:tcPr>
            <w:tcW w:w="828" w:type="dxa"/>
            <w:tcBorders>
              <w:top w:val="single" w:color="auto" w:sz="6" w:space="0"/>
              <w:left w:val="single" w:color="auto" w:sz="12" w:space="0"/>
              <w:bottom w:val="single" w:color="auto" w:sz="6" w:space="0"/>
              <w:right w:val="single" w:color="auto" w:sz="6" w:space="0"/>
            </w:tcBorders>
            <w:vAlign w:val="center"/>
          </w:tcPr>
          <w:p w14:paraId="26B848D9">
            <w:pPr>
              <w:adjustRightInd w:val="0"/>
              <w:spacing w:line="360" w:lineRule="auto"/>
              <w:jc w:val="center"/>
              <w:rPr>
                <w:rFonts w:ascii="宋体" w:hAnsi="宋体" w:cs="宋体"/>
                <w:spacing w:val="6"/>
                <w:sz w:val="22"/>
                <w:szCs w:val="22"/>
              </w:rPr>
            </w:pPr>
            <w:r>
              <w:rPr>
                <w:rFonts w:ascii="宋体" w:hAnsi="宋体" w:cs="宋体"/>
                <w:spacing w:val="6"/>
                <w:sz w:val="22"/>
                <w:szCs w:val="22"/>
              </w:rPr>
              <w:t>1</w:t>
            </w:r>
            <w:r>
              <w:rPr>
                <w:rFonts w:hint="eastAsia" w:ascii="宋体" w:hAnsi="宋体" w:cs="宋体"/>
                <w:spacing w:val="6"/>
                <w:sz w:val="22"/>
                <w:szCs w:val="22"/>
              </w:rPr>
              <w:t>8</w:t>
            </w:r>
          </w:p>
        </w:tc>
        <w:tc>
          <w:tcPr>
            <w:tcW w:w="1611" w:type="dxa"/>
            <w:tcBorders>
              <w:top w:val="single" w:color="auto" w:sz="6" w:space="0"/>
              <w:left w:val="single" w:color="auto" w:sz="6" w:space="0"/>
              <w:bottom w:val="single" w:color="auto" w:sz="6" w:space="0"/>
              <w:right w:val="single" w:color="auto" w:sz="6" w:space="0"/>
            </w:tcBorders>
            <w:vAlign w:val="center"/>
          </w:tcPr>
          <w:p w14:paraId="6398DA26">
            <w:pPr>
              <w:adjustRightInd w:val="0"/>
              <w:spacing w:line="360" w:lineRule="auto"/>
              <w:jc w:val="center"/>
              <w:rPr>
                <w:rFonts w:ascii="宋体" w:hAnsi="宋体" w:cs="宋体"/>
                <w:sz w:val="22"/>
                <w:szCs w:val="22"/>
              </w:rPr>
            </w:pPr>
            <w:r>
              <w:rPr>
                <w:rFonts w:hint="eastAsia" w:ascii="宋体" w:hAnsi="宋体" w:cs="宋体"/>
                <w:sz w:val="22"/>
                <w:szCs w:val="22"/>
              </w:rPr>
              <w:t>是否接受联合体磋商</w:t>
            </w:r>
          </w:p>
        </w:tc>
        <w:tc>
          <w:tcPr>
            <w:tcW w:w="6565" w:type="dxa"/>
            <w:tcBorders>
              <w:top w:val="single" w:color="auto" w:sz="6" w:space="0"/>
              <w:left w:val="single" w:color="auto" w:sz="6" w:space="0"/>
              <w:bottom w:val="single" w:color="auto" w:sz="6" w:space="0"/>
              <w:right w:val="single" w:color="auto" w:sz="12" w:space="0"/>
            </w:tcBorders>
            <w:vAlign w:val="center"/>
          </w:tcPr>
          <w:p w14:paraId="71A71699">
            <w:pPr>
              <w:adjustRightInd w:val="0"/>
              <w:spacing w:line="360" w:lineRule="auto"/>
              <w:rPr>
                <w:rFonts w:ascii="宋体" w:hAnsi="宋体" w:cs="宋体"/>
                <w:sz w:val="22"/>
                <w:szCs w:val="22"/>
              </w:rPr>
            </w:pPr>
            <w:r>
              <w:rPr>
                <w:rFonts w:hint="eastAsia" w:ascii="宋体" w:hAnsi="宋体" w:cs="宋体"/>
                <w:sz w:val="22"/>
                <w:szCs w:val="22"/>
              </w:rPr>
              <w:t>不接受</w:t>
            </w:r>
          </w:p>
        </w:tc>
      </w:tr>
      <w:tr w14:paraId="6D905A0E">
        <w:tblPrEx>
          <w:tblCellMar>
            <w:top w:w="0" w:type="dxa"/>
            <w:left w:w="108" w:type="dxa"/>
            <w:bottom w:w="0" w:type="dxa"/>
            <w:right w:w="108" w:type="dxa"/>
          </w:tblCellMar>
        </w:tblPrEx>
        <w:trPr>
          <w:trHeight w:val="1021" w:hRule="atLeast"/>
        </w:trPr>
        <w:tc>
          <w:tcPr>
            <w:tcW w:w="828" w:type="dxa"/>
            <w:tcBorders>
              <w:top w:val="single" w:color="auto" w:sz="6" w:space="0"/>
              <w:left w:val="single" w:color="auto" w:sz="12" w:space="0"/>
              <w:bottom w:val="single" w:color="auto" w:sz="6" w:space="0"/>
              <w:right w:val="single" w:color="auto" w:sz="6" w:space="0"/>
            </w:tcBorders>
            <w:vAlign w:val="center"/>
          </w:tcPr>
          <w:p w14:paraId="5660DD6E">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19</w:t>
            </w:r>
          </w:p>
        </w:tc>
        <w:tc>
          <w:tcPr>
            <w:tcW w:w="1611" w:type="dxa"/>
            <w:tcBorders>
              <w:top w:val="single" w:color="auto" w:sz="6" w:space="0"/>
              <w:left w:val="single" w:color="auto" w:sz="6" w:space="0"/>
              <w:bottom w:val="single" w:color="auto" w:sz="6" w:space="0"/>
              <w:right w:val="single" w:color="auto" w:sz="6" w:space="0"/>
            </w:tcBorders>
            <w:vAlign w:val="center"/>
          </w:tcPr>
          <w:p w14:paraId="53AF7B96">
            <w:pPr>
              <w:adjustRightInd w:val="0"/>
              <w:spacing w:line="360" w:lineRule="auto"/>
              <w:jc w:val="center"/>
              <w:rPr>
                <w:rFonts w:ascii="宋体" w:hAnsi="宋体" w:cs="宋体"/>
                <w:sz w:val="22"/>
                <w:szCs w:val="22"/>
              </w:rPr>
            </w:pPr>
            <w:r>
              <w:rPr>
                <w:rFonts w:ascii="宋体" w:hAnsi="宋体" w:cs="宋体"/>
                <w:sz w:val="22"/>
                <w:szCs w:val="22"/>
              </w:rPr>
              <w:t>磋商小组的组建</w:t>
            </w:r>
          </w:p>
        </w:tc>
        <w:tc>
          <w:tcPr>
            <w:tcW w:w="6565" w:type="dxa"/>
            <w:tcBorders>
              <w:top w:val="single" w:color="auto" w:sz="6" w:space="0"/>
              <w:left w:val="single" w:color="auto" w:sz="6" w:space="0"/>
              <w:bottom w:val="single" w:color="auto" w:sz="6" w:space="0"/>
              <w:right w:val="single" w:color="auto" w:sz="12" w:space="0"/>
            </w:tcBorders>
            <w:vAlign w:val="center"/>
          </w:tcPr>
          <w:p w14:paraId="55516EDD">
            <w:pPr>
              <w:adjustRightInd w:val="0"/>
              <w:spacing w:line="360" w:lineRule="auto"/>
              <w:rPr>
                <w:rFonts w:ascii="宋体" w:hAnsi="宋体" w:cs="宋体"/>
                <w:sz w:val="22"/>
                <w:szCs w:val="22"/>
              </w:rPr>
            </w:pPr>
            <w:r>
              <w:rPr>
                <w:rFonts w:hint="eastAsia" w:ascii="宋体" w:hAnsi="宋体" w:cs="宋体"/>
                <w:sz w:val="22"/>
                <w:szCs w:val="22"/>
              </w:rPr>
              <w:t>磋商小组构成：由采购人代表及相关专业</w:t>
            </w:r>
            <w:r>
              <w:rPr>
                <w:rFonts w:hint="eastAsia" w:ascii="宋体" w:hAnsi="宋体" w:cs="宋体"/>
                <w:sz w:val="22"/>
                <w:szCs w:val="22"/>
                <w:lang w:val="en-US" w:eastAsia="zh-CN"/>
              </w:rPr>
              <w:t>经济、技术</w:t>
            </w:r>
            <w:r>
              <w:rPr>
                <w:rFonts w:hint="eastAsia" w:ascii="宋体" w:hAnsi="宋体" w:cs="宋体"/>
                <w:sz w:val="22"/>
                <w:szCs w:val="22"/>
              </w:rPr>
              <w:t>专家共 3 人组成，其中采购人代表 1 人，相关专业</w:t>
            </w:r>
            <w:r>
              <w:rPr>
                <w:rFonts w:hint="eastAsia" w:ascii="宋体" w:hAnsi="宋体" w:cs="宋体"/>
                <w:sz w:val="22"/>
                <w:szCs w:val="22"/>
                <w:lang w:val="en-US" w:eastAsia="zh-CN"/>
              </w:rPr>
              <w:t>经济、技术</w:t>
            </w:r>
            <w:r>
              <w:rPr>
                <w:rFonts w:hint="eastAsia" w:ascii="宋体" w:hAnsi="宋体" w:cs="宋体"/>
                <w:sz w:val="22"/>
                <w:szCs w:val="22"/>
              </w:rPr>
              <w:t>专家 2 人</w:t>
            </w:r>
            <w:r>
              <w:rPr>
                <w:rFonts w:hint="eastAsia" w:ascii="宋体" w:hAnsi="宋体" w:cs="宋体"/>
                <w:sz w:val="22"/>
                <w:szCs w:val="22"/>
                <w:lang w:eastAsia="zh-CN"/>
              </w:rPr>
              <w:t>，</w:t>
            </w:r>
            <w:r>
              <w:rPr>
                <w:rFonts w:hint="eastAsia" w:ascii="宋体" w:hAnsi="宋体" w:cs="宋体"/>
                <w:sz w:val="22"/>
                <w:szCs w:val="22"/>
              </w:rPr>
              <w:t>开标后从河南省财政厅综合评标专家库中随机抽取</w:t>
            </w:r>
          </w:p>
        </w:tc>
      </w:tr>
      <w:tr w14:paraId="2040A55A">
        <w:tblPrEx>
          <w:tblCellMar>
            <w:top w:w="0" w:type="dxa"/>
            <w:left w:w="108" w:type="dxa"/>
            <w:bottom w:w="0" w:type="dxa"/>
            <w:right w:w="108" w:type="dxa"/>
          </w:tblCellMar>
        </w:tblPrEx>
        <w:trPr>
          <w:trHeight w:val="615" w:hRule="atLeast"/>
        </w:trPr>
        <w:tc>
          <w:tcPr>
            <w:tcW w:w="828" w:type="dxa"/>
            <w:tcBorders>
              <w:top w:val="single" w:color="auto" w:sz="6" w:space="0"/>
              <w:left w:val="single" w:color="auto" w:sz="12" w:space="0"/>
              <w:bottom w:val="single" w:color="auto" w:sz="6" w:space="0"/>
              <w:right w:val="single" w:color="auto" w:sz="6" w:space="0"/>
            </w:tcBorders>
            <w:vAlign w:val="center"/>
          </w:tcPr>
          <w:p w14:paraId="1B47B092">
            <w:pPr>
              <w:adjustRightInd w:val="0"/>
              <w:spacing w:line="360" w:lineRule="auto"/>
              <w:jc w:val="center"/>
              <w:rPr>
                <w:rFonts w:ascii="宋体" w:hAnsi="宋体" w:eastAsia="宋体" w:cs="宋体"/>
                <w:spacing w:val="6"/>
                <w:sz w:val="22"/>
                <w:szCs w:val="22"/>
              </w:rPr>
            </w:pPr>
            <w:r>
              <w:rPr>
                <w:rFonts w:hint="eastAsia" w:ascii="宋体" w:hAnsi="宋体" w:eastAsia="宋体" w:cs="宋体"/>
                <w:spacing w:val="6"/>
                <w:sz w:val="22"/>
                <w:szCs w:val="22"/>
              </w:rPr>
              <w:t>20</w:t>
            </w:r>
          </w:p>
        </w:tc>
        <w:tc>
          <w:tcPr>
            <w:tcW w:w="1611" w:type="dxa"/>
            <w:tcBorders>
              <w:top w:val="single" w:color="auto" w:sz="6" w:space="0"/>
              <w:left w:val="single" w:color="auto" w:sz="6" w:space="0"/>
              <w:bottom w:val="single" w:color="auto" w:sz="6" w:space="0"/>
              <w:right w:val="single" w:color="auto" w:sz="6" w:space="0"/>
            </w:tcBorders>
            <w:vAlign w:val="center"/>
          </w:tcPr>
          <w:p w14:paraId="5777DD51">
            <w:pPr>
              <w:adjustRightInd w:val="0"/>
              <w:spacing w:line="360" w:lineRule="auto"/>
              <w:jc w:val="center"/>
              <w:rPr>
                <w:rFonts w:ascii="宋体" w:hAnsi="宋体" w:cs="宋体"/>
                <w:sz w:val="22"/>
                <w:szCs w:val="22"/>
              </w:rPr>
            </w:pPr>
            <w:r>
              <w:rPr>
                <w:rFonts w:ascii="宋体" w:hAnsi="宋体" w:cs="宋体"/>
                <w:sz w:val="22"/>
                <w:szCs w:val="22"/>
              </w:rPr>
              <w:t>评标标准及方法</w:t>
            </w:r>
          </w:p>
        </w:tc>
        <w:tc>
          <w:tcPr>
            <w:tcW w:w="6565" w:type="dxa"/>
            <w:tcBorders>
              <w:top w:val="single" w:color="auto" w:sz="6" w:space="0"/>
              <w:left w:val="single" w:color="auto" w:sz="6" w:space="0"/>
              <w:bottom w:val="single" w:color="auto" w:sz="6" w:space="0"/>
              <w:right w:val="single" w:color="auto" w:sz="12" w:space="0"/>
            </w:tcBorders>
            <w:vAlign w:val="center"/>
          </w:tcPr>
          <w:p w14:paraId="49CE1F04">
            <w:pPr>
              <w:adjustRightInd w:val="0"/>
              <w:spacing w:line="360" w:lineRule="auto"/>
              <w:rPr>
                <w:rFonts w:ascii="宋体" w:hAnsi="宋体" w:cs="宋体"/>
                <w:sz w:val="22"/>
                <w:szCs w:val="22"/>
              </w:rPr>
            </w:pPr>
            <w:r>
              <w:rPr>
                <w:rFonts w:ascii="宋体" w:hAnsi="宋体" w:cs="宋体"/>
                <w:sz w:val="22"/>
                <w:szCs w:val="22"/>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14:paraId="3570B6A1">
        <w:tblPrEx>
          <w:tblCellMar>
            <w:top w:w="0" w:type="dxa"/>
            <w:left w:w="108" w:type="dxa"/>
            <w:bottom w:w="0" w:type="dxa"/>
            <w:right w:w="108" w:type="dxa"/>
          </w:tblCellMar>
        </w:tblPrEx>
        <w:trPr>
          <w:trHeight w:val="489" w:hRule="atLeast"/>
        </w:trPr>
        <w:tc>
          <w:tcPr>
            <w:tcW w:w="828" w:type="dxa"/>
            <w:tcBorders>
              <w:top w:val="single" w:color="auto" w:sz="6" w:space="0"/>
              <w:left w:val="single" w:color="auto" w:sz="12" w:space="0"/>
              <w:bottom w:val="single" w:color="auto" w:sz="6" w:space="0"/>
              <w:right w:val="single" w:color="auto" w:sz="6" w:space="0"/>
            </w:tcBorders>
            <w:vAlign w:val="center"/>
          </w:tcPr>
          <w:p w14:paraId="41EE3CAD">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21</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14:paraId="3B650DAE">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分包</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3F7EAF43">
            <w:pPr>
              <w:adjustRightInd w:val="0"/>
              <w:spacing w:line="360" w:lineRule="auto"/>
              <w:jc w:val="left"/>
              <w:rPr>
                <w:rFonts w:ascii="宋体" w:hAnsi="宋体" w:cs="宋体"/>
                <w:spacing w:val="6"/>
                <w:sz w:val="22"/>
                <w:szCs w:val="22"/>
              </w:rPr>
            </w:pPr>
            <w:r>
              <w:rPr>
                <w:rFonts w:hint="eastAsia" w:ascii="宋体" w:hAnsi="宋体" w:cs="宋体"/>
                <w:spacing w:val="6"/>
                <w:sz w:val="22"/>
                <w:szCs w:val="22"/>
              </w:rPr>
              <w:t>不允许（转包、分包均不允许）</w:t>
            </w:r>
          </w:p>
        </w:tc>
      </w:tr>
      <w:tr w14:paraId="2A6DF007">
        <w:tblPrEx>
          <w:tblCellMar>
            <w:top w:w="0" w:type="dxa"/>
            <w:left w:w="108" w:type="dxa"/>
            <w:bottom w:w="0" w:type="dxa"/>
            <w:right w:w="108" w:type="dxa"/>
          </w:tblCellMar>
        </w:tblPrEx>
        <w:trPr>
          <w:trHeight w:val="90" w:hRule="atLeast"/>
        </w:trPr>
        <w:tc>
          <w:tcPr>
            <w:tcW w:w="828" w:type="dxa"/>
            <w:tcBorders>
              <w:top w:val="single" w:color="auto" w:sz="6" w:space="0"/>
              <w:left w:val="single" w:color="auto" w:sz="12" w:space="0"/>
              <w:bottom w:val="single" w:color="auto" w:sz="6" w:space="0"/>
              <w:right w:val="single" w:color="auto" w:sz="6" w:space="0"/>
            </w:tcBorders>
            <w:vAlign w:val="center"/>
          </w:tcPr>
          <w:p w14:paraId="414A8787">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22</w:t>
            </w:r>
          </w:p>
        </w:tc>
        <w:tc>
          <w:tcPr>
            <w:tcW w:w="1611" w:type="dxa"/>
            <w:tcBorders>
              <w:top w:val="single" w:color="auto" w:sz="6" w:space="0"/>
              <w:left w:val="single" w:color="auto" w:sz="6" w:space="0"/>
              <w:bottom w:val="single" w:color="auto" w:sz="6" w:space="0"/>
              <w:right w:val="single" w:color="auto" w:sz="6" w:space="0"/>
            </w:tcBorders>
            <w:vAlign w:val="center"/>
          </w:tcPr>
          <w:p w14:paraId="7B107A39">
            <w:pPr>
              <w:adjustRightInd w:val="0"/>
              <w:spacing w:line="360" w:lineRule="auto"/>
              <w:jc w:val="center"/>
              <w:rPr>
                <w:rFonts w:ascii="宋体" w:hAnsi="宋体" w:cs="宋体"/>
                <w:sz w:val="22"/>
                <w:szCs w:val="22"/>
              </w:rPr>
            </w:pPr>
            <w:r>
              <w:rPr>
                <w:rFonts w:hint="eastAsia" w:ascii="宋体" w:hAnsi="宋体" w:cs="宋体"/>
                <w:sz w:val="22"/>
                <w:szCs w:val="22"/>
              </w:rPr>
              <w:t>政府采购服务费</w:t>
            </w:r>
          </w:p>
        </w:tc>
        <w:tc>
          <w:tcPr>
            <w:tcW w:w="6565" w:type="dxa"/>
            <w:tcBorders>
              <w:top w:val="single" w:color="auto" w:sz="6" w:space="0"/>
              <w:left w:val="single" w:color="auto" w:sz="6" w:space="0"/>
              <w:bottom w:val="single" w:color="auto" w:sz="6" w:space="0"/>
              <w:right w:val="single" w:color="auto" w:sz="12" w:space="0"/>
            </w:tcBorders>
            <w:vAlign w:val="center"/>
          </w:tcPr>
          <w:p w14:paraId="3E9832C3">
            <w:pPr>
              <w:widowControl/>
              <w:spacing w:line="440" w:lineRule="exact"/>
              <w:jc w:val="left"/>
              <w:rPr>
                <w:rFonts w:hint="eastAsia" w:ascii="宋体" w:hAnsi="宋体" w:cs="宋体"/>
                <w:kern w:val="0"/>
                <w:sz w:val="22"/>
                <w:szCs w:val="21"/>
                <w:lang w:val="en-US" w:eastAsia="zh-CN"/>
              </w:rPr>
            </w:pPr>
            <w:r>
              <w:rPr>
                <w:rFonts w:hint="eastAsia" w:ascii="宋体" w:hAnsi="宋体" w:cs="宋体"/>
                <w:kern w:val="0"/>
                <w:sz w:val="22"/>
                <w:szCs w:val="21"/>
                <w:lang w:val="en-US" w:eastAsia="zh-CN"/>
              </w:rPr>
              <w:t>磋商</w:t>
            </w:r>
            <w:r>
              <w:rPr>
                <w:rFonts w:hint="eastAsia" w:ascii="宋体" w:hAnsi="宋体" w:cs="宋体"/>
                <w:kern w:val="0"/>
                <w:sz w:val="22"/>
                <w:szCs w:val="21"/>
                <w:lang w:val="en-US"/>
              </w:rPr>
              <w:t>代理服务收费参照豫招协[2023]002号河南省招标投标协会关于印发《河南省招标代理服务收费指导意见》规定的收费标准</w:t>
            </w:r>
            <w:r>
              <w:rPr>
                <w:rFonts w:hint="eastAsia" w:ascii="宋体" w:hAnsi="宋体" w:cs="宋体"/>
                <w:kern w:val="0"/>
                <w:sz w:val="22"/>
                <w:szCs w:val="21"/>
                <w:lang w:val="en-US" w:eastAsia="zh-CN"/>
              </w:rPr>
              <w:t>向成交单位收取。招标代理服务费由成交供应商在领取成交通知书时，以现金或转账的方式一次性向缴纳。</w:t>
            </w:r>
          </w:p>
          <w:p w14:paraId="38946F70">
            <w:pPr>
              <w:widowControl/>
              <w:spacing w:line="440" w:lineRule="exact"/>
              <w:ind w:firstLine="440" w:firstLineChars="200"/>
              <w:jc w:val="left"/>
              <w:rPr>
                <w:rFonts w:hint="eastAsia" w:ascii="宋体" w:hAnsi="宋体" w:cs="宋体"/>
                <w:kern w:val="0"/>
                <w:sz w:val="22"/>
                <w:szCs w:val="21"/>
                <w:lang w:val="en-US" w:eastAsia="zh-CN"/>
              </w:rPr>
            </w:pPr>
            <w:r>
              <w:rPr>
                <w:rFonts w:hint="eastAsia" w:ascii="宋体" w:hAnsi="宋体" w:cs="宋体"/>
                <w:kern w:val="0"/>
                <w:sz w:val="22"/>
                <w:szCs w:val="21"/>
                <w:lang w:val="en-US" w:eastAsia="zh-CN"/>
              </w:rPr>
              <w:t>户名：河南友拓工程管理有限公司</w:t>
            </w:r>
          </w:p>
          <w:p w14:paraId="582F5611">
            <w:pPr>
              <w:widowControl/>
              <w:spacing w:line="440" w:lineRule="exact"/>
              <w:ind w:firstLine="440" w:firstLineChars="200"/>
              <w:jc w:val="left"/>
              <w:rPr>
                <w:rFonts w:hint="eastAsia" w:ascii="宋体" w:hAnsi="宋体" w:cs="宋体"/>
                <w:kern w:val="0"/>
                <w:sz w:val="22"/>
                <w:szCs w:val="21"/>
                <w:lang w:val="en-US" w:eastAsia="zh-CN"/>
              </w:rPr>
            </w:pPr>
            <w:r>
              <w:rPr>
                <w:rFonts w:hint="eastAsia" w:ascii="宋体" w:hAnsi="宋体" w:cs="宋体"/>
                <w:kern w:val="0"/>
                <w:sz w:val="22"/>
                <w:szCs w:val="21"/>
                <w:lang w:val="en-US" w:eastAsia="zh-CN"/>
              </w:rPr>
              <w:t xml:space="preserve">账号：41050169610800000001 </w:t>
            </w:r>
          </w:p>
          <w:p w14:paraId="6971C4BE">
            <w:pPr>
              <w:widowControl/>
              <w:spacing w:line="440" w:lineRule="exact"/>
              <w:ind w:firstLine="440" w:firstLineChars="200"/>
              <w:jc w:val="left"/>
              <w:rPr>
                <w:sz w:val="20"/>
                <w:szCs w:val="22"/>
              </w:rPr>
            </w:pPr>
            <w:r>
              <w:rPr>
                <w:rFonts w:hint="eastAsia" w:ascii="宋体" w:hAnsi="宋体" w:cs="宋体"/>
                <w:kern w:val="0"/>
                <w:sz w:val="22"/>
                <w:szCs w:val="21"/>
                <w:lang w:val="en-US" w:eastAsia="zh-CN"/>
              </w:rPr>
              <w:t>开户行：建行三门峡崤山路支行</w:t>
            </w:r>
          </w:p>
        </w:tc>
      </w:tr>
      <w:tr w14:paraId="1DE92CCE">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506DAAD8">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23</w:t>
            </w:r>
          </w:p>
        </w:tc>
        <w:tc>
          <w:tcPr>
            <w:tcW w:w="1611" w:type="dxa"/>
            <w:tcBorders>
              <w:top w:val="single" w:color="auto" w:sz="6" w:space="0"/>
              <w:left w:val="single" w:color="auto" w:sz="6" w:space="0"/>
              <w:bottom w:val="single" w:color="auto" w:sz="6" w:space="0"/>
              <w:right w:val="single" w:color="auto" w:sz="6" w:space="0"/>
            </w:tcBorders>
            <w:vAlign w:val="center"/>
          </w:tcPr>
          <w:p w14:paraId="51D0F92F">
            <w:pPr>
              <w:adjustRightInd w:val="0"/>
              <w:spacing w:line="360" w:lineRule="auto"/>
              <w:jc w:val="center"/>
              <w:rPr>
                <w:rFonts w:ascii="宋体" w:hAnsi="宋体" w:cs="宋体"/>
                <w:sz w:val="22"/>
                <w:szCs w:val="22"/>
              </w:rPr>
            </w:pPr>
            <w:r>
              <w:rPr>
                <w:rFonts w:hint="eastAsia" w:ascii="宋体" w:hAnsi="宋体" w:cs="宋体"/>
                <w:sz w:val="22"/>
                <w:szCs w:val="22"/>
              </w:rPr>
              <w:t>磋商预备会</w:t>
            </w:r>
          </w:p>
        </w:tc>
        <w:tc>
          <w:tcPr>
            <w:tcW w:w="6565" w:type="dxa"/>
            <w:tcBorders>
              <w:top w:val="single" w:color="auto" w:sz="6" w:space="0"/>
              <w:left w:val="single" w:color="auto" w:sz="6" w:space="0"/>
              <w:bottom w:val="single" w:color="auto" w:sz="6" w:space="0"/>
              <w:right w:val="single" w:color="auto" w:sz="12" w:space="0"/>
            </w:tcBorders>
            <w:vAlign w:val="center"/>
          </w:tcPr>
          <w:p w14:paraId="754DC85F">
            <w:pPr>
              <w:adjustRightInd w:val="0"/>
              <w:spacing w:line="360" w:lineRule="auto"/>
              <w:rPr>
                <w:rFonts w:ascii="宋体" w:hAnsi="宋体" w:cs="宋体"/>
                <w:sz w:val="22"/>
                <w:szCs w:val="22"/>
              </w:rPr>
            </w:pPr>
            <w:r>
              <w:rPr>
                <w:rFonts w:hint="eastAsia" w:ascii="宋体" w:hAnsi="宋体" w:cs="宋体"/>
                <w:sz w:val="22"/>
                <w:szCs w:val="22"/>
              </w:rPr>
              <w:t>不召开</w:t>
            </w:r>
          </w:p>
        </w:tc>
      </w:tr>
      <w:tr w14:paraId="25EBF38E">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33081BBE">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24</w:t>
            </w:r>
          </w:p>
        </w:tc>
        <w:tc>
          <w:tcPr>
            <w:tcW w:w="1611" w:type="dxa"/>
            <w:tcBorders>
              <w:top w:val="single" w:color="auto" w:sz="6" w:space="0"/>
              <w:left w:val="single" w:color="auto" w:sz="6" w:space="0"/>
              <w:bottom w:val="single" w:color="auto" w:sz="6" w:space="0"/>
              <w:right w:val="single" w:color="auto" w:sz="6" w:space="0"/>
            </w:tcBorders>
            <w:vAlign w:val="center"/>
          </w:tcPr>
          <w:p w14:paraId="626629AE">
            <w:pPr>
              <w:adjustRightInd w:val="0"/>
              <w:spacing w:line="360" w:lineRule="auto"/>
              <w:jc w:val="center"/>
              <w:rPr>
                <w:rFonts w:ascii="宋体" w:hAnsi="宋体" w:cs="宋体"/>
                <w:sz w:val="22"/>
                <w:szCs w:val="22"/>
              </w:rPr>
            </w:pPr>
            <w:r>
              <w:rPr>
                <w:rFonts w:hint="eastAsia" w:ascii="宋体" w:hAnsi="宋体" w:cs="宋体"/>
                <w:sz w:val="22"/>
                <w:szCs w:val="22"/>
              </w:rPr>
              <w:t>获取磋商文件时间</w:t>
            </w:r>
          </w:p>
        </w:tc>
        <w:tc>
          <w:tcPr>
            <w:tcW w:w="6565" w:type="dxa"/>
            <w:tcBorders>
              <w:top w:val="single" w:color="auto" w:sz="6" w:space="0"/>
              <w:left w:val="single" w:color="auto" w:sz="6" w:space="0"/>
              <w:bottom w:val="single" w:color="auto" w:sz="6" w:space="0"/>
              <w:right w:val="single" w:color="auto" w:sz="12" w:space="0"/>
            </w:tcBorders>
            <w:vAlign w:val="center"/>
          </w:tcPr>
          <w:p w14:paraId="7373D7BD">
            <w:pPr>
              <w:adjustRightInd w:val="0"/>
              <w:spacing w:line="360" w:lineRule="auto"/>
              <w:rPr>
                <w:rFonts w:ascii="宋体" w:hAnsi="宋体" w:cs="宋体"/>
                <w:sz w:val="22"/>
                <w:szCs w:val="22"/>
              </w:rPr>
            </w:pPr>
            <w:r>
              <w:rPr>
                <w:rFonts w:hint="eastAsia" w:ascii="宋体" w:hAnsi="宋体" w:cs="宋体"/>
                <w:sz w:val="22"/>
                <w:szCs w:val="22"/>
              </w:rPr>
              <w:t>具体详见竞争性磋商公告部分</w:t>
            </w:r>
          </w:p>
        </w:tc>
      </w:tr>
      <w:tr w14:paraId="07C9070C">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2FF09829">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25</w:t>
            </w:r>
          </w:p>
        </w:tc>
        <w:tc>
          <w:tcPr>
            <w:tcW w:w="1611" w:type="dxa"/>
            <w:tcBorders>
              <w:top w:val="single" w:color="auto" w:sz="6" w:space="0"/>
              <w:left w:val="single" w:color="auto" w:sz="6" w:space="0"/>
              <w:bottom w:val="single" w:color="auto" w:sz="6" w:space="0"/>
              <w:right w:val="single" w:color="auto" w:sz="6" w:space="0"/>
            </w:tcBorders>
            <w:vAlign w:val="center"/>
          </w:tcPr>
          <w:p w14:paraId="22A31AC0">
            <w:pPr>
              <w:adjustRightInd w:val="0"/>
              <w:spacing w:line="360" w:lineRule="auto"/>
              <w:jc w:val="center"/>
              <w:rPr>
                <w:rFonts w:ascii="宋体" w:hAnsi="宋体" w:cs="宋体"/>
                <w:sz w:val="22"/>
                <w:szCs w:val="22"/>
              </w:rPr>
            </w:pPr>
            <w:r>
              <w:rPr>
                <w:rFonts w:hint="eastAsia" w:ascii="宋体" w:hAnsi="宋体" w:cs="宋体"/>
                <w:sz w:val="22"/>
                <w:szCs w:val="22"/>
              </w:rPr>
              <w:t>提交磋商文件截止时间</w:t>
            </w:r>
          </w:p>
        </w:tc>
        <w:tc>
          <w:tcPr>
            <w:tcW w:w="6565" w:type="dxa"/>
            <w:tcBorders>
              <w:top w:val="single" w:color="auto" w:sz="6" w:space="0"/>
              <w:left w:val="single" w:color="auto" w:sz="6" w:space="0"/>
              <w:bottom w:val="single" w:color="auto" w:sz="6" w:space="0"/>
              <w:right w:val="single" w:color="auto" w:sz="12" w:space="0"/>
            </w:tcBorders>
            <w:vAlign w:val="center"/>
          </w:tcPr>
          <w:p w14:paraId="49DC80EA">
            <w:pPr>
              <w:adjustRightInd w:val="0"/>
              <w:spacing w:line="360" w:lineRule="auto"/>
              <w:rPr>
                <w:rFonts w:ascii="宋体" w:hAnsi="宋体" w:cs="宋体"/>
                <w:sz w:val="22"/>
                <w:szCs w:val="22"/>
              </w:rPr>
            </w:pPr>
            <w:r>
              <w:rPr>
                <w:rFonts w:hint="eastAsia" w:ascii="宋体" w:hAnsi="宋体" w:cs="宋体"/>
                <w:sz w:val="22"/>
                <w:szCs w:val="22"/>
              </w:rPr>
              <w:t>具体详见竞争性磋商公告部分</w:t>
            </w:r>
          </w:p>
        </w:tc>
      </w:tr>
      <w:tr w14:paraId="0CC1BA48">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5C525014">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26</w:t>
            </w:r>
          </w:p>
        </w:tc>
        <w:tc>
          <w:tcPr>
            <w:tcW w:w="1611" w:type="dxa"/>
            <w:tcBorders>
              <w:top w:val="single" w:color="auto" w:sz="6" w:space="0"/>
              <w:left w:val="single" w:color="auto" w:sz="6" w:space="0"/>
              <w:bottom w:val="single" w:color="auto" w:sz="6" w:space="0"/>
              <w:right w:val="single" w:color="auto" w:sz="6" w:space="0"/>
            </w:tcBorders>
            <w:vAlign w:val="center"/>
          </w:tcPr>
          <w:p w14:paraId="73AF4621">
            <w:pPr>
              <w:adjustRightInd w:val="0"/>
              <w:spacing w:line="360" w:lineRule="auto"/>
              <w:jc w:val="center"/>
              <w:rPr>
                <w:rFonts w:ascii="宋体" w:hAnsi="宋体" w:cs="宋体"/>
                <w:sz w:val="22"/>
                <w:szCs w:val="22"/>
              </w:rPr>
            </w:pPr>
            <w:r>
              <w:rPr>
                <w:rFonts w:hint="eastAsia" w:ascii="宋体" w:hAnsi="宋体" w:cs="宋体"/>
                <w:sz w:val="22"/>
                <w:szCs w:val="22"/>
              </w:rPr>
              <w:t>是否允许递交备选磋商方案</w:t>
            </w:r>
          </w:p>
        </w:tc>
        <w:tc>
          <w:tcPr>
            <w:tcW w:w="6565" w:type="dxa"/>
            <w:tcBorders>
              <w:top w:val="single" w:color="auto" w:sz="6" w:space="0"/>
              <w:left w:val="single" w:color="auto" w:sz="6" w:space="0"/>
              <w:bottom w:val="single" w:color="auto" w:sz="6" w:space="0"/>
              <w:right w:val="single" w:color="auto" w:sz="12" w:space="0"/>
            </w:tcBorders>
            <w:vAlign w:val="center"/>
          </w:tcPr>
          <w:p w14:paraId="51EE4F83">
            <w:pPr>
              <w:adjustRightInd w:val="0"/>
              <w:spacing w:line="360" w:lineRule="auto"/>
              <w:rPr>
                <w:rFonts w:ascii="宋体" w:hAnsi="宋体" w:cs="宋体"/>
                <w:sz w:val="22"/>
                <w:szCs w:val="22"/>
              </w:rPr>
            </w:pPr>
            <w:r>
              <w:rPr>
                <w:rFonts w:hint="eastAsia" w:ascii="宋体" w:hAnsi="宋体" w:cs="宋体"/>
                <w:sz w:val="22"/>
                <w:szCs w:val="22"/>
              </w:rPr>
              <w:t>不允许</w:t>
            </w:r>
          </w:p>
        </w:tc>
      </w:tr>
      <w:tr w14:paraId="67FBFD72">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16D155AB">
            <w:pPr>
              <w:adjustRightInd w:val="0"/>
              <w:spacing w:line="360" w:lineRule="auto"/>
              <w:jc w:val="center"/>
              <w:rPr>
                <w:rFonts w:ascii="宋体" w:hAnsi="宋体" w:eastAsia="宋体" w:cs="宋体"/>
                <w:spacing w:val="6"/>
                <w:sz w:val="22"/>
                <w:szCs w:val="22"/>
              </w:rPr>
            </w:pPr>
            <w:r>
              <w:rPr>
                <w:rFonts w:hint="eastAsia" w:ascii="宋体" w:hAnsi="宋体" w:eastAsia="宋体" w:cs="宋体"/>
                <w:spacing w:val="6"/>
                <w:sz w:val="22"/>
                <w:szCs w:val="22"/>
              </w:rPr>
              <w:t>27</w:t>
            </w:r>
          </w:p>
        </w:tc>
        <w:tc>
          <w:tcPr>
            <w:tcW w:w="1611" w:type="dxa"/>
            <w:tcBorders>
              <w:top w:val="single" w:color="auto" w:sz="6" w:space="0"/>
              <w:left w:val="single" w:color="auto" w:sz="6" w:space="0"/>
              <w:bottom w:val="single" w:color="auto" w:sz="6" w:space="0"/>
              <w:right w:val="single" w:color="auto" w:sz="6" w:space="0"/>
            </w:tcBorders>
            <w:vAlign w:val="center"/>
          </w:tcPr>
          <w:p w14:paraId="3EF5ABFC">
            <w:pPr>
              <w:widowControl/>
              <w:jc w:val="center"/>
              <w:rPr>
                <w:rFonts w:ascii="宋体" w:hAnsi="宋体" w:cs="宋体"/>
                <w:sz w:val="22"/>
                <w:szCs w:val="22"/>
              </w:rPr>
            </w:pPr>
            <w:r>
              <w:rPr>
                <w:rFonts w:hint="eastAsia" w:ascii="宋体" w:hAnsi="宋体"/>
                <w:sz w:val="22"/>
                <w:szCs w:val="22"/>
              </w:rPr>
              <w:t>磋商报价的其他要求</w:t>
            </w:r>
          </w:p>
        </w:tc>
        <w:tc>
          <w:tcPr>
            <w:tcW w:w="6565" w:type="dxa"/>
            <w:tcBorders>
              <w:top w:val="single" w:color="auto" w:sz="6" w:space="0"/>
              <w:left w:val="single" w:color="auto" w:sz="6" w:space="0"/>
              <w:bottom w:val="single" w:color="auto" w:sz="6" w:space="0"/>
              <w:right w:val="single" w:color="auto" w:sz="12" w:space="0"/>
            </w:tcBorders>
            <w:vAlign w:val="center"/>
          </w:tcPr>
          <w:p w14:paraId="73F24B46">
            <w:pPr>
              <w:spacing w:line="360" w:lineRule="auto"/>
              <w:jc w:val="left"/>
              <w:rPr>
                <w:rFonts w:hint="eastAsia" w:ascii="宋体" w:hAnsi="宋体" w:cs="宋体"/>
                <w:b/>
                <w:bCs/>
                <w:sz w:val="22"/>
                <w:szCs w:val="22"/>
                <w:lang w:val="en-US" w:eastAsia="zh-CN"/>
              </w:rPr>
            </w:pPr>
            <w:r>
              <w:rPr>
                <w:rFonts w:hint="eastAsia" w:ascii="宋体" w:hAnsi="宋体" w:eastAsia="宋体" w:cs="宋体"/>
                <w:b/>
                <w:bCs/>
                <w:sz w:val="22"/>
                <w:szCs w:val="22"/>
              </w:rPr>
              <w:t>本项目采用报价(折扣)100%进行报价，</w:t>
            </w:r>
            <w:r>
              <w:rPr>
                <w:rFonts w:hint="eastAsia" w:ascii="宋体" w:hAnsi="宋体" w:cs="宋体"/>
                <w:b/>
                <w:bCs/>
                <w:sz w:val="22"/>
                <w:szCs w:val="22"/>
              </w:rPr>
              <w:t>分两次进行报价。</w:t>
            </w:r>
          </w:p>
          <w:p w14:paraId="6F2F75CE">
            <w:pPr>
              <w:spacing w:line="360" w:lineRule="auto"/>
              <w:jc w:val="left"/>
              <w:rPr>
                <w:rFonts w:hint="eastAsia" w:ascii="宋体" w:hAnsi="宋体" w:cs="宋体"/>
                <w:sz w:val="22"/>
                <w:szCs w:val="22"/>
              </w:rPr>
            </w:pPr>
            <w:r>
              <w:rPr>
                <w:rFonts w:hint="eastAsia" w:ascii="宋体" w:hAnsi="宋体" w:cs="宋体"/>
                <w:sz w:val="22"/>
                <w:szCs w:val="22"/>
                <w:lang w:val="en-US" w:eastAsia="zh-CN"/>
              </w:rPr>
              <w:t>注：1、</w:t>
            </w:r>
            <w:r>
              <w:rPr>
                <w:rFonts w:hint="eastAsia" w:ascii="宋体" w:hAnsi="宋体" w:cs="宋体"/>
                <w:sz w:val="22"/>
                <w:szCs w:val="22"/>
              </w:rPr>
              <w:t>供应商磋商总报价不得高于采购人公布的</w:t>
            </w:r>
            <w:r>
              <w:rPr>
                <w:rFonts w:hint="eastAsia" w:ascii="宋体" w:hAnsi="宋体" w:cs="宋体"/>
                <w:sz w:val="22"/>
                <w:szCs w:val="22"/>
                <w:lang w:val="en-US" w:eastAsia="zh-CN"/>
              </w:rPr>
              <w:t>最高限价</w:t>
            </w:r>
            <w:r>
              <w:rPr>
                <w:rFonts w:hint="eastAsia" w:ascii="宋体" w:hAnsi="宋体" w:cs="宋体"/>
                <w:sz w:val="22"/>
                <w:szCs w:val="22"/>
              </w:rPr>
              <w:t>，否则其</w:t>
            </w:r>
            <w:r>
              <w:rPr>
                <w:rFonts w:hint="eastAsia" w:ascii="宋体" w:hAnsi="宋体" w:cs="宋体"/>
                <w:sz w:val="22"/>
                <w:szCs w:val="22"/>
                <w:lang w:val="en-US" w:eastAsia="zh-CN"/>
              </w:rPr>
              <w:t>磋商</w:t>
            </w:r>
            <w:r>
              <w:rPr>
                <w:rFonts w:hint="eastAsia" w:ascii="宋体" w:hAnsi="宋体" w:cs="宋体"/>
                <w:sz w:val="22"/>
                <w:szCs w:val="22"/>
              </w:rPr>
              <w:t>将予否决。</w:t>
            </w:r>
          </w:p>
          <w:p w14:paraId="166BAF88">
            <w:pPr>
              <w:spacing w:line="360" w:lineRule="auto"/>
              <w:jc w:val="left"/>
              <w:rPr>
                <w:sz w:val="20"/>
                <w:szCs w:val="22"/>
              </w:rPr>
            </w:pPr>
            <w:r>
              <w:rPr>
                <w:rFonts w:hint="eastAsia" w:ascii="宋体" w:hAnsi="宋体" w:cs="宋体"/>
                <w:sz w:val="22"/>
                <w:szCs w:val="22"/>
                <w:lang w:val="en-US" w:eastAsia="zh-CN"/>
              </w:rPr>
              <w:t>2、</w:t>
            </w:r>
            <w:r>
              <w:rPr>
                <w:rFonts w:hint="eastAsia" w:ascii="宋体" w:hAnsi="宋体" w:cs="宋体"/>
                <w:sz w:val="22"/>
                <w:szCs w:val="22"/>
              </w:rPr>
              <w:t>磋商小组认为供应商的报价明显低于其他通过审查供应商的磋商报价，有可能影响质量或不能诚信履约的，应当要求其在磋商现场规定的合理时间内提供书面说明，或必要的材料；不能证明其报价合理性的，磋商小组将其视为无效磋商处理。</w:t>
            </w:r>
          </w:p>
        </w:tc>
      </w:tr>
      <w:tr w14:paraId="4A1AEF2C">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1E787D00">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28</w:t>
            </w:r>
          </w:p>
        </w:tc>
        <w:tc>
          <w:tcPr>
            <w:tcW w:w="1611" w:type="dxa"/>
            <w:tcBorders>
              <w:top w:val="single" w:color="auto" w:sz="6" w:space="0"/>
              <w:left w:val="single" w:color="auto" w:sz="6" w:space="0"/>
              <w:bottom w:val="single" w:color="auto" w:sz="6" w:space="0"/>
              <w:right w:val="single" w:color="auto" w:sz="6" w:space="0"/>
            </w:tcBorders>
            <w:vAlign w:val="center"/>
          </w:tcPr>
          <w:p w14:paraId="7EB7E2C8">
            <w:pPr>
              <w:adjustRightInd w:val="0"/>
              <w:spacing w:line="360" w:lineRule="auto"/>
              <w:rPr>
                <w:rFonts w:ascii="宋体" w:hAnsi="宋体" w:cs="宋体"/>
                <w:sz w:val="22"/>
                <w:szCs w:val="22"/>
              </w:rPr>
            </w:pPr>
            <w:r>
              <w:rPr>
                <w:rFonts w:hint="eastAsia" w:ascii="宋体" w:hAnsi="宋体" w:cs="宋体"/>
                <w:sz w:val="22"/>
                <w:szCs w:val="22"/>
              </w:rPr>
              <w:t>是否授权评审小组确定</w:t>
            </w:r>
            <w:r>
              <w:rPr>
                <w:rFonts w:hint="eastAsia" w:ascii="宋体" w:hAnsi="宋体" w:cs="宋体"/>
                <w:sz w:val="22"/>
                <w:szCs w:val="22"/>
                <w:lang w:eastAsia="zh-CN"/>
              </w:rPr>
              <w:t>成交</w:t>
            </w:r>
            <w:r>
              <w:rPr>
                <w:rFonts w:hint="eastAsia" w:ascii="宋体" w:hAnsi="宋体" w:cs="宋体"/>
                <w:sz w:val="22"/>
                <w:szCs w:val="22"/>
              </w:rPr>
              <w:t>人</w:t>
            </w:r>
          </w:p>
        </w:tc>
        <w:tc>
          <w:tcPr>
            <w:tcW w:w="6565" w:type="dxa"/>
            <w:tcBorders>
              <w:top w:val="single" w:color="auto" w:sz="6" w:space="0"/>
              <w:left w:val="single" w:color="auto" w:sz="6" w:space="0"/>
              <w:bottom w:val="single" w:color="auto" w:sz="6" w:space="0"/>
              <w:right w:val="single" w:color="auto" w:sz="12" w:space="0"/>
            </w:tcBorders>
            <w:vAlign w:val="center"/>
          </w:tcPr>
          <w:p w14:paraId="701D4693">
            <w:pPr>
              <w:adjustRightInd w:val="0"/>
              <w:spacing w:line="360" w:lineRule="auto"/>
              <w:rPr>
                <w:rFonts w:ascii="宋体" w:hAnsi="宋体" w:cs="宋体"/>
                <w:sz w:val="22"/>
                <w:szCs w:val="22"/>
              </w:rPr>
            </w:pPr>
            <w:r>
              <w:rPr>
                <w:rFonts w:hint="eastAsia" w:ascii="宋体" w:hAnsi="宋体" w:cs="宋体"/>
                <w:sz w:val="22"/>
                <w:szCs w:val="22"/>
              </w:rPr>
              <w:t>否，推荐3名</w:t>
            </w:r>
            <w:r>
              <w:rPr>
                <w:rFonts w:hint="eastAsia" w:ascii="宋体" w:hAnsi="宋体" w:cs="宋体"/>
                <w:sz w:val="22"/>
                <w:szCs w:val="22"/>
                <w:lang w:eastAsia="zh-CN"/>
              </w:rPr>
              <w:t>成交</w:t>
            </w:r>
            <w:r>
              <w:rPr>
                <w:rFonts w:hint="eastAsia" w:ascii="宋体" w:hAnsi="宋体" w:cs="宋体"/>
                <w:sz w:val="22"/>
                <w:szCs w:val="22"/>
              </w:rPr>
              <w:t>候选人；若排名第一的</w:t>
            </w:r>
            <w:r>
              <w:rPr>
                <w:rFonts w:hint="eastAsia" w:ascii="宋体" w:hAnsi="宋体" w:cs="宋体"/>
                <w:sz w:val="22"/>
                <w:szCs w:val="22"/>
                <w:lang w:eastAsia="zh-CN"/>
              </w:rPr>
              <w:t>成交</w:t>
            </w:r>
            <w:r>
              <w:rPr>
                <w:rFonts w:hint="eastAsia" w:ascii="宋体" w:hAnsi="宋体" w:cs="宋体"/>
                <w:sz w:val="22"/>
                <w:szCs w:val="22"/>
              </w:rPr>
              <w:t>候选人自愿放弃</w:t>
            </w:r>
            <w:r>
              <w:rPr>
                <w:rFonts w:hint="eastAsia" w:ascii="宋体" w:hAnsi="宋体" w:cs="宋体"/>
                <w:sz w:val="22"/>
                <w:szCs w:val="22"/>
                <w:lang w:eastAsia="zh-CN"/>
              </w:rPr>
              <w:t>成交</w:t>
            </w:r>
            <w:r>
              <w:rPr>
                <w:rFonts w:hint="eastAsia" w:ascii="宋体" w:hAnsi="宋体" w:cs="宋体"/>
                <w:sz w:val="22"/>
                <w:szCs w:val="22"/>
              </w:rPr>
              <w:t>、或因不可抗力不能履行合同、或被查实存在影响</w:t>
            </w:r>
            <w:r>
              <w:rPr>
                <w:rFonts w:hint="eastAsia" w:ascii="宋体" w:hAnsi="宋体" w:cs="宋体"/>
                <w:sz w:val="22"/>
                <w:szCs w:val="22"/>
                <w:lang w:eastAsia="zh-CN"/>
              </w:rPr>
              <w:t>成交</w:t>
            </w:r>
            <w:r>
              <w:rPr>
                <w:rFonts w:hint="eastAsia" w:ascii="宋体" w:hAnsi="宋体" w:cs="宋体"/>
                <w:sz w:val="22"/>
                <w:szCs w:val="22"/>
              </w:rPr>
              <w:t>结果的违法行为等情形，不符合</w:t>
            </w:r>
            <w:r>
              <w:rPr>
                <w:rFonts w:hint="eastAsia" w:ascii="宋体" w:hAnsi="宋体" w:cs="宋体"/>
                <w:sz w:val="22"/>
                <w:szCs w:val="22"/>
                <w:lang w:eastAsia="zh-CN"/>
              </w:rPr>
              <w:t>成交</w:t>
            </w:r>
            <w:r>
              <w:rPr>
                <w:rFonts w:hint="eastAsia" w:ascii="宋体" w:hAnsi="宋体" w:cs="宋体"/>
                <w:sz w:val="22"/>
                <w:szCs w:val="22"/>
              </w:rPr>
              <w:t>条件的，采购人可按照评审小组推荐的</w:t>
            </w:r>
            <w:r>
              <w:rPr>
                <w:rFonts w:hint="eastAsia" w:ascii="宋体" w:hAnsi="宋体" w:cs="宋体"/>
                <w:sz w:val="22"/>
                <w:szCs w:val="22"/>
                <w:lang w:eastAsia="zh-CN"/>
              </w:rPr>
              <w:t>成交</w:t>
            </w:r>
            <w:r>
              <w:rPr>
                <w:rFonts w:hint="eastAsia" w:ascii="宋体" w:hAnsi="宋体" w:cs="宋体"/>
                <w:sz w:val="22"/>
                <w:szCs w:val="22"/>
              </w:rPr>
              <w:t>候选人名单排序依次确定</w:t>
            </w:r>
            <w:r>
              <w:rPr>
                <w:rFonts w:hint="eastAsia" w:ascii="宋体" w:hAnsi="宋体" w:cs="宋体"/>
                <w:sz w:val="22"/>
                <w:szCs w:val="22"/>
                <w:lang w:eastAsia="zh-CN"/>
              </w:rPr>
              <w:t>成交</w:t>
            </w:r>
            <w:r>
              <w:rPr>
                <w:rFonts w:hint="eastAsia" w:ascii="宋体" w:hAnsi="宋体" w:cs="宋体"/>
                <w:sz w:val="22"/>
                <w:szCs w:val="22"/>
              </w:rPr>
              <w:t>人</w:t>
            </w:r>
          </w:p>
        </w:tc>
      </w:tr>
      <w:tr w14:paraId="70D43FCF">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3ECD44B8">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29</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14:paraId="71D0CEA9">
            <w:pPr>
              <w:spacing w:line="360" w:lineRule="auto"/>
              <w:jc w:val="center"/>
              <w:rPr>
                <w:rFonts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14:textFill>
                  <w14:solidFill>
                    <w14:schemeClr w14:val="tx1"/>
                  </w14:solidFill>
                </w14:textFill>
              </w:rPr>
              <w:t>响应文件份数</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67E2ED7F">
            <w:pPr>
              <w:spacing w:line="360" w:lineRule="auto"/>
              <w:rPr>
                <w:rFonts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14:textFill>
                  <w14:solidFill>
                    <w14:schemeClr w14:val="tx1"/>
                  </w14:solidFill>
                </w14:textFill>
              </w:rPr>
              <w:t>1、本项目采用全过程电子化</w:t>
            </w:r>
            <w:r>
              <w:rPr>
                <w:rFonts w:hint="eastAsia" w:ascii="宋体" w:hAnsi="宋体" w:eastAsia="宋体" w:cs="Times New Roman"/>
                <w:color w:val="000000" w:themeColor="text1"/>
                <w:sz w:val="22"/>
                <w:szCs w:val="22"/>
                <w:lang w:val="en-US" w:eastAsia="zh-CN"/>
                <w14:textFill>
                  <w14:solidFill>
                    <w14:schemeClr w14:val="tx1"/>
                  </w14:solidFill>
                </w14:textFill>
              </w:rPr>
              <w:t>磋商</w:t>
            </w:r>
            <w:r>
              <w:rPr>
                <w:rFonts w:hint="eastAsia" w:ascii="宋体" w:hAnsi="宋体" w:eastAsia="宋体" w:cs="Times New Roman"/>
                <w:color w:val="000000" w:themeColor="text1"/>
                <w:sz w:val="22"/>
                <w:szCs w:val="22"/>
                <w14:textFill>
                  <w14:solidFill>
                    <w14:schemeClr w14:val="tx1"/>
                  </w14:solidFill>
                </w14:textFill>
              </w:rPr>
              <w:t>，供应商需用 CA 在电子平台上传电子响应文件；</w:t>
            </w:r>
          </w:p>
          <w:p w14:paraId="67111262">
            <w:pPr>
              <w:spacing w:line="360" w:lineRule="auto"/>
              <w:rPr>
                <w:rFonts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14:textFill>
                  <w14:solidFill>
                    <w14:schemeClr w14:val="tx1"/>
                  </w14:solidFill>
                </w14:textFill>
              </w:rPr>
              <w:t>2、开标时不再递交纸质响应文件</w:t>
            </w:r>
          </w:p>
        </w:tc>
      </w:tr>
      <w:tr w14:paraId="39002F48">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05E9AE6B">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30</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14:paraId="5742939C">
            <w:pPr>
              <w:spacing w:line="360" w:lineRule="auto"/>
              <w:jc w:val="center"/>
              <w:rPr>
                <w:rFonts w:ascii="宋体" w:hAnsi="宋体" w:eastAsia="宋体" w:cs="Times New Roman"/>
                <w:sz w:val="22"/>
                <w:szCs w:val="22"/>
              </w:rPr>
            </w:pPr>
            <w:r>
              <w:rPr>
                <w:rFonts w:hint="eastAsia" w:ascii="宋体" w:hAnsi="宋体" w:eastAsia="宋体" w:cs="Times New Roman"/>
                <w:sz w:val="22"/>
                <w:szCs w:val="22"/>
              </w:rPr>
              <w:t>响应文件递交</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1FDB410A">
            <w:pPr>
              <w:spacing w:line="360" w:lineRule="auto"/>
              <w:rPr>
                <w:rFonts w:ascii="宋体" w:hAnsi="宋体" w:eastAsia="宋体" w:cs="Times New Roman"/>
                <w:sz w:val="22"/>
                <w:szCs w:val="22"/>
              </w:rPr>
            </w:pPr>
            <w:r>
              <w:rPr>
                <w:rFonts w:hint="eastAsia" w:ascii="宋体" w:hAnsi="宋体" w:eastAsia="宋体" w:cs="Times New Roman"/>
                <w:sz w:val="22"/>
                <w:szCs w:val="22"/>
              </w:rPr>
              <w:t>电子响应文件的电子版用企业和法人CA数字证书在磋商截止时间前上传至“三门峡市公共资源交易中心网站”。</w:t>
            </w:r>
          </w:p>
        </w:tc>
      </w:tr>
      <w:tr w14:paraId="126CB0A3">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7613844B">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31</w:t>
            </w:r>
          </w:p>
        </w:tc>
        <w:tc>
          <w:tcPr>
            <w:tcW w:w="1611" w:type="dxa"/>
            <w:tcBorders>
              <w:top w:val="single" w:color="auto" w:sz="6" w:space="0"/>
              <w:left w:val="single" w:color="auto" w:sz="6" w:space="0"/>
              <w:bottom w:val="single" w:color="auto" w:sz="6" w:space="0"/>
              <w:right w:val="single" w:color="auto" w:sz="6" w:space="0"/>
            </w:tcBorders>
            <w:vAlign w:val="center"/>
          </w:tcPr>
          <w:p w14:paraId="6BFE33B1">
            <w:pPr>
              <w:adjustRightInd w:val="0"/>
              <w:spacing w:line="360" w:lineRule="auto"/>
              <w:rPr>
                <w:rFonts w:ascii="宋体" w:hAnsi="宋体" w:cs="宋体"/>
                <w:sz w:val="22"/>
                <w:szCs w:val="22"/>
              </w:rPr>
            </w:pPr>
            <w:r>
              <w:rPr>
                <w:rFonts w:hint="eastAsia" w:ascii="宋体" w:hAnsi="宋体" w:cs="宋体"/>
                <w:sz w:val="22"/>
                <w:szCs w:val="22"/>
              </w:rPr>
              <w:t>开标时间和地点</w:t>
            </w:r>
          </w:p>
        </w:tc>
        <w:tc>
          <w:tcPr>
            <w:tcW w:w="6565" w:type="dxa"/>
            <w:tcBorders>
              <w:top w:val="single" w:color="auto" w:sz="6" w:space="0"/>
              <w:left w:val="single" w:color="auto" w:sz="6" w:space="0"/>
              <w:bottom w:val="single" w:color="auto" w:sz="6" w:space="0"/>
              <w:right w:val="single" w:color="auto" w:sz="12" w:space="0"/>
            </w:tcBorders>
            <w:vAlign w:val="center"/>
          </w:tcPr>
          <w:p w14:paraId="2283FDB0">
            <w:pPr>
              <w:adjustRightInd w:val="0"/>
              <w:spacing w:line="360" w:lineRule="auto"/>
              <w:rPr>
                <w:rFonts w:ascii="宋体" w:hAnsi="宋体" w:cs="宋体"/>
                <w:sz w:val="22"/>
                <w:szCs w:val="22"/>
              </w:rPr>
            </w:pPr>
            <w:r>
              <w:rPr>
                <w:rFonts w:hint="eastAsia" w:ascii="宋体" w:hAnsi="宋体" w:cs="宋体"/>
                <w:sz w:val="22"/>
                <w:szCs w:val="22"/>
              </w:rPr>
              <w:t>开标时间：详见公告部分</w:t>
            </w:r>
          </w:p>
          <w:p w14:paraId="4461B6CA">
            <w:pPr>
              <w:adjustRightInd w:val="0"/>
              <w:spacing w:line="360" w:lineRule="auto"/>
              <w:rPr>
                <w:rFonts w:ascii="宋体" w:hAnsi="宋体" w:cs="宋体"/>
                <w:sz w:val="22"/>
                <w:szCs w:val="22"/>
              </w:rPr>
            </w:pPr>
            <w:r>
              <w:rPr>
                <w:rFonts w:hint="eastAsia" w:ascii="宋体" w:hAnsi="宋体" w:cs="宋体"/>
                <w:sz w:val="22"/>
                <w:szCs w:val="22"/>
              </w:rPr>
              <w:t>开标地点：详见公告部分</w:t>
            </w:r>
          </w:p>
        </w:tc>
      </w:tr>
      <w:tr w14:paraId="368E790C">
        <w:tblPrEx>
          <w:tblCellMar>
            <w:top w:w="0" w:type="dxa"/>
            <w:left w:w="108" w:type="dxa"/>
            <w:bottom w:w="0" w:type="dxa"/>
            <w:right w:w="108" w:type="dxa"/>
          </w:tblCellMar>
        </w:tblPrEx>
        <w:trPr>
          <w:trHeight w:val="694" w:hRule="atLeast"/>
        </w:trPr>
        <w:tc>
          <w:tcPr>
            <w:tcW w:w="828" w:type="dxa"/>
            <w:vMerge w:val="restart"/>
            <w:tcBorders>
              <w:top w:val="single" w:color="auto" w:sz="6" w:space="0"/>
              <w:left w:val="single" w:color="auto" w:sz="12" w:space="0"/>
              <w:right w:val="single" w:color="auto" w:sz="6" w:space="0"/>
            </w:tcBorders>
            <w:vAlign w:val="center"/>
          </w:tcPr>
          <w:p w14:paraId="0C2EC487">
            <w:pPr>
              <w:adjustRightInd w:val="0"/>
              <w:spacing w:line="360" w:lineRule="auto"/>
              <w:jc w:val="center"/>
              <w:rPr>
                <w:rFonts w:ascii="宋体" w:hAnsi="宋体" w:eastAsia="宋体" w:cs="宋体"/>
                <w:spacing w:val="6"/>
                <w:sz w:val="22"/>
                <w:szCs w:val="22"/>
              </w:rPr>
            </w:pPr>
            <w:r>
              <w:rPr>
                <w:rFonts w:hint="eastAsia" w:ascii="宋体" w:hAnsi="宋体" w:cs="宋体"/>
                <w:spacing w:val="6"/>
                <w:sz w:val="22"/>
                <w:szCs w:val="22"/>
              </w:rPr>
              <w:t>32</w:t>
            </w:r>
          </w:p>
        </w:tc>
        <w:tc>
          <w:tcPr>
            <w:tcW w:w="1611" w:type="dxa"/>
            <w:vMerge w:val="restart"/>
            <w:tcBorders>
              <w:top w:val="single" w:color="auto" w:sz="6" w:space="0"/>
              <w:left w:val="single" w:color="auto" w:sz="6" w:space="0"/>
              <w:right w:val="single" w:color="auto" w:sz="6" w:space="0"/>
            </w:tcBorders>
            <w:vAlign w:val="center"/>
          </w:tcPr>
          <w:p w14:paraId="4D4F3CAE">
            <w:pPr>
              <w:adjustRightInd w:val="0"/>
              <w:spacing w:line="360" w:lineRule="auto"/>
              <w:rPr>
                <w:rFonts w:ascii="宋体" w:hAnsi="宋体" w:cs="宋体"/>
                <w:sz w:val="22"/>
                <w:szCs w:val="22"/>
              </w:rPr>
            </w:pPr>
            <w:r>
              <w:rPr>
                <w:rFonts w:hint="eastAsia" w:ascii="宋体" w:hAnsi="宋体" w:cs="宋体"/>
                <w:sz w:val="22"/>
                <w:szCs w:val="22"/>
              </w:rPr>
              <w:t>供应商提出问题的截止时间</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38E8BDC2">
            <w:pPr>
              <w:spacing w:line="480" w:lineRule="exact"/>
              <w:rPr>
                <w:rFonts w:ascii="宋体" w:hAnsi="宋体" w:eastAsia="宋体" w:cs="Times New Roman"/>
                <w:color w:val="000000" w:themeColor="text1"/>
                <w:sz w:val="22"/>
                <w:szCs w:val="22"/>
                <w14:textFill>
                  <w14:solidFill>
                    <w14:schemeClr w14:val="tx1"/>
                  </w14:solidFill>
                </w14:textFill>
              </w:rPr>
            </w:pPr>
            <w:r>
              <w:rPr>
                <w:rFonts w:hint="eastAsia" w:ascii="宋体" w:hAnsi="宋体"/>
                <w:sz w:val="22"/>
                <w:szCs w:val="22"/>
              </w:rPr>
              <w:t>时间：提交首次响应文件截止时间前</w:t>
            </w:r>
            <w:r>
              <w:rPr>
                <w:rFonts w:ascii="宋体" w:hAnsi="宋体"/>
                <w:sz w:val="22"/>
                <w:szCs w:val="22"/>
                <w:u w:val="single"/>
              </w:rPr>
              <w:t>5</w:t>
            </w:r>
            <w:r>
              <w:rPr>
                <w:rFonts w:hint="eastAsia" w:ascii="宋体" w:hAnsi="宋体"/>
                <w:sz w:val="22"/>
                <w:szCs w:val="22"/>
              </w:rPr>
              <w:t>日</w:t>
            </w:r>
          </w:p>
        </w:tc>
      </w:tr>
      <w:tr w14:paraId="1B1766BB">
        <w:tblPrEx>
          <w:tblCellMar>
            <w:top w:w="0" w:type="dxa"/>
            <w:left w:w="108" w:type="dxa"/>
            <w:bottom w:w="0" w:type="dxa"/>
            <w:right w:w="108" w:type="dxa"/>
          </w:tblCellMar>
        </w:tblPrEx>
        <w:trPr>
          <w:trHeight w:val="694" w:hRule="atLeast"/>
        </w:trPr>
        <w:tc>
          <w:tcPr>
            <w:tcW w:w="828" w:type="dxa"/>
            <w:vMerge w:val="continue"/>
            <w:tcBorders>
              <w:left w:val="single" w:color="auto" w:sz="12" w:space="0"/>
              <w:bottom w:val="single" w:color="auto" w:sz="6" w:space="0"/>
              <w:right w:val="single" w:color="auto" w:sz="6" w:space="0"/>
            </w:tcBorders>
            <w:vAlign w:val="center"/>
          </w:tcPr>
          <w:p w14:paraId="1B69E4AF">
            <w:pPr>
              <w:adjustRightInd w:val="0"/>
              <w:spacing w:line="360" w:lineRule="auto"/>
              <w:rPr>
                <w:sz w:val="20"/>
                <w:szCs w:val="22"/>
              </w:rPr>
            </w:pPr>
          </w:p>
        </w:tc>
        <w:tc>
          <w:tcPr>
            <w:tcW w:w="1611" w:type="dxa"/>
            <w:vMerge w:val="continue"/>
            <w:tcBorders>
              <w:left w:val="single" w:color="auto" w:sz="6" w:space="0"/>
              <w:bottom w:val="single" w:color="auto" w:sz="6" w:space="0"/>
              <w:right w:val="single" w:color="auto" w:sz="6" w:space="0"/>
            </w:tcBorders>
            <w:vAlign w:val="center"/>
          </w:tcPr>
          <w:p w14:paraId="21BC8CFE">
            <w:pPr>
              <w:adjustRightInd w:val="0"/>
              <w:spacing w:line="360" w:lineRule="auto"/>
              <w:rPr>
                <w:sz w:val="20"/>
                <w:szCs w:val="22"/>
              </w:rPr>
            </w:pP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1BA34784">
            <w:pPr>
              <w:spacing w:line="480" w:lineRule="exact"/>
              <w:rPr>
                <w:rFonts w:ascii="宋体" w:hAnsi="宋体"/>
                <w:sz w:val="22"/>
                <w:szCs w:val="22"/>
              </w:rPr>
            </w:pPr>
            <w:r>
              <w:rPr>
                <w:rFonts w:hint="eastAsia" w:ascii="宋体" w:hAnsi="宋体"/>
                <w:sz w:val="22"/>
                <w:szCs w:val="22"/>
              </w:rPr>
              <w:t>形式：在三门峡市公共资源交易中心系统平台提出</w:t>
            </w:r>
          </w:p>
        </w:tc>
      </w:tr>
      <w:tr w14:paraId="203F097B">
        <w:tblPrEx>
          <w:tblCellMar>
            <w:top w:w="0" w:type="dxa"/>
            <w:left w:w="108" w:type="dxa"/>
            <w:bottom w:w="0" w:type="dxa"/>
            <w:right w:w="108" w:type="dxa"/>
          </w:tblCellMar>
        </w:tblPrEx>
        <w:trPr>
          <w:trHeight w:val="694" w:hRule="atLeast"/>
        </w:trPr>
        <w:tc>
          <w:tcPr>
            <w:tcW w:w="828" w:type="dxa"/>
            <w:tcBorders>
              <w:left w:val="single" w:color="auto" w:sz="12" w:space="0"/>
              <w:bottom w:val="single" w:color="auto" w:sz="6" w:space="0"/>
              <w:right w:val="single" w:color="auto" w:sz="6" w:space="0"/>
            </w:tcBorders>
            <w:vAlign w:val="center"/>
          </w:tcPr>
          <w:p w14:paraId="75455ABF">
            <w:pPr>
              <w:adjustRightInd w:val="0"/>
              <w:spacing w:line="360" w:lineRule="auto"/>
              <w:jc w:val="center"/>
              <w:rPr>
                <w:sz w:val="20"/>
                <w:szCs w:val="22"/>
              </w:rPr>
            </w:pPr>
            <w:r>
              <w:rPr>
                <w:rFonts w:hint="eastAsia"/>
                <w:sz w:val="20"/>
                <w:szCs w:val="22"/>
              </w:rPr>
              <w:t>33</w:t>
            </w:r>
          </w:p>
        </w:tc>
        <w:tc>
          <w:tcPr>
            <w:tcW w:w="1611" w:type="dxa"/>
            <w:tcBorders>
              <w:left w:val="single" w:color="auto" w:sz="6" w:space="0"/>
              <w:bottom w:val="single" w:color="auto" w:sz="6" w:space="0"/>
              <w:right w:val="single" w:color="auto" w:sz="6" w:space="0"/>
            </w:tcBorders>
            <w:shd w:val="clear" w:color="auto" w:fill="auto"/>
            <w:vAlign w:val="center"/>
          </w:tcPr>
          <w:p w14:paraId="56B183D8">
            <w:pPr>
              <w:spacing w:line="360" w:lineRule="auto"/>
              <w:jc w:val="center"/>
              <w:rPr>
                <w:rFonts w:ascii="宋体" w:hAnsi="宋体"/>
                <w:sz w:val="22"/>
                <w:szCs w:val="22"/>
              </w:rPr>
            </w:pPr>
            <w:r>
              <w:rPr>
                <w:rFonts w:hint="eastAsia" w:ascii="宋体" w:hAnsi="宋体"/>
                <w:sz w:val="22"/>
                <w:szCs w:val="22"/>
              </w:rPr>
              <w:t>竞争性磋商文件澄清发出的形式</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671FBFD0">
            <w:pPr>
              <w:spacing w:line="480" w:lineRule="exact"/>
              <w:rPr>
                <w:rFonts w:ascii="宋体" w:hAnsi="宋体"/>
                <w:sz w:val="22"/>
                <w:szCs w:val="22"/>
              </w:rPr>
            </w:pPr>
            <w:r>
              <w:rPr>
                <w:rFonts w:hint="eastAsia" w:ascii="宋体" w:hAnsi="宋体"/>
                <w:sz w:val="22"/>
                <w:szCs w:val="22"/>
              </w:rPr>
              <w:t>通过三门峡市公共资源交易中心系统平台发布且同时在原公告媒体发布澄清公告</w:t>
            </w:r>
          </w:p>
        </w:tc>
      </w:tr>
      <w:tr w14:paraId="01B5062B">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39D7FD87">
            <w:pPr>
              <w:adjustRightInd w:val="0"/>
              <w:spacing w:line="360" w:lineRule="auto"/>
              <w:jc w:val="center"/>
              <w:rPr>
                <w:rFonts w:ascii="宋体" w:hAnsi="宋体" w:eastAsia="宋体" w:cs="宋体"/>
                <w:spacing w:val="6"/>
                <w:sz w:val="22"/>
                <w:szCs w:val="22"/>
              </w:rPr>
            </w:pPr>
            <w:r>
              <w:rPr>
                <w:rFonts w:hint="eastAsia" w:ascii="宋体" w:hAnsi="宋体" w:cs="宋体"/>
                <w:spacing w:val="6"/>
                <w:sz w:val="22"/>
                <w:szCs w:val="22"/>
              </w:rPr>
              <w:t>34</w:t>
            </w:r>
          </w:p>
        </w:tc>
        <w:tc>
          <w:tcPr>
            <w:tcW w:w="1611" w:type="dxa"/>
            <w:tcBorders>
              <w:top w:val="single" w:color="auto" w:sz="6" w:space="0"/>
              <w:left w:val="single" w:color="auto" w:sz="6" w:space="0"/>
              <w:bottom w:val="single" w:color="auto" w:sz="6" w:space="0"/>
              <w:right w:val="single" w:color="auto" w:sz="6" w:space="0"/>
            </w:tcBorders>
            <w:vAlign w:val="center"/>
          </w:tcPr>
          <w:p w14:paraId="69CC9BF2">
            <w:pPr>
              <w:adjustRightInd w:val="0"/>
              <w:spacing w:line="360" w:lineRule="auto"/>
              <w:rPr>
                <w:rFonts w:ascii="宋体" w:hAnsi="宋体" w:cs="宋体"/>
                <w:sz w:val="22"/>
                <w:szCs w:val="22"/>
              </w:rPr>
            </w:pPr>
            <w:r>
              <w:rPr>
                <w:rFonts w:hint="eastAsia" w:ascii="宋体" w:hAnsi="宋体" w:cs="宋体"/>
                <w:sz w:val="22"/>
                <w:szCs w:val="22"/>
              </w:rPr>
              <w:t>采购人书面澄清的时间</w:t>
            </w:r>
          </w:p>
        </w:tc>
        <w:tc>
          <w:tcPr>
            <w:tcW w:w="6565" w:type="dxa"/>
            <w:tcBorders>
              <w:top w:val="single" w:color="auto" w:sz="6" w:space="0"/>
              <w:left w:val="single" w:color="auto" w:sz="6" w:space="0"/>
              <w:bottom w:val="single" w:color="auto" w:sz="6" w:space="0"/>
              <w:right w:val="single" w:color="auto" w:sz="12" w:space="0"/>
            </w:tcBorders>
            <w:vAlign w:val="center"/>
          </w:tcPr>
          <w:p w14:paraId="1BA42E54">
            <w:pPr>
              <w:adjustRightInd w:val="0"/>
              <w:spacing w:line="360" w:lineRule="auto"/>
              <w:rPr>
                <w:rFonts w:ascii="宋体" w:hAnsi="宋体" w:cs="宋体"/>
                <w:sz w:val="22"/>
                <w:szCs w:val="22"/>
              </w:rPr>
            </w:pPr>
            <w:r>
              <w:rPr>
                <w:rFonts w:hint="eastAsia" w:ascii="宋体" w:hAnsi="宋体" w:cs="宋体"/>
                <w:sz w:val="22"/>
                <w:szCs w:val="22"/>
              </w:rPr>
              <w:t>递交响应文件的截止之日5日前</w:t>
            </w:r>
          </w:p>
        </w:tc>
      </w:tr>
      <w:tr w14:paraId="583A6FF7">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3B3C819B">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35</w:t>
            </w:r>
          </w:p>
        </w:tc>
        <w:tc>
          <w:tcPr>
            <w:tcW w:w="1611" w:type="dxa"/>
            <w:tcBorders>
              <w:top w:val="single" w:color="auto" w:sz="6" w:space="0"/>
              <w:left w:val="single" w:color="auto" w:sz="6" w:space="0"/>
              <w:bottom w:val="single" w:color="auto" w:sz="6" w:space="0"/>
              <w:right w:val="single" w:color="auto" w:sz="6" w:space="0"/>
            </w:tcBorders>
            <w:vAlign w:val="center"/>
          </w:tcPr>
          <w:p w14:paraId="3C352070">
            <w:pPr>
              <w:adjustRightInd w:val="0"/>
              <w:spacing w:line="360" w:lineRule="auto"/>
              <w:jc w:val="center"/>
              <w:rPr>
                <w:rFonts w:ascii="宋体" w:hAnsi="宋体" w:cs="宋体"/>
                <w:sz w:val="22"/>
                <w:szCs w:val="22"/>
              </w:rPr>
            </w:pPr>
            <w:r>
              <w:rPr>
                <w:rFonts w:hint="eastAsia" w:ascii="宋体" w:hAnsi="宋体" w:cs="宋体"/>
                <w:sz w:val="22"/>
                <w:szCs w:val="22"/>
              </w:rPr>
              <w:t>偏离</w:t>
            </w:r>
          </w:p>
        </w:tc>
        <w:tc>
          <w:tcPr>
            <w:tcW w:w="6565" w:type="dxa"/>
            <w:tcBorders>
              <w:top w:val="single" w:color="auto" w:sz="6" w:space="0"/>
              <w:left w:val="single" w:color="auto" w:sz="6" w:space="0"/>
              <w:bottom w:val="single" w:color="auto" w:sz="6" w:space="0"/>
              <w:right w:val="single" w:color="auto" w:sz="12" w:space="0"/>
            </w:tcBorders>
            <w:vAlign w:val="center"/>
          </w:tcPr>
          <w:p w14:paraId="3C6974A8">
            <w:pPr>
              <w:spacing w:line="480" w:lineRule="exact"/>
              <w:jc w:val="left"/>
              <w:rPr>
                <w:rFonts w:ascii="宋体" w:hAnsi="宋体" w:cs="宋体"/>
                <w:sz w:val="22"/>
                <w:szCs w:val="22"/>
              </w:rPr>
            </w:pPr>
            <w:r>
              <w:rPr>
                <w:rFonts w:hint="eastAsia" w:ascii="宋体" w:hAnsi="宋体" w:cs="宋体"/>
                <w:sz w:val="22"/>
                <w:szCs w:val="22"/>
              </w:rPr>
              <w:t>不允许</w:t>
            </w:r>
          </w:p>
        </w:tc>
      </w:tr>
      <w:tr w14:paraId="0A4425E0">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1EB003DE">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36</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14:paraId="351758E0">
            <w:pPr>
              <w:adjustRightInd w:val="0"/>
              <w:snapToGrid w:val="0"/>
              <w:spacing w:line="360" w:lineRule="auto"/>
              <w:rPr>
                <w:rFonts w:ascii="宋体" w:hAnsi="宋体" w:cs="宋体"/>
                <w:spacing w:val="11"/>
                <w:sz w:val="22"/>
                <w:szCs w:val="22"/>
              </w:rPr>
            </w:pPr>
            <w:r>
              <w:rPr>
                <w:rFonts w:hint="eastAsia" w:ascii="宋体" w:hAnsi="宋体" w:cs="宋体"/>
                <w:spacing w:val="11"/>
                <w:sz w:val="22"/>
                <w:szCs w:val="22"/>
              </w:rPr>
              <w:t>构成磋商文件的其他材料</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767B2D1B">
            <w:pPr>
              <w:adjustRightInd w:val="0"/>
              <w:snapToGrid w:val="0"/>
              <w:spacing w:line="360" w:lineRule="auto"/>
              <w:rPr>
                <w:rFonts w:ascii="宋体" w:hAnsi="宋体" w:cs="宋体"/>
                <w:spacing w:val="11"/>
                <w:sz w:val="22"/>
                <w:szCs w:val="22"/>
              </w:rPr>
            </w:pPr>
            <w:r>
              <w:rPr>
                <w:rFonts w:hint="eastAsia" w:ascii="宋体" w:hAnsi="宋体" w:cs="宋体"/>
                <w:spacing w:val="11"/>
                <w:sz w:val="22"/>
                <w:szCs w:val="22"/>
              </w:rPr>
              <w:t>采购人在磋商期间发出的竞争性磋商文件修改、磋商答疑纪要及澄清</w:t>
            </w:r>
            <w:r>
              <w:rPr>
                <w:rFonts w:hint="eastAsia" w:ascii="宋体" w:hAnsi="宋体" w:cs="宋体"/>
                <w:sz w:val="22"/>
                <w:szCs w:val="22"/>
              </w:rPr>
              <w:t>等均是竞争性磋商文件的组成部分</w:t>
            </w:r>
          </w:p>
        </w:tc>
      </w:tr>
      <w:tr w14:paraId="4940A1E2">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47AF7C30">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37</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14:paraId="18B24C81">
            <w:pPr>
              <w:adjustRightInd w:val="0"/>
              <w:snapToGrid w:val="0"/>
              <w:spacing w:line="360" w:lineRule="auto"/>
              <w:rPr>
                <w:rFonts w:ascii="宋体" w:hAnsi="宋体" w:cs="宋体"/>
                <w:spacing w:val="11"/>
                <w:sz w:val="22"/>
                <w:szCs w:val="22"/>
              </w:rPr>
            </w:pPr>
            <w:r>
              <w:rPr>
                <w:rFonts w:hint="eastAsia" w:ascii="宋体" w:hAnsi="宋体" w:cs="宋体"/>
                <w:spacing w:val="11"/>
                <w:sz w:val="22"/>
                <w:szCs w:val="22"/>
              </w:rPr>
              <w:t>供应商确认收到磋商文件澄清的时间</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6083FD26">
            <w:pPr>
              <w:adjustRightInd w:val="0"/>
              <w:snapToGrid w:val="0"/>
              <w:spacing w:line="360" w:lineRule="auto"/>
              <w:rPr>
                <w:rFonts w:ascii="宋体" w:hAnsi="宋体" w:cs="宋体"/>
                <w:spacing w:val="11"/>
                <w:sz w:val="22"/>
                <w:szCs w:val="22"/>
              </w:rPr>
            </w:pPr>
            <w:r>
              <w:rPr>
                <w:rFonts w:hint="eastAsia" w:ascii="宋体" w:hAnsi="宋体" w:cs="宋体"/>
                <w:spacing w:val="11"/>
                <w:sz w:val="22"/>
                <w:szCs w:val="22"/>
              </w:rPr>
              <w:t>收到澄清后24小时内（以发出时间为准）</w:t>
            </w:r>
          </w:p>
        </w:tc>
      </w:tr>
      <w:tr w14:paraId="400EFE30">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29BAF385">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38</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14:paraId="511C40B7">
            <w:pPr>
              <w:adjustRightInd w:val="0"/>
              <w:snapToGrid w:val="0"/>
              <w:spacing w:line="360" w:lineRule="auto"/>
              <w:rPr>
                <w:rFonts w:ascii="宋体" w:hAnsi="宋体" w:cs="宋体"/>
                <w:spacing w:val="11"/>
                <w:sz w:val="22"/>
                <w:szCs w:val="22"/>
              </w:rPr>
            </w:pPr>
            <w:r>
              <w:rPr>
                <w:rFonts w:hint="eastAsia" w:ascii="宋体" w:hAnsi="宋体" w:cs="宋体"/>
                <w:spacing w:val="11"/>
                <w:sz w:val="22"/>
                <w:szCs w:val="22"/>
              </w:rPr>
              <w:t>供应商确认收到磋商文件修改的时间</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0445A68B">
            <w:pPr>
              <w:adjustRightInd w:val="0"/>
              <w:snapToGrid w:val="0"/>
              <w:spacing w:line="360" w:lineRule="auto"/>
              <w:rPr>
                <w:rFonts w:ascii="宋体" w:hAnsi="宋体" w:cs="宋体"/>
                <w:spacing w:val="11"/>
                <w:sz w:val="22"/>
                <w:szCs w:val="22"/>
              </w:rPr>
            </w:pPr>
            <w:r>
              <w:rPr>
                <w:rFonts w:hint="eastAsia" w:ascii="宋体" w:hAnsi="宋体" w:cs="宋体"/>
                <w:spacing w:val="11"/>
                <w:sz w:val="22"/>
                <w:szCs w:val="22"/>
              </w:rPr>
              <w:t>收到澄清后24小时内（以发出时间为准）</w:t>
            </w:r>
          </w:p>
        </w:tc>
      </w:tr>
      <w:tr w14:paraId="06926B38">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76BA077E">
            <w:pPr>
              <w:adjustRightInd w:val="0"/>
              <w:spacing w:line="360" w:lineRule="auto"/>
              <w:jc w:val="center"/>
              <w:rPr>
                <w:rFonts w:ascii="宋体" w:hAnsi="宋体" w:cs="宋体"/>
                <w:spacing w:val="6"/>
                <w:sz w:val="22"/>
                <w:szCs w:val="22"/>
              </w:rPr>
            </w:pPr>
            <w:r>
              <w:rPr>
                <w:rFonts w:hint="eastAsia" w:ascii="宋体" w:hAnsi="宋体" w:cs="宋体"/>
                <w:spacing w:val="6"/>
                <w:sz w:val="22"/>
                <w:szCs w:val="22"/>
              </w:rPr>
              <w:t>39</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14:paraId="732C3B20">
            <w:pPr>
              <w:adjustRightInd w:val="0"/>
              <w:snapToGrid w:val="0"/>
              <w:spacing w:line="360" w:lineRule="auto"/>
              <w:jc w:val="center"/>
              <w:rPr>
                <w:rFonts w:ascii="宋体" w:hAnsi="宋体" w:cs="宋体"/>
                <w:spacing w:val="11"/>
                <w:sz w:val="22"/>
                <w:szCs w:val="22"/>
              </w:rPr>
            </w:pPr>
            <w:r>
              <w:rPr>
                <w:rFonts w:hint="eastAsia" w:ascii="宋体" w:hAnsi="宋体" w:cs="宋体"/>
                <w:spacing w:val="11"/>
                <w:sz w:val="22"/>
                <w:szCs w:val="22"/>
              </w:rPr>
              <w:t>是否退还响应文件</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3F4C8E97">
            <w:pPr>
              <w:adjustRightInd w:val="0"/>
              <w:snapToGrid w:val="0"/>
              <w:spacing w:line="360" w:lineRule="auto"/>
              <w:jc w:val="left"/>
              <w:rPr>
                <w:rFonts w:ascii="宋体" w:hAnsi="宋体" w:cs="宋体"/>
                <w:spacing w:val="11"/>
                <w:sz w:val="22"/>
                <w:szCs w:val="22"/>
              </w:rPr>
            </w:pPr>
            <w:r>
              <w:rPr>
                <w:rFonts w:hint="eastAsia" w:ascii="宋体" w:hAnsi="宋体" w:cs="宋体"/>
                <w:spacing w:val="11"/>
                <w:sz w:val="22"/>
                <w:szCs w:val="22"/>
              </w:rPr>
              <w:t>否</w:t>
            </w:r>
          </w:p>
        </w:tc>
      </w:tr>
      <w:tr w14:paraId="3F3F041B">
        <w:tblPrEx>
          <w:tblCellMar>
            <w:top w:w="0" w:type="dxa"/>
            <w:left w:w="108" w:type="dxa"/>
            <w:bottom w:w="0" w:type="dxa"/>
            <w:right w:w="108" w:type="dxa"/>
          </w:tblCellMar>
        </w:tblPrEx>
        <w:trPr>
          <w:trHeight w:val="523" w:hRule="atLeast"/>
        </w:trPr>
        <w:tc>
          <w:tcPr>
            <w:tcW w:w="828" w:type="dxa"/>
            <w:tcBorders>
              <w:top w:val="single" w:color="auto" w:sz="6" w:space="0"/>
              <w:left w:val="single" w:color="auto" w:sz="12" w:space="0"/>
              <w:bottom w:val="single" w:color="auto" w:sz="6" w:space="0"/>
              <w:right w:val="single" w:color="auto" w:sz="6" w:space="0"/>
            </w:tcBorders>
            <w:vAlign w:val="center"/>
          </w:tcPr>
          <w:p w14:paraId="3F4FD517">
            <w:pPr>
              <w:adjustRightInd w:val="0"/>
              <w:spacing w:line="360" w:lineRule="auto"/>
              <w:jc w:val="center"/>
              <w:rPr>
                <w:rFonts w:hint="default" w:ascii="宋体" w:hAnsi="宋体" w:cs="宋体" w:eastAsiaTheme="minorEastAsia"/>
                <w:spacing w:val="6"/>
                <w:sz w:val="22"/>
                <w:szCs w:val="22"/>
                <w:lang w:val="en-US" w:eastAsia="zh-CN"/>
              </w:rPr>
            </w:pPr>
            <w:r>
              <w:rPr>
                <w:rFonts w:hint="eastAsia" w:ascii="宋体" w:hAnsi="宋体" w:cs="宋体"/>
                <w:spacing w:val="6"/>
                <w:sz w:val="22"/>
                <w:szCs w:val="22"/>
                <w:lang w:val="en-US" w:eastAsia="zh-CN"/>
              </w:rPr>
              <w:t>40</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14:paraId="4CAC2DC6">
            <w:pPr>
              <w:adjustRightInd w:val="0"/>
              <w:snapToGrid w:val="0"/>
              <w:spacing w:line="360" w:lineRule="auto"/>
              <w:jc w:val="center"/>
              <w:rPr>
                <w:rFonts w:hint="eastAsia" w:ascii="宋体" w:hAnsi="宋体" w:cs="宋体" w:eastAsiaTheme="minorEastAsia"/>
                <w:spacing w:val="11"/>
                <w:sz w:val="22"/>
                <w:szCs w:val="22"/>
                <w:lang w:val="en-US" w:eastAsia="zh-CN"/>
              </w:rPr>
            </w:pPr>
            <w:r>
              <w:rPr>
                <w:rFonts w:hint="eastAsia" w:ascii="宋体" w:hAnsi="宋体" w:cs="宋体"/>
                <w:spacing w:val="11"/>
                <w:sz w:val="22"/>
                <w:szCs w:val="22"/>
                <w:lang w:val="en-US" w:eastAsia="zh-CN"/>
              </w:rPr>
              <w:t>所属行业</w:t>
            </w:r>
          </w:p>
        </w:tc>
        <w:tc>
          <w:tcPr>
            <w:tcW w:w="6565" w:type="dxa"/>
            <w:tcBorders>
              <w:top w:val="single" w:color="auto" w:sz="6" w:space="0"/>
              <w:left w:val="single" w:color="auto" w:sz="6" w:space="0"/>
              <w:bottom w:val="single" w:color="auto" w:sz="6" w:space="0"/>
              <w:right w:val="single" w:color="auto" w:sz="12" w:space="0"/>
            </w:tcBorders>
            <w:shd w:val="clear" w:color="auto" w:fill="auto"/>
            <w:vAlign w:val="center"/>
          </w:tcPr>
          <w:p w14:paraId="25D4635B">
            <w:pPr>
              <w:adjustRightInd w:val="0"/>
              <w:snapToGrid w:val="0"/>
              <w:spacing w:line="360" w:lineRule="auto"/>
              <w:jc w:val="left"/>
              <w:rPr>
                <w:rFonts w:hint="eastAsia" w:ascii="宋体" w:hAnsi="宋体" w:cs="宋体" w:eastAsiaTheme="minorEastAsia"/>
                <w:spacing w:val="11"/>
                <w:sz w:val="22"/>
                <w:szCs w:val="22"/>
                <w:lang w:val="en-US" w:eastAsia="zh-CN"/>
              </w:rPr>
            </w:pPr>
            <w:r>
              <w:rPr>
                <w:rFonts w:hint="eastAsia" w:ascii="宋体" w:hAnsi="宋体" w:cs="宋体"/>
                <w:spacing w:val="11"/>
                <w:sz w:val="22"/>
                <w:szCs w:val="22"/>
                <w:lang w:val="en-US" w:eastAsia="zh-CN"/>
              </w:rPr>
              <w:t>批发业</w:t>
            </w:r>
          </w:p>
        </w:tc>
      </w:tr>
      <w:tr w14:paraId="05E250E4">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0D9434CA">
            <w:pPr>
              <w:adjustRightInd w:val="0"/>
              <w:spacing w:line="360" w:lineRule="auto"/>
              <w:jc w:val="center"/>
              <w:rPr>
                <w:rFonts w:hint="eastAsia" w:ascii="宋体" w:hAnsi="宋体" w:cs="宋体" w:eastAsiaTheme="minorEastAsia"/>
                <w:spacing w:val="6"/>
                <w:sz w:val="22"/>
                <w:szCs w:val="22"/>
                <w:lang w:eastAsia="zh-CN"/>
              </w:rPr>
            </w:pPr>
            <w:r>
              <w:rPr>
                <w:rFonts w:hint="eastAsia" w:ascii="宋体" w:hAnsi="宋体" w:cs="宋体"/>
                <w:spacing w:val="6"/>
                <w:sz w:val="22"/>
                <w:szCs w:val="22"/>
              </w:rPr>
              <w:t>4</w:t>
            </w:r>
            <w:r>
              <w:rPr>
                <w:rFonts w:hint="eastAsia" w:ascii="宋体" w:hAnsi="宋体" w:cs="宋体"/>
                <w:spacing w:val="6"/>
                <w:sz w:val="22"/>
                <w:szCs w:val="22"/>
                <w:lang w:val="en-US" w:eastAsia="zh-CN"/>
              </w:rPr>
              <w:t>1</w:t>
            </w:r>
          </w:p>
        </w:tc>
        <w:tc>
          <w:tcPr>
            <w:tcW w:w="1611" w:type="dxa"/>
            <w:tcBorders>
              <w:top w:val="single" w:color="auto" w:sz="6" w:space="0"/>
              <w:left w:val="single" w:color="auto" w:sz="6" w:space="0"/>
              <w:bottom w:val="single" w:color="auto" w:sz="6" w:space="0"/>
              <w:right w:val="single" w:color="auto" w:sz="6" w:space="0"/>
            </w:tcBorders>
            <w:vAlign w:val="center"/>
          </w:tcPr>
          <w:p w14:paraId="15612713">
            <w:pPr>
              <w:adjustRightInd w:val="0"/>
              <w:spacing w:line="360" w:lineRule="auto"/>
              <w:jc w:val="center"/>
              <w:rPr>
                <w:rFonts w:ascii="宋体" w:hAnsi="宋体" w:cs="宋体"/>
                <w:sz w:val="22"/>
                <w:szCs w:val="22"/>
              </w:rPr>
            </w:pPr>
            <w:r>
              <w:rPr>
                <w:rFonts w:hint="eastAsia" w:ascii="宋体" w:hAnsi="宋体" w:cs="宋体"/>
                <w:sz w:val="22"/>
                <w:szCs w:val="22"/>
              </w:rPr>
              <w:t>电子化交易注意事项</w:t>
            </w:r>
          </w:p>
        </w:tc>
        <w:tc>
          <w:tcPr>
            <w:tcW w:w="6565" w:type="dxa"/>
            <w:tcBorders>
              <w:top w:val="single" w:color="auto" w:sz="6" w:space="0"/>
              <w:left w:val="single" w:color="auto" w:sz="6" w:space="0"/>
              <w:bottom w:val="single" w:color="auto" w:sz="6" w:space="0"/>
              <w:right w:val="single" w:color="auto" w:sz="12" w:space="0"/>
            </w:tcBorders>
            <w:vAlign w:val="center"/>
          </w:tcPr>
          <w:p w14:paraId="235AE86C">
            <w:pPr>
              <w:spacing w:line="440" w:lineRule="exact"/>
              <w:rPr>
                <w:rFonts w:ascii="宋体" w:hAnsi="宋体" w:cs="宋体"/>
                <w:sz w:val="22"/>
                <w:szCs w:val="20"/>
              </w:rPr>
            </w:pPr>
            <w:r>
              <w:rPr>
                <w:rFonts w:hint="eastAsia" w:ascii="宋体" w:hAnsi="宋体" w:cs="宋体"/>
                <w:sz w:val="22"/>
                <w:szCs w:val="20"/>
              </w:rPr>
              <w:t>具体要求：本项目为电子化、无纸化交易项目，响应文件是供应商通过中心响应文件制作系统制作，并经过签章和加密后生成的电子版响应文件。</w:t>
            </w:r>
          </w:p>
          <w:p w14:paraId="37CC5906">
            <w:pPr>
              <w:spacing w:line="440" w:lineRule="exact"/>
              <w:rPr>
                <w:rFonts w:ascii="宋体" w:hAnsi="宋体" w:cs="宋体"/>
                <w:sz w:val="22"/>
                <w:szCs w:val="20"/>
              </w:rPr>
            </w:pPr>
            <w:r>
              <w:rPr>
                <w:rFonts w:hint="eastAsia" w:ascii="宋体" w:hAnsi="宋体" w:cs="宋体"/>
                <w:sz w:val="22"/>
                <w:szCs w:val="20"/>
              </w:rPr>
              <w:t>电子化响应文件具体制作文件请点击</w:t>
            </w:r>
            <w:r>
              <w:rPr>
                <w:sz w:val="20"/>
                <w:szCs w:val="22"/>
              </w:rPr>
              <w:fldChar w:fldCharType="begin"/>
            </w:r>
            <w:r>
              <w:rPr>
                <w:sz w:val="20"/>
                <w:szCs w:val="22"/>
              </w:rPr>
              <w:instrText xml:space="preserve"> HYPERLINK "http://t.cn/A6ZvtVob" </w:instrText>
            </w:r>
            <w:r>
              <w:rPr>
                <w:sz w:val="20"/>
                <w:szCs w:val="22"/>
              </w:rPr>
              <w:fldChar w:fldCharType="separate"/>
            </w:r>
            <w:r>
              <w:rPr>
                <w:rFonts w:ascii="宋体" w:hAnsi="宋体" w:cs="宋体"/>
                <w:sz w:val="22"/>
                <w:szCs w:val="20"/>
                <w:u w:val="single"/>
              </w:rPr>
              <w:t>https://download.bqpoint.com/download/downloaddetail.html?SourceFrom=Ztb&amp;ZtbSoftXiaQuCode=1506&amp;ZtbSoftType=tballinclusive</w:t>
            </w:r>
            <w:r>
              <w:rPr>
                <w:rFonts w:ascii="宋体" w:hAnsi="宋体" w:cs="宋体"/>
                <w:sz w:val="22"/>
                <w:szCs w:val="20"/>
                <w:u w:val="single"/>
              </w:rPr>
              <w:fldChar w:fldCharType="end"/>
            </w:r>
            <w:r>
              <w:rPr>
                <w:rFonts w:hint="eastAsia" w:ascii="宋体" w:hAnsi="宋体" w:cs="宋体"/>
                <w:sz w:val="22"/>
                <w:szCs w:val="20"/>
              </w:rPr>
              <w:t>进行下载。</w:t>
            </w:r>
          </w:p>
          <w:p w14:paraId="37FE3C4F">
            <w:pPr>
              <w:spacing w:line="440" w:lineRule="exact"/>
              <w:rPr>
                <w:rFonts w:ascii="宋体" w:hAnsi="宋体" w:cs="宋体"/>
                <w:sz w:val="22"/>
                <w:szCs w:val="20"/>
              </w:rPr>
            </w:pPr>
            <w:r>
              <w:rPr>
                <w:rFonts w:hint="eastAsia" w:ascii="宋体" w:hAnsi="宋体" w:cs="宋体"/>
                <w:b/>
                <w:sz w:val="22"/>
                <w:szCs w:val="20"/>
              </w:rPr>
              <w:t>温馨提示：本项目为电子化、无纸化交易项目，为保证您能</w:t>
            </w:r>
            <w:r>
              <w:rPr>
                <w:rFonts w:hint="eastAsia" w:ascii="宋体" w:hAnsi="宋体" w:cs="宋体"/>
                <w:b/>
                <w:sz w:val="22"/>
                <w:szCs w:val="20"/>
                <w:lang w:val="en-US" w:eastAsia="zh-CN"/>
              </w:rPr>
              <w:t>磋商</w:t>
            </w:r>
            <w:r>
              <w:rPr>
                <w:rFonts w:hint="eastAsia" w:ascii="宋体" w:hAnsi="宋体" w:cs="宋体"/>
                <w:b/>
                <w:sz w:val="22"/>
                <w:szCs w:val="20"/>
              </w:rPr>
              <w:t>成功，请需仔细阅读以下条款。</w:t>
            </w:r>
          </w:p>
          <w:p w14:paraId="62BB3D20">
            <w:pPr>
              <w:spacing w:line="440" w:lineRule="exact"/>
              <w:rPr>
                <w:rFonts w:hint="eastAsia" w:ascii="宋体" w:hAnsi="宋体" w:cs="宋体" w:eastAsiaTheme="minorEastAsia"/>
                <w:b/>
                <w:sz w:val="22"/>
                <w:szCs w:val="20"/>
                <w:lang w:eastAsia="zh-CN"/>
              </w:rPr>
            </w:pPr>
            <w:r>
              <w:rPr>
                <w:rFonts w:hint="eastAsia" w:ascii="宋体" w:hAnsi="宋体" w:cs="宋体"/>
                <w:b/>
                <w:sz w:val="22"/>
                <w:szCs w:val="20"/>
              </w:rPr>
              <w:t>一、电子化</w:t>
            </w:r>
            <w:r>
              <w:rPr>
                <w:rFonts w:hint="eastAsia" w:ascii="宋体" w:hAnsi="宋体" w:cs="宋体"/>
                <w:b/>
                <w:sz w:val="22"/>
                <w:szCs w:val="20"/>
                <w:lang w:val="en-US" w:eastAsia="zh-CN"/>
              </w:rPr>
              <w:t>磋商</w:t>
            </w:r>
          </w:p>
          <w:p w14:paraId="7F28AF53">
            <w:pPr>
              <w:spacing w:line="440" w:lineRule="exact"/>
              <w:rPr>
                <w:rFonts w:ascii="宋体" w:hAnsi="宋体" w:cs="宋体"/>
                <w:b/>
                <w:sz w:val="22"/>
                <w:szCs w:val="20"/>
              </w:rPr>
            </w:pPr>
            <w:r>
              <w:rPr>
                <w:rFonts w:hint="eastAsia" w:ascii="宋体" w:hAnsi="宋体" w:cs="宋体"/>
                <w:sz w:val="22"/>
                <w:szCs w:val="20"/>
              </w:rPr>
              <w:t>（一）网上磋商保证金的缴纳</w:t>
            </w:r>
          </w:p>
          <w:p w14:paraId="00A6429C">
            <w:pPr>
              <w:spacing w:line="440" w:lineRule="exact"/>
              <w:rPr>
                <w:rFonts w:ascii="宋体" w:hAnsi="宋体" w:cs="宋体"/>
                <w:spacing w:val="11"/>
                <w:sz w:val="22"/>
                <w:szCs w:val="22"/>
              </w:rPr>
            </w:pPr>
            <w:r>
              <w:rPr>
                <w:rFonts w:hint="eastAsia" w:ascii="宋体" w:hAnsi="宋体" w:cs="宋体"/>
                <w:spacing w:val="11"/>
                <w:sz w:val="22"/>
                <w:szCs w:val="22"/>
              </w:rPr>
              <w:t>按照《河南省财政厅关于优化政府采购营商环境有关问题的通知》（豫财购[2019]4号文）的要求本项目不再收取磋商保证金。</w:t>
            </w:r>
          </w:p>
          <w:p w14:paraId="126BA429">
            <w:pPr>
              <w:spacing w:line="440" w:lineRule="exact"/>
              <w:rPr>
                <w:rFonts w:ascii="宋体" w:hAnsi="宋体" w:cs="宋体"/>
                <w:sz w:val="22"/>
                <w:szCs w:val="20"/>
              </w:rPr>
            </w:pPr>
            <w:r>
              <w:rPr>
                <w:rFonts w:hint="eastAsia" w:ascii="宋体" w:hAnsi="宋体" w:cs="宋体"/>
                <w:sz w:val="22"/>
                <w:szCs w:val="20"/>
              </w:rPr>
              <w:t>（二）电子化响应文件的签章</w:t>
            </w:r>
          </w:p>
          <w:p w14:paraId="4CF48DAA">
            <w:pPr>
              <w:spacing w:line="440" w:lineRule="exact"/>
              <w:rPr>
                <w:rFonts w:ascii="宋体" w:hAnsi="宋体" w:cs="宋体"/>
                <w:sz w:val="22"/>
                <w:szCs w:val="20"/>
              </w:rPr>
            </w:pPr>
            <w:r>
              <w:rPr>
                <w:rFonts w:hint="eastAsia" w:ascii="宋体" w:hAnsi="宋体" w:cs="宋体"/>
                <w:sz w:val="22"/>
                <w:szCs w:val="20"/>
              </w:rPr>
              <w:t>1、供应商在生成电子化响应文件后，应对电子化响应文件进行签章，未进行签章的视为无效</w:t>
            </w:r>
            <w:r>
              <w:rPr>
                <w:rFonts w:hint="eastAsia" w:ascii="宋体" w:hAnsi="宋体" w:cs="宋体"/>
                <w:sz w:val="22"/>
                <w:szCs w:val="20"/>
                <w:lang w:val="en-US" w:eastAsia="zh-CN"/>
              </w:rPr>
              <w:t>磋商</w:t>
            </w:r>
            <w:r>
              <w:rPr>
                <w:rFonts w:hint="eastAsia" w:ascii="宋体" w:hAnsi="宋体" w:cs="宋体"/>
                <w:sz w:val="22"/>
                <w:szCs w:val="20"/>
              </w:rPr>
              <w:t>。</w:t>
            </w:r>
          </w:p>
          <w:p w14:paraId="2715BB6D">
            <w:pPr>
              <w:spacing w:line="440" w:lineRule="exact"/>
              <w:rPr>
                <w:rFonts w:ascii="宋体" w:hAnsi="宋体" w:cs="宋体"/>
                <w:b/>
                <w:sz w:val="22"/>
                <w:szCs w:val="20"/>
              </w:rPr>
            </w:pPr>
            <w:r>
              <w:rPr>
                <w:rFonts w:hint="eastAsia" w:ascii="宋体" w:hAnsi="宋体" w:cs="宋体"/>
                <w:sz w:val="22"/>
                <w:szCs w:val="20"/>
              </w:rPr>
              <w:t>2、</w:t>
            </w:r>
            <w:r>
              <w:rPr>
                <w:rFonts w:hint="eastAsia" w:ascii="宋体" w:hAnsi="宋体" w:cs="宋体"/>
                <w:b/>
                <w:sz w:val="22"/>
                <w:szCs w:val="20"/>
              </w:rPr>
              <w:t>供应商在进行电子化响应文件签章时，竞争性磋商文件中要求供应商盖章的，以签盖单位章为准；要求法定代表人或委托代理人签章的，以签盖法定代表人签章为准。</w:t>
            </w:r>
          </w:p>
          <w:p w14:paraId="065D249E">
            <w:pPr>
              <w:spacing w:line="440" w:lineRule="exact"/>
              <w:rPr>
                <w:rFonts w:ascii="宋体" w:hAnsi="宋体" w:cs="宋体"/>
                <w:b/>
                <w:sz w:val="22"/>
                <w:szCs w:val="20"/>
              </w:rPr>
            </w:pPr>
            <w:r>
              <w:rPr>
                <w:rFonts w:hint="eastAsia" w:ascii="宋体" w:hAnsi="宋体" w:cs="宋体"/>
                <w:sz w:val="22"/>
                <w:szCs w:val="20"/>
              </w:rPr>
              <w:t>（三）电子化响应文件的格式及上传</w:t>
            </w:r>
          </w:p>
          <w:p w14:paraId="2D0A5435">
            <w:pPr>
              <w:spacing w:line="440" w:lineRule="exact"/>
              <w:ind w:firstLine="110" w:firstLineChars="50"/>
              <w:rPr>
                <w:rFonts w:ascii="宋体" w:hAnsi="宋体" w:cs="宋体"/>
                <w:sz w:val="22"/>
                <w:szCs w:val="20"/>
              </w:rPr>
            </w:pPr>
            <w:r>
              <w:rPr>
                <w:rFonts w:hint="eastAsia" w:ascii="宋体" w:hAnsi="宋体" w:cs="宋体"/>
                <w:sz w:val="22"/>
                <w:szCs w:val="20"/>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595823A5">
            <w:pPr>
              <w:spacing w:line="440" w:lineRule="exact"/>
              <w:ind w:firstLine="220" w:firstLineChars="100"/>
              <w:rPr>
                <w:rFonts w:ascii="宋体" w:hAnsi="宋体" w:cs="宋体"/>
                <w:sz w:val="22"/>
                <w:szCs w:val="20"/>
              </w:rPr>
            </w:pPr>
            <w:r>
              <w:rPr>
                <w:rFonts w:hint="eastAsia" w:ascii="宋体" w:hAnsi="宋体" w:cs="宋体"/>
                <w:sz w:val="22"/>
                <w:szCs w:val="20"/>
              </w:rPr>
              <w:t>2、电子化响应文件应在</w:t>
            </w:r>
            <w:r>
              <w:rPr>
                <w:rFonts w:hint="eastAsia" w:ascii="宋体" w:hAnsi="宋体" w:cs="宋体"/>
                <w:sz w:val="22"/>
                <w:szCs w:val="20"/>
                <w:lang w:val="en-US" w:eastAsia="zh-CN"/>
              </w:rPr>
              <w:t>磋商</w:t>
            </w:r>
            <w:r>
              <w:rPr>
                <w:rFonts w:hint="eastAsia" w:ascii="宋体" w:hAnsi="宋体" w:cs="宋体"/>
                <w:sz w:val="22"/>
                <w:szCs w:val="20"/>
              </w:rPr>
              <w:t>截止时间前成功上传至三门峡市公共资源电子化交易系统。至</w:t>
            </w:r>
            <w:r>
              <w:rPr>
                <w:rFonts w:hint="eastAsia" w:ascii="宋体" w:hAnsi="宋体" w:cs="宋体"/>
                <w:sz w:val="22"/>
                <w:szCs w:val="20"/>
                <w:lang w:val="en-US" w:eastAsia="zh-CN"/>
              </w:rPr>
              <w:t>磋商</w:t>
            </w:r>
            <w:r>
              <w:rPr>
                <w:rFonts w:hint="eastAsia" w:ascii="宋体" w:hAnsi="宋体" w:cs="宋体"/>
                <w:sz w:val="22"/>
                <w:szCs w:val="20"/>
              </w:rPr>
              <w:t>截止时间止，仍未上传成功的电子化响应文件将不予接收。</w:t>
            </w:r>
          </w:p>
          <w:p w14:paraId="71363F3C">
            <w:pPr>
              <w:spacing w:line="440" w:lineRule="exact"/>
              <w:ind w:firstLine="221" w:firstLineChars="100"/>
              <w:rPr>
                <w:rFonts w:ascii="宋体" w:hAnsi="宋体" w:cs="宋体"/>
                <w:sz w:val="22"/>
                <w:szCs w:val="20"/>
              </w:rPr>
            </w:pPr>
            <w:r>
              <w:rPr>
                <w:rFonts w:hint="eastAsia" w:ascii="宋体" w:hAnsi="宋体" w:cs="宋体"/>
                <w:b/>
                <w:sz w:val="22"/>
                <w:szCs w:val="20"/>
              </w:rPr>
              <w:t>注：</w:t>
            </w:r>
            <w:r>
              <w:rPr>
                <w:rFonts w:hint="eastAsia" w:ascii="宋体" w:hAnsi="宋体" w:cs="宋体"/>
                <w:sz w:val="22"/>
                <w:szCs w:val="20"/>
              </w:rPr>
              <w:t>如按照电子化投标操作教材制作完成的电子化响应文件无法上传的，供应商应在</w:t>
            </w:r>
            <w:r>
              <w:rPr>
                <w:rFonts w:hint="eastAsia" w:ascii="宋体" w:hAnsi="宋体" w:cs="宋体"/>
                <w:b/>
                <w:sz w:val="22"/>
                <w:szCs w:val="20"/>
                <w:lang w:eastAsia="zh-CN"/>
              </w:rPr>
              <w:t>磋商</w:t>
            </w:r>
            <w:r>
              <w:rPr>
                <w:rFonts w:hint="eastAsia" w:ascii="宋体" w:hAnsi="宋体" w:cs="宋体"/>
                <w:b/>
                <w:sz w:val="22"/>
                <w:szCs w:val="20"/>
              </w:rPr>
              <w:t>截止时间前尽早的</w:t>
            </w:r>
            <w:r>
              <w:rPr>
                <w:rFonts w:hint="eastAsia" w:ascii="宋体" w:hAnsi="宋体" w:cs="宋体"/>
                <w:sz w:val="22"/>
                <w:szCs w:val="20"/>
              </w:rPr>
              <w:t>联系中心技术人员，以便有充分的时间进行处理。供应商应充分考虑到处理技术问题和上传数据等工作所需的时间问题，响应文件未在</w:t>
            </w:r>
            <w:r>
              <w:rPr>
                <w:rFonts w:hint="eastAsia" w:ascii="宋体" w:hAnsi="宋体" w:cs="宋体"/>
                <w:sz w:val="22"/>
                <w:szCs w:val="20"/>
                <w:lang w:val="en-US" w:eastAsia="zh-CN"/>
              </w:rPr>
              <w:t>磋商</w:t>
            </w:r>
            <w:r>
              <w:rPr>
                <w:rFonts w:hint="eastAsia" w:ascii="宋体" w:hAnsi="宋体" w:cs="宋体"/>
                <w:sz w:val="22"/>
                <w:szCs w:val="20"/>
              </w:rPr>
              <w:t>截止时间前成功上传的，其响应文件不予接收。</w:t>
            </w:r>
          </w:p>
          <w:p w14:paraId="0CFFDFF0">
            <w:pPr>
              <w:spacing w:line="440" w:lineRule="exact"/>
              <w:ind w:firstLine="220" w:firstLineChars="100"/>
              <w:rPr>
                <w:rFonts w:ascii="宋体" w:hAnsi="宋体" w:cs="宋体"/>
                <w:sz w:val="22"/>
                <w:szCs w:val="20"/>
              </w:rPr>
            </w:pPr>
            <w:r>
              <w:rPr>
                <w:rFonts w:hint="eastAsia" w:ascii="宋体" w:hAnsi="宋体" w:cs="宋体"/>
                <w:sz w:val="22"/>
                <w:szCs w:val="20"/>
              </w:rPr>
              <w:t>技术联系电话：0398-3117871</w:t>
            </w:r>
          </w:p>
          <w:p w14:paraId="386273E0">
            <w:pPr>
              <w:spacing w:line="440" w:lineRule="exact"/>
              <w:ind w:firstLine="220" w:firstLineChars="100"/>
              <w:rPr>
                <w:rFonts w:ascii="宋体" w:hAnsi="宋体" w:cs="宋体"/>
                <w:sz w:val="22"/>
                <w:szCs w:val="20"/>
              </w:rPr>
            </w:pPr>
            <w:r>
              <w:rPr>
                <w:rFonts w:hint="eastAsia" w:ascii="宋体" w:hAnsi="宋体" w:cs="宋体"/>
                <w:sz w:val="22"/>
                <w:szCs w:val="20"/>
              </w:rPr>
              <w:t>新点客服电话：4009980000</w:t>
            </w:r>
          </w:p>
          <w:p w14:paraId="7E142BB6">
            <w:pPr>
              <w:spacing w:line="440" w:lineRule="exact"/>
              <w:rPr>
                <w:rFonts w:ascii="宋体" w:hAnsi="宋体" w:cs="宋体"/>
                <w:sz w:val="22"/>
                <w:szCs w:val="20"/>
              </w:rPr>
            </w:pPr>
            <w:r>
              <w:rPr>
                <w:rFonts w:hint="eastAsia" w:ascii="宋体" w:hAnsi="宋体" w:cs="宋体"/>
                <w:sz w:val="22"/>
                <w:szCs w:val="20"/>
              </w:rPr>
              <w:t>（四）电子化项目开标、解密、唱标、评标</w:t>
            </w:r>
          </w:p>
          <w:p w14:paraId="4B5AD3A6">
            <w:pPr>
              <w:spacing w:line="440" w:lineRule="exact"/>
              <w:ind w:firstLine="110" w:firstLineChars="50"/>
              <w:rPr>
                <w:rFonts w:ascii="宋体" w:hAnsi="宋体" w:cs="宋体"/>
                <w:sz w:val="22"/>
                <w:szCs w:val="20"/>
              </w:rPr>
            </w:pPr>
            <w:r>
              <w:rPr>
                <w:rFonts w:hint="eastAsia" w:ascii="宋体" w:hAnsi="宋体" w:cs="宋体"/>
                <w:sz w:val="22"/>
                <w:szCs w:val="20"/>
              </w:rPr>
              <w:t>1、本项目采用</w:t>
            </w:r>
            <w:r>
              <w:rPr>
                <w:rFonts w:hint="eastAsia" w:ascii="宋体" w:hAnsi="宋体" w:cs="宋体"/>
                <w:b/>
                <w:sz w:val="22"/>
                <w:szCs w:val="20"/>
              </w:rPr>
              <w:t>电子化、无纸化</w:t>
            </w:r>
            <w:r>
              <w:rPr>
                <w:rFonts w:hint="eastAsia" w:ascii="宋体" w:hAnsi="宋体" w:cs="宋体"/>
                <w:sz w:val="22"/>
                <w:szCs w:val="20"/>
              </w:rPr>
              <w:t>进行</w:t>
            </w:r>
            <w:r>
              <w:rPr>
                <w:rFonts w:hint="eastAsia" w:ascii="宋体" w:hAnsi="宋体" w:cs="宋体"/>
                <w:sz w:val="22"/>
                <w:szCs w:val="20"/>
                <w:lang w:val="en-US" w:eastAsia="zh-CN"/>
              </w:rPr>
              <w:t>磋商</w:t>
            </w:r>
            <w:r>
              <w:rPr>
                <w:rFonts w:hint="eastAsia" w:ascii="宋体" w:hAnsi="宋体" w:cs="宋体"/>
                <w:sz w:val="22"/>
                <w:szCs w:val="20"/>
              </w:rPr>
              <w:t>，开标当日，供应商无需到开标现场参加开标会议，供应商应当在</w:t>
            </w:r>
            <w:r>
              <w:rPr>
                <w:rFonts w:hint="eastAsia" w:ascii="宋体" w:hAnsi="宋体" w:cs="宋体"/>
                <w:sz w:val="22"/>
                <w:szCs w:val="20"/>
                <w:lang w:val="en-US" w:eastAsia="zh-CN"/>
              </w:rPr>
              <w:t>磋商</w:t>
            </w:r>
            <w:r>
              <w:rPr>
                <w:rFonts w:hint="eastAsia" w:ascii="宋体" w:hAnsi="宋体" w:cs="宋体"/>
                <w:sz w:val="22"/>
                <w:szCs w:val="20"/>
              </w:rPr>
              <w:t>截止时间前，登陆不见面开标大厅选择登陆三门峡市公共资源电子招投标系统进行登陆（网址为http://120.194.249.36:10094/BidOpening/bidopeninghallaction/hall/login）,在线准时参加开标活动并进行响应文件解密等</w:t>
            </w:r>
          </w:p>
          <w:p w14:paraId="15D8355E">
            <w:pPr>
              <w:spacing w:line="440" w:lineRule="exact"/>
              <w:ind w:firstLine="110" w:firstLineChars="50"/>
              <w:rPr>
                <w:rFonts w:ascii="宋体" w:hAnsi="宋体" w:cs="宋体"/>
                <w:sz w:val="22"/>
                <w:szCs w:val="20"/>
              </w:rPr>
            </w:pPr>
            <w:r>
              <w:rPr>
                <w:rFonts w:hint="eastAsia" w:ascii="宋体" w:hAnsi="宋体" w:cs="宋体"/>
                <w:sz w:val="22"/>
                <w:szCs w:val="20"/>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00785013">
            <w:pPr>
              <w:spacing w:line="440" w:lineRule="exact"/>
              <w:ind w:firstLine="110" w:firstLineChars="50"/>
              <w:rPr>
                <w:rFonts w:ascii="宋体" w:hAnsi="宋体" w:cs="宋体"/>
                <w:b/>
                <w:sz w:val="22"/>
                <w:szCs w:val="20"/>
              </w:rPr>
            </w:pPr>
            <w:r>
              <w:rPr>
                <w:rFonts w:hint="eastAsia" w:ascii="宋体" w:hAnsi="宋体" w:cs="宋体"/>
                <w:sz w:val="22"/>
                <w:szCs w:val="20"/>
              </w:rPr>
              <w:t>3、电子化响应文件解密异常的处理</w:t>
            </w:r>
          </w:p>
          <w:p w14:paraId="2200EF3E">
            <w:pPr>
              <w:spacing w:line="440" w:lineRule="exact"/>
              <w:ind w:firstLine="110" w:firstLineChars="50"/>
              <w:rPr>
                <w:rFonts w:ascii="宋体" w:hAnsi="宋体" w:cs="宋体"/>
                <w:sz w:val="22"/>
                <w:szCs w:val="20"/>
              </w:rPr>
            </w:pPr>
            <w:r>
              <w:rPr>
                <w:rFonts w:hint="eastAsia" w:ascii="宋体" w:hAnsi="宋体" w:cs="宋体"/>
                <w:sz w:val="22"/>
                <w:szCs w:val="20"/>
              </w:rPr>
              <w:t>如出现供应商的电子响应文件无法解密等异常情况，供应商应及时致电中介服务机构说明。响应文件异常，按以下步骤进行处理：</w:t>
            </w:r>
          </w:p>
          <w:p w14:paraId="6D0D2B6D">
            <w:pPr>
              <w:spacing w:line="440" w:lineRule="exact"/>
              <w:rPr>
                <w:rFonts w:ascii="宋体" w:hAnsi="宋体" w:cs="宋体"/>
                <w:sz w:val="22"/>
                <w:szCs w:val="20"/>
              </w:rPr>
            </w:pPr>
            <w:r>
              <w:rPr>
                <w:rFonts w:hint="eastAsia" w:ascii="宋体" w:hAnsi="宋体" w:cs="宋体"/>
                <w:sz w:val="22"/>
                <w:szCs w:val="20"/>
              </w:rPr>
              <w:t>（1）首先由技术人员进行问题排查。</w:t>
            </w:r>
          </w:p>
          <w:p w14:paraId="01E9003B">
            <w:pPr>
              <w:spacing w:line="440" w:lineRule="exact"/>
              <w:rPr>
                <w:rFonts w:ascii="宋体" w:hAnsi="宋体" w:cs="宋体"/>
                <w:sz w:val="22"/>
                <w:szCs w:val="20"/>
              </w:rPr>
            </w:pPr>
            <w:r>
              <w:rPr>
                <w:rFonts w:hint="eastAsia" w:ascii="宋体" w:hAnsi="宋体" w:cs="宋体"/>
                <w:sz w:val="22"/>
                <w:szCs w:val="20"/>
              </w:rPr>
              <w:t>（2）经技术人员排查后，是供应商文件自身问题导致响应文件无法解密的，该响应文件将不予接收、解密和唱标。开标会议继续进行。</w:t>
            </w:r>
          </w:p>
          <w:p w14:paraId="184CBB63">
            <w:pPr>
              <w:spacing w:line="440" w:lineRule="exact"/>
              <w:rPr>
                <w:rFonts w:ascii="宋体" w:hAnsi="宋体" w:cs="宋体"/>
                <w:sz w:val="22"/>
                <w:szCs w:val="20"/>
              </w:rPr>
            </w:pPr>
            <w:r>
              <w:rPr>
                <w:rFonts w:hint="eastAsia" w:ascii="宋体" w:hAnsi="宋体" w:cs="宋体"/>
                <w:sz w:val="22"/>
                <w:szCs w:val="20"/>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C5A2530">
            <w:pPr>
              <w:spacing w:line="440" w:lineRule="exact"/>
              <w:rPr>
                <w:rFonts w:ascii="宋体" w:hAnsi="宋体" w:cs="宋体"/>
                <w:sz w:val="22"/>
                <w:szCs w:val="20"/>
              </w:rPr>
            </w:pPr>
            <w:r>
              <w:rPr>
                <w:rFonts w:hint="eastAsia" w:ascii="宋体" w:hAnsi="宋体" w:cs="宋体"/>
                <w:sz w:val="22"/>
                <w:szCs w:val="20"/>
              </w:rPr>
              <w:t>4、待所有供应商响应文件解密完成后，由中介服务机构操作，对所有已解密响应文件进行唱标。</w:t>
            </w:r>
          </w:p>
          <w:p w14:paraId="58BACAD4">
            <w:pPr>
              <w:spacing w:line="440" w:lineRule="exact"/>
              <w:rPr>
                <w:rFonts w:ascii="宋体" w:hAnsi="宋体" w:cs="宋体"/>
                <w:sz w:val="22"/>
                <w:szCs w:val="20"/>
              </w:rPr>
            </w:pPr>
            <w:r>
              <w:rPr>
                <w:rFonts w:hint="eastAsia" w:ascii="宋体" w:hAnsi="宋体" w:cs="宋体"/>
                <w:b/>
                <w:sz w:val="22"/>
                <w:szCs w:val="20"/>
              </w:rPr>
              <w:t>供应商应保证在开标期间电话、电脑、网络能够正常工作，供应商因停电、电脑病毒、网络堵塞等原因，未在规定的解密时间内对响应文件进行解密的，其响应文件不予接收、唱标。</w:t>
            </w:r>
          </w:p>
          <w:p w14:paraId="5FEA3EC3">
            <w:pPr>
              <w:spacing w:line="440" w:lineRule="exact"/>
              <w:rPr>
                <w:rFonts w:ascii="宋体" w:hAnsi="宋体" w:cs="宋体"/>
                <w:sz w:val="22"/>
                <w:szCs w:val="20"/>
              </w:rPr>
            </w:pPr>
            <w:r>
              <w:rPr>
                <w:rFonts w:ascii="宋体" w:hAnsi="宋体" w:cs="宋体"/>
                <w:sz w:val="22"/>
                <w:szCs w:val="20"/>
              </w:rPr>
              <w:t>5</w:t>
            </w:r>
            <w:r>
              <w:rPr>
                <w:rFonts w:hint="eastAsia" w:ascii="宋体" w:hAnsi="宋体" w:cs="宋体"/>
                <w:sz w:val="22"/>
                <w:szCs w:val="20"/>
              </w:rPr>
              <w:t>、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23A4DC3B">
            <w:pPr>
              <w:spacing w:line="440" w:lineRule="exact"/>
              <w:rPr>
                <w:rFonts w:ascii="宋体" w:hAnsi="宋体" w:cs="宋体"/>
                <w:sz w:val="22"/>
                <w:szCs w:val="20"/>
              </w:rPr>
            </w:pPr>
            <w:r>
              <w:rPr>
                <w:rFonts w:ascii="宋体" w:hAnsi="宋体" w:cs="宋体"/>
                <w:sz w:val="22"/>
                <w:szCs w:val="20"/>
              </w:rPr>
              <w:t>6</w:t>
            </w:r>
            <w:r>
              <w:rPr>
                <w:rFonts w:hint="eastAsia" w:ascii="宋体" w:hAnsi="宋体" w:cs="宋体"/>
                <w:sz w:val="22"/>
                <w:szCs w:val="20"/>
              </w:rPr>
              <w:t>、如评标委员会对需要回复的供应商连续三次致电未接通的，视为供应商放弃回复，评标委员会将自行对需要回复的内容进行认定。</w:t>
            </w:r>
          </w:p>
          <w:p w14:paraId="40CA3458">
            <w:pPr>
              <w:spacing w:line="440" w:lineRule="exact"/>
              <w:rPr>
                <w:rFonts w:ascii="宋体" w:hAnsi="宋体" w:cs="宋体"/>
                <w:b/>
                <w:bCs/>
                <w:sz w:val="22"/>
                <w:szCs w:val="20"/>
              </w:rPr>
            </w:pPr>
            <w:r>
              <w:rPr>
                <w:rFonts w:hint="eastAsia" w:ascii="宋体" w:hAnsi="宋体" w:cs="宋体"/>
                <w:b/>
                <w:bCs/>
                <w:sz w:val="22"/>
                <w:szCs w:val="20"/>
              </w:rPr>
              <w:t>二、相关证书原件的提交</w:t>
            </w:r>
          </w:p>
          <w:p w14:paraId="18EFE6EA">
            <w:pPr>
              <w:spacing w:line="440" w:lineRule="exact"/>
              <w:ind w:firstLine="110" w:firstLineChars="50"/>
              <w:rPr>
                <w:rFonts w:ascii="宋体" w:hAnsi="宋体" w:cs="宋体"/>
                <w:b/>
                <w:sz w:val="22"/>
                <w:szCs w:val="20"/>
              </w:rPr>
            </w:pPr>
            <w:r>
              <w:rPr>
                <w:rFonts w:hint="eastAsia" w:ascii="宋体" w:hAnsi="宋体" w:cs="宋体"/>
                <w:sz w:val="22"/>
                <w:szCs w:val="20"/>
              </w:rPr>
              <w:t>本项目实行资格后审，</w:t>
            </w:r>
            <w:r>
              <w:rPr>
                <w:rFonts w:hint="eastAsia" w:ascii="宋体" w:hAnsi="宋体" w:cs="宋体"/>
                <w:b/>
                <w:sz w:val="22"/>
                <w:szCs w:val="20"/>
              </w:rPr>
              <w:t>竞争性磋商文件中要求供应商提交相关资料原件的，供应商需将原件扫描件制作到电子响应文件中，涉及到资格审查、企业荣誉、人员业绩、企业业绩等计分部分时，以供应商自行上传到响应文件中的相应内容为准。</w:t>
            </w:r>
          </w:p>
          <w:p w14:paraId="2D3C30DA">
            <w:pPr>
              <w:adjustRightInd w:val="0"/>
              <w:spacing w:line="360" w:lineRule="auto"/>
              <w:rPr>
                <w:rFonts w:ascii="宋体" w:hAnsi="宋体" w:cs="宋体"/>
                <w:sz w:val="22"/>
                <w:szCs w:val="22"/>
              </w:rPr>
            </w:pPr>
            <w:r>
              <w:rPr>
                <w:rFonts w:hint="eastAsia" w:ascii="宋体" w:hAnsi="宋体" w:cs="宋体"/>
                <w:b/>
                <w:sz w:val="22"/>
                <w:szCs w:val="20"/>
              </w:rPr>
              <w:t>提示：本项目为电子化、无纸化交易项目，为保证您能</w:t>
            </w:r>
            <w:r>
              <w:rPr>
                <w:rFonts w:hint="eastAsia" w:ascii="宋体" w:hAnsi="宋体" w:cs="宋体"/>
                <w:b/>
                <w:sz w:val="22"/>
                <w:szCs w:val="20"/>
                <w:lang w:eastAsia="zh-CN"/>
              </w:rPr>
              <w:t>磋商</w:t>
            </w:r>
            <w:r>
              <w:rPr>
                <w:rFonts w:hint="eastAsia" w:ascii="宋体" w:hAnsi="宋体" w:cs="宋体"/>
                <w:b/>
                <w:sz w:val="22"/>
                <w:szCs w:val="20"/>
              </w:rPr>
              <w:t>成功，请需仔细阅读以上条款。</w:t>
            </w:r>
          </w:p>
        </w:tc>
      </w:tr>
      <w:tr w14:paraId="10D5FF85">
        <w:tblPrEx>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vAlign w:val="center"/>
          </w:tcPr>
          <w:p w14:paraId="24FEED9E">
            <w:pPr>
              <w:adjustRightInd w:val="0"/>
              <w:spacing w:line="360" w:lineRule="auto"/>
              <w:jc w:val="center"/>
              <w:rPr>
                <w:rFonts w:hint="default" w:ascii="宋体" w:hAnsi="宋体" w:cs="宋体" w:eastAsiaTheme="minorEastAsia"/>
                <w:spacing w:val="6"/>
                <w:sz w:val="22"/>
                <w:szCs w:val="22"/>
                <w:lang w:val="en-US" w:eastAsia="zh-CN"/>
              </w:rPr>
            </w:pPr>
            <w:r>
              <w:rPr>
                <w:rFonts w:hint="eastAsia" w:ascii="宋体" w:hAnsi="宋体" w:cs="宋体"/>
                <w:spacing w:val="6"/>
                <w:sz w:val="22"/>
                <w:szCs w:val="22"/>
                <w:lang w:val="en-US" w:eastAsia="zh-CN"/>
              </w:rPr>
              <w:t>42</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14:paraId="70BBA3AA">
            <w:pPr>
              <w:adjustRightInd w:val="0"/>
              <w:snapToGrid w:val="0"/>
              <w:spacing w:line="360" w:lineRule="auto"/>
              <w:jc w:val="center"/>
              <w:rPr>
                <w:rFonts w:ascii="宋体" w:hAnsi="宋体" w:cs="宋体"/>
                <w:b/>
                <w:bCs/>
                <w:spacing w:val="11"/>
                <w:sz w:val="22"/>
                <w:szCs w:val="22"/>
              </w:rPr>
            </w:pPr>
            <w:r>
              <w:rPr>
                <w:rFonts w:hint="eastAsia" w:ascii="宋体" w:hAnsi="宋体"/>
                <w:sz w:val="22"/>
                <w:szCs w:val="22"/>
              </w:rPr>
              <w:t>其他</w:t>
            </w:r>
          </w:p>
        </w:tc>
        <w:tc>
          <w:tcPr>
            <w:tcW w:w="6565" w:type="dxa"/>
            <w:tcBorders>
              <w:top w:val="single" w:color="auto" w:sz="6" w:space="0"/>
              <w:left w:val="single" w:color="auto" w:sz="6" w:space="0"/>
              <w:bottom w:val="single" w:color="auto" w:sz="6" w:space="0"/>
              <w:right w:val="single" w:color="auto" w:sz="12" w:space="0"/>
            </w:tcBorders>
            <w:shd w:val="clear" w:color="auto" w:fill="auto"/>
          </w:tcPr>
          <w:p w14:paraId="0228BE7C">
            <w:pPr>
              <w:widowControl/>
              <w:spacing w:line="440" w:lineRule="exact"/>
              <w:jc w:val="left"/>
              <w:rPr>
                <w:rFonts w:ascii="宋体" w:hAnsi="宋体" w:cs="宋体"/>
                <w:kern w:val="0"/>
                <w:sz w:val="22"/>
                <w:szCs w:val="21"/>
              </w:rPr>
            </w:pPr>
            <w:r>
              <w:rPr>
                <w:rFonts w:hint="eastAsia" w:ascii="宋体" w:hAnsi="宋体" w:cs="宋体"/>
                <w:kern w:val="0"/>
                <w:sz w:val="22"/>
                <w:szCs w:val="21"/>
              </w:rPr>
              <w:t>1、电子化响应文件应在磋商截止时间前成功上传至三门峡市公共资源电子化交易系统。至磋商截止时间止，仍未上传成功的电子化响应文件，将不予接受 。</w:t>
            </w:r>
          </w:p>
          <w:p w14:paraId="54188F1C">
            <w:pPr>
              <w:widowControl/>
              <w:spacing w:line="440" w:lineRule="exact"/>
              <w:jc w:val="left"/>
              <w:rPr>
                <w:rFonts w:ascii="宋体" w:hAnsi="宋体" w:cs="宋体"/>
                <w:kern w:val="0"/>
                <w:sz w:val="22"/>
                <w:szCs w:val="21"/>
              </w:rPr>
            </w:pPr>
            <w:r>
              <w:rPr>
                <w:rFonts w:hint="eastAsia" w:ascii="宋体" w:hAnsi="宋体" w:cs="宋体"/>
                <w:kern w:val="0"/>
                <w:sz w:val="22"/>
                <w:szCs w:val="21"/>
                <w:lang w:val="en-US" w:eastAsia="zh-CN"/>
              </w:rPr>
              <w:t>2</w:t>
            </w:r>
            <w:r>
              <w:rPr>
                <w:rFonts w:hint="eastAsia" w:ascii="宋体" w:hAnsi="宋体" w:cs="宋体"/>
                <w:kern w:val="0"/>
                <w:sz w:val="22"/>
                <w:szCs w:val="21"/>
              </w:rPr>
              <w:t xml:space="preserve">、供应商成交后必须向采购人提供与所投相同的同质量、品质的服务。供应商必须在规定时间内对采购人进行服务，不得拖延。 </w:t>
            </w:r>
          </w:p>
          <w:p w14:paraId="3AF31B3A">
            <w:pPr>
              <w:widowControl/>
              <w:spacing w:line="440" w:lineRule="exact"/>
              <w:jc w:val="left"/>
              <w:rPr>
                <w:rFonts w:hint="eastAsia" w:ascii="宋体" w:hAnsi="宋体" w:cs="宋体"/>
                <w:kern w:val="0"/>
                <w:sz w:val="22"/>
                <w:szCs w:val="21"/>
              </w:rPr>
            </w:pPr>
            <w:r>
              <w:rPr>
                <w:rFonts w:hint="eastAsia" w:ascii="宋体" w:hAnsi="宋体" w:cs="宋体"/>
                <w:kern w:val="0"/>
                <w:sz w:val="22"/>
                <w:szCs w:val="21"/>
                <w:lang w:val="en-US" w:eastAsia="zh-CN"/>
              </w:rPr>
              <w:t>3</w:t>
            </w:r>
            <w:r>
              <w:rPr>
                <w:rFonts w:hint="eastAsia" w:ascii="宋体" w:hAnsi="宋体" w:cs="宋体"/>
                <w:kern w:val="0"/>
                <w:sz w:val="22"/>
                <w:szCs w:val="21"/>
              </w:rPr>
              <w:t>、开标结束后请各供应商响应文件中预留的电话保持畅通，以方便提醒二次报价，未在规定时间内进行二次报价的按自动放弃处理。</w:t>
            </w:r>
          </w:p>
          <w:p w14:paraId="3F257823">
            <w:pPr>
              <w:widowControl/>
              <w:spacing w:line="440" w:lineRule="exact"/>
              <w:jc w:val="left"/>
              <w:rPr>
                <w:rFonts w:ascii="宋体" w:hAnsi="宋体" w:cs="宋体"/>
                <w:kern w:val="0"/>
                <w:sz w:val="22"/>
                <w:szCs w:val="21"/>
              </w:rPr>
            </w:pPr>
            <w:r>
              <w:rPr>
                <w:rFonts w:hint="eastAsia" w:ascii="宋体" w:hAnsi="宋体" w:cs="宋体"/>
                <w:kern w:val="0"/>
                <w:sz w:val="22"/>
                <w:szCs w:val="21"/>
                <w:lang w:val="en-US" w:eastAsia="zh-CN"/>
              </w:rPr>
              <w:t>4</w:t>
            </w:r>
            <w:r>
              <w:rPr>
                <w:rFonts w:hint="eastAsia" w:ascii="宋体" w:hAnsi="宋体" w:cs="宋体"/>
                <w:kern w:val="0"/>
                <w:sz w:val="22"/>
                <w:szCs w:val="21"/>
              </w:rPr>
              <w:t>、磋商文件的最终解释权归采购人。其它未尽事宜，按</w:t>
            </w:r>
          </w:p>
          <w:p w14:paraId="47A74480">
            <w:pPr>
              <w:widowControl/>
              <w:spacing w:line="440" w:lineRule="exact"/>
              <w:jc w:val="left"/>
              <w:rPr>
                <w:rFonts w:ascii="宋体" w:hAnsi="宋体" w:cs="宋体"/>
                <w:kern w:val="0"/>
                <w:sz w:val="22"/>
                <w:szCs w:val="21"/>
              </w:rPr>
            </w:pPr>
            <w:r>
              <w:rPr>
                <w:rFonts w:hint="eastAsia" w:ascii="宋体" w:hAnsi="宋体" w:cs="宋体"/>
                <w:kern w:val="0"/>
                <w:sz w:val="22"/>
                <w:szCs w:val="21"/>
              </w:rPr>
              <w:t>国家有关法律、法规执行。</w:t>
            </w:r>
          </w:p>
        </w:tc>
      </w:tr>
      <w:tr w14:paraId="51828EA7">
        <w:tblPrEx>
          <w:tblCellMar>
            <w:top w:w="0" w:type="dxa"/>
            <w:left w:w="108" w:type="dxa"/>
            <w:bottom w:w="0" w:type="dxa"/>
            <w:right w:w="108" w:type="dxa"/>
          </w:tblCellMar>
        </w:tblPrEx>
        <w:trPr>
          <w:trHeight w:val="807" w:hRule="atLeast"/>
        </w:trPr>
        <w:tc>
          <w:tcPr>
            <w:tcW w:w="9004" w:type="dxa"/>
            <w:gridSpan w:val="3"/>
            <w:tcBorders>
              <w:top w:val="single" w:color="auto" w:sz="6" w:space="0"/>
              <w:left w:val="single" w:color="auto" w:sz="12" w:space="0"/>
              <w:bottom w:val="single" w:color="auto" w:sz="6" w:space="0"/>
              <w:right w:val="single" w:color="auto" w:sz="12" w:space="0"/>
            </w:tcBorders>
            <w:vAlign w:val="center"/>
          </w:tcPr>
          <w:p w14:paraId="5F76966E">
            <w:pPr>
              <w:pStyle w:val="41"/>
              <w:spacing w:before="118" w:line="366" w:lineRule="auto"/>
              <w:ind w:left="118" w:right="111" w:firstLine="485"/>
              <w:rPr>
                <w:kern w:val="0"/>
                <w:sz w:val="22"/>
                <w:szCs w:val="22"/>
                <w:lang w:eastAsia="zh-CN"/>
              </w:rPr>
            </w:pPr>
            <w:r>
              <w:rPr>
                <w:rFonts w:hint="eastAsia"/>
                <w:kern w:val="0"/>
                <w:sz w:val="22"/>
                <w:szCs w:val="22"/>
                <w:lang w:eastAsia="zh-CN"/>
              </w:rPr>
              <w:t>备注：本项目采用报价(折扣)100%进行报价，成交折扣在整个合同执行过程中，不因国家政策变化而变动。根据成交折扣计算出的实际支付金额包含所供货物价格、运送到甲方指定地点所发生的运费、装卸费、调换等环节所发生的费用及其他相关费用和所需缴纳的一切相关税费。实际支付金额不得超过该项目预算金额。</w:t>
            </w:r>
          </w:p>
          <w:p w14:paraId="4938A976">
            <w:pPr>
              <w:pStyle w:val="41"/>
              <w:spacing w:before="118" w:line="366" w:lineRule="auto"/>
              <w:ind w:left="118" w:right="111" w:firstLine="485"/>
              <w:rPr>
                <w:b/>
                <w:bCs/>
                <w:spacing w:val="-3"/>
                <w:sz w:val="22"/>
                <w:szCs w:val="22"/>
                <w:lang w:eastAsia="zh-CN"/>
              </w:rPr>
            </w:pPr>
            <w:r>
              <w:rPr>
                <w:rFonts w:hint="eastAsia"/>
                <w:b/>
                <w:bCs/>
                <w:spacing w:val="-3"/>
                <w:sz w:val="22"/>
                <w:szCs w:val="22"/>
                <w:lang w:eastAsia="zh-CN"/>
              </w:rPr>
              <w:t>综合执行单价=（三门峡市发展和改革委员会同期公布的三门峡市重要农副产品每日价格表单价×70%+供应商报价×30%）×成交折扣</w:t>
            </w:r>
          </w:p>
          <w:p w14:paraId="67357610">
            <w:pPr>
              <w:overflowPunct w:val="0"/>
              <w:adjustRightInd w:val="0"/>
              <w:snapToGrid w:val="0"/>
              <w:spacing w:line="360" w:lineRule="auto"/>
              <w:ind w:firstLine="420" w:firstLineChars="200"/>
              <w:jc w:val="left"/>
              <w:rPr>
                <w:rFonts w:ascii="宋体" w:hAnsi="宋体" w:eastAsia="宋体" w:cs="宋体"/>
                <w:color w:val="000000"/>
                <w:sz w:val="22"/>
                <w:szCs w:val="22"/>
              </w:rPr>
            </w:pPr>
            <w:r>
              <w:rPr>
                <w:rFonts w:hint="eastAsia" w:ascii="宋体" w:hAnsi="宋体" w:eastAsia="宋体" w:cs="宋体"/>
                <w:snapToGrid w:val="0"/>
                <w:color w:val="000000"/>
                <w:spacing w:val="-5"/>
                <w:kern w:val="0"/>
                <w:sz w:val="22"/>
                <w:szCs w:val="22"/>
              </w:rPr>
              <w:t>注：</w:t>
            </w:r>
            <w:r>
              <w:rPr>
                <w:rFonts w:hint="eastAsia" w:ascii="宋体" w:hAnsi="宋体" w:eastAsia="宋体" w:cs="宋体"/>
                <w:color w:val="000000"/>
                <w:sz w:val="22"/>
                <w:szCs w:val="22"/>
              </w:rPr>
              <w:t>1、依据三门峡市发展和改革委员会同期公布的三门峡市重要农副产品价格表，最终确定的综合执行单价最高不得高于三门峡市发展和改革委员会同期公布的三门峡市重要农副产品价格表单价的10%。</w:t>
            </w:r>
          </w:p>
          <w:p w14:paraId="224AE7CD">
            <w:pPr>
              <w:overflowPunct w:val="0"/>
              <w:adjustRightInd w:val="0"/>
              <w:snapToGrid w:val="0"/>
              <w:spacing w:line="360" w:lineRule="auto"/>
              <w:ind w:firstLine="440" w:firstLineChars="200"/>
              <w:jc w:val="left"/>
              <w:rPr>
                <w:rFonts w:ascii="宋体" w:hAnsi="宋体" w:eastAsia="宋体" w:cs="宋体"/>
                <w:color w:val="000000"/>
                <w:sz w:val="22"/>
                <w:szCs w:val="22"/>
              </w:rPr>
            </w:pPr>
            <w:r>
              <w:rPr>
                <w:rFonts w:hint="eastAsia" w:ascii="宋体" w:hAnsi="宋体" w:eastAsia="宋体" w:cs="宋体"/>
                <w:color w:val="000000"/>
                <w:sz w:val="22"/>
                <w:szCs w:val="22"/>
              </w:rPr>
              <w:t>2、其中三门峡市发展和改革委员会同期公布的三门峡市重要农副产品每日价格表中存在未列明的重要农副产品，综合执行单价按照如下公式计算：</w:t>
            </w:r>
          </w:p>
          <w:p w14:paraId="043E7C1C">
            <w:pPr>
              <w:widowControl/>
              <w:spacing w:line="440" w:lineRule="exact"/>
              <w:ind w:firstLine="440" w:firstLineChars="200"/>
              <w:jc w:val="left"/>
              <w:rPr>
                <w:rFonts w:ascii="宋体" w:hAnsi="宋体" w:eastAsia="宋体" w:cs="宋体"/>
                <w:color w:val="000000"/>
                <w:sz w:val="22"/>
                <w:szCs w:val="22"/>
              </w:rPr>
            </w:pPr>
            <w:r>
              <w:rPr>
                <w:rFonts w:hint="eastAsia" w:ascii="宋体" w:hAnsi="宋体" w:eastAsia="宋体" w:cs="宋体"/>
                <w:color w:val="000000"/>
                <w:sz w:val="22"/>
                <w:szCs w:val="22"/>
              </w:rPr>
              <w:t>综合执行单价=（本地批发1市场调研单价×40%+本地批发2市场调研单价×30%+供应商报价×30%）×成交折扣</w:t>
            </w:r>
          </w:p>
          <w:p w14:paraId="3A3EFA86">
            <w:pPr>
              <w:widowControl/>
              <w:spacing w:line="440" w:lineRule="exact"/>
              <w:ind w:firstLine="440" w:firstLineChars="200"/>
              <w:jc w:val="left"/>
              <w:rPr>
                <w:rFonts w:ascii="宋体" w:hAnsi="宋体" w:eastAsia="宋体" w:cs="宋体"/>
                <w:color w:val="000000"/>
                <w:sz w:val="22"/>
                <w:szCs w:val="22"/>
              </w:rPr>
            </w:pPr>
            <w:r>
              <w:rPr>
                <w:rFonts w:hint="eastAsia" w:ascii="宋体" w:hAnsi="宋体" w:eastAsia="宋体" w:cs="宋体"/>
                <w:color w:val="000000"/>
                <w:sz w:val="22"/>
                <w:szCs w:val="22"/>
              </w:rPr>
              <w:t xml:space="preserve">3. </w:t>
            </w:r>
            <w:r>
              <w:rPr>
                <w:rFonts w:hint="eastAsia" w:ascii="宋体" w:hAnsi="宋体" w:eastAsia="宋体" w:cs="宋体"/>
                <w:color w:val="000000"/>
                <w:sz w:val="22"/>
                <w:szCs w:val="22"/>
                <w:lang w:val="en-US" w:eastAsia="zh-CN"/>
              </w:rPr>
              <w:t>磋商</w:t>
            </w:r>
            <w:r>
              <w:rPr>
                <w:rFonts w:hint="eastAsia" w:ascii="宋体" w:hAnsi="宋体" w:eastAsia="宋体" w:cs="宋体"/>
                <w:color w:val="000000"/>
                <w:sz w:val="22"/>
                <w:szCs w:val="22"/>
              </w:rPr>
              <w:t>（报价）货物执行标准</w:t>
            </w:r>
          </w:p>
          <w:p w14:paraId="0C3AD2D7">
            <w:pPr>
              <w:widowControl/>
              <w:spacing w:line="440" w:lineRule="exact"/>
              <w:ind w:firstLine="440" w:firstLineChars="200"/>
              <w:jc w:val="left"/>
              <w:rPr>
                <w:rFonts w:ascii="宋体" w:hAnsi="宋体" w:eastAsia="宋体" w:cs="宋体"/>
                <w:color w:val="000000"/>
                <w:sz w:val="24"/>
                <w:szCs w:val="24"/>
                <w:highlight w:val="yellow"/>
              </w:rPr>
            </w:pPr>
            <w:r>
              <w:rPr>
                <w:rFonts w:hint="eastAsia" w:ascii="宋体" w:hAnsi="宋体" w:eastAsia="宋体" w:cs="宋体"/>
                <w:color w:val="000000"/>
                <w:sz w:val="22"/>
                <w:szCs w:val="22"/>
              </w:rPr>
              <w:t>食用禽蛋执行 GB 4789.1-2016 国家标准、蔬菜符合质量安全要求。</w:t>
            </w:r>
          </w:p>
        </w:tc>
      </w:tr>
    </w:tbl>
    <w:p w14:paraId="33030CDA">
      <w:pPr>
        <w:spacing w:line="360" w:lineRule="auto"/>
        <w:jc w:val="center"/>
        <w:rPr>
          <w:rFonts w:hint="eastAsia" w:ascii="宋体" w:hAnsi="宋体"/>
          <w:b/>
          <w:bCs/>
          <w:sz w:val="24"/>
        </w:rPr>
      </w:pPr>
    </w:p>
    <w:p w14:paraId="19827294">
      <w:pPr>
        <w:spacing w:line="360" w:lineRule="auto"/>
        <w:jc w:val="center"/>
        <w:rPr>
          <w:rFonts w:hint="eastAsia" w:ascii="宋体" w:hAnsi="宋体"/>
          <w:b/>
          <w:bCs/>
          <w:sz w:val="24"/>
        </w:rPr>
      </w:pPr>
    </w:p>
    <w:p w14:paraId="1A1113AC">
      <w:pPr>
        <w:spacing w:line="360" w:lineRule="auto"/>
        <w:jc w:val="center"/>
        <w:rPr>
          <w:rFonts w:hint="eastAsia" w:ascii="宋体" w:hAnsi="宋体"/>
          <w:b/>
          <w:bCs/>
          <w:sz w:val="24"/>
        </w:rPr>
      </w:pPr>
    </w:p>
    <w:p w14:paraId="02ECD787">
      <w:pPr>
        <w:spacing w:line="360" w:lineRule="auto"/>
        <w:jc w:val="center"/>
        <w:rPr>
          <w:rFonts w:hint="eastAsia" w:ascii="宋体" w:hAnsi="宋体"/>
          <w:b/>
          <w:bCs/>
          <w:sz w:val="24"/>
        </w:rPr>
      </w:pPr>
    </w:p>
    <w:p w14:paraId="12F29ECE">
      <w:pPr>
        <w:spacing w:line="360" w:lineRule="auto"/>
        <w:jc w:val="center"/>
        <w:rPr>
          <w:rFonts w:ascii="宋体" w:hAnsi="宋体"/>
          <w:b/>
          <w:bCs/>
          <w:sz w:val="24"/>
        </w:rPr>
      </w:pPr>
      <w:r>
        <w:rPr>
          <w:rFonts w:hint="eastAsia" w:ascii="宋体" w:hAnsi="宋体"/>
          <w:b/>
          <w:bCs/>
          <w:sz w:val="24"/>
        </w:rPr>
        <w:t>总则</w:t>
      </w:r>
    </w:p>
    <w:p w14:paraId="5F9608E6">
      <w:pPr>
        <w:spacing w:line="360" w:lineRule="auto"/>
        <w:ind w:firstLine="436" w:firstLineChars="181"/>
        <w:rPr>
          <w:rFonts w:ascii="宋体" w:hAnsi="宋体"/>
          <w:b/>
          <w:bCs/>
          <w:sz w:val="24"/>
        </w:rPr>
      </w:pPr>
      <w:r>
        <w:rPr>
          <w:rFonts w:ascii="宋体" w:hAnsi="宋体"/>
          <w:b/>
          <w:bCs/>
          <w:sz w:val="24"/>
        </w:rPr>
        <w:t>1</w:t>
      </w:r>
      <w:r>
        <w:rPr>
          <w:rFonts w:hint="eastAsia" w:ascii="宋体" w:hAnsi="宋体"/>
          <w:b/>
          <w:bCs/>
          <w:sz w:val="24"/>
        </w:rPr>
        <w:t>、项目概况</w:t>
      </w:r>
    </w:p>
    <w:p w14:paraId="2F4823FC">
      <w:pPr>
        <w:autoSpaceDE w:val="0"/>
        <w:autoSpaceDN w:val="0"/>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1.1服务内容：详见供应商须知前附表。</w:t>
      </w:r>
    </w:p>
    <w:p w14:paraId="27005BCC">
      <w:pPr>
        <w:autoSpaceDE w:val="0"/>
        <w:autoSpaceDN w:val="0"/>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1.2资金来源：详见供应商须知前附表。</w:t>
      </w:r>
    </w:p>
    <w:p w14:paraId="1C7E894A">
      <w:pPr>
        <w:autoSpaceDE w:val="0"/>
        <w:autoSpaceDN w:val="0"/>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1.3质量要求：详见供应商须知前附表。</w:t>
      </w:r>
    </w:p>
    <w:p w14:paraId="082EFC9E">
      <w:pPr>
        <w:autoSpaceDE w:val="0"/>
        <w:autoSpaceDN w:val="0"/>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1.4服务</w:t>
      </w:r>
      <w:r>
        <w:rPr>
          <w:rFonts w:hint="eastAsia" w:ascii="宋体" w:hAnsi="宋体" w:eastAsia="宋体" w:cs="Times New Roman"/>
          <w:sz w:val="24"/>
          <w:lang w:val="en-US" w:eastAsia="zh-CN"/>
        </w:rPr>
        <w:t>周</w:t>
      </w:r>
      <w:r>
        <w:rPr>
          <w:rFonts w:hint="eastAsia" w:ascii="宋体" w:hAnsi="宋体" w:eastAsia="宋体" w:cs="Times New Roman"/>
          <w:sz w:val="24"/>
        </w:rPr>
        <w:t>期：详见供应商须知前附表。</w:t>
      </w:r>
    </w:p>
    <w:p w14:paraId="7B5CF9F8">
      <w:pPr>
        <w:autoSpaceDE w:val="0"/>
        <w:autoSpaceDN w:val="0"/>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1.5服务地点：详见供应商须知前附表。</w:t>
      </w:r>
    </w:p>
    <w:p w14:paraId="46E0EAA1">
      <w:pPr>
        <w:spacing w:line="360" w:lineRule="auto"/>
        <w:ind w:firstLine="424" w:firstLineChars="176"/>
        <w:rPr>
          <w:rFonts w:ascii="宋体" w:hAnsi="宋体"/>
          <w:b/>
          <w:bCs/>
          <w:sz w:val="24"/>
        </w:rPr>
      </w:pPr>
      <w:r>
        <w:rPr>
          <w:rFonts w:ascii="宋体" w:hAnsi="宋体"/>
          <w:b/>
          <w:bCs/>
          <w:sz w:val="24"/>
        </w:rPr>
        <w:t>2</w:t>
      </w:r>
      <w:r>
        <w:rPr>
          <w:rFonts w:hint="eastAsia" w:ascii="宋体" w:hAnsi="宋体"/>
          <w:b/>
          <w:bCs/>
          <w:sz w:val="24"/>
        </w:rPr>
        <w:t>、合格的供应商</w:t>
      </w:r>
    </w:p>
    <w:p w14:paraId="5550BB01">
      <w:pPr>
        <w:spacing w:line="360" w:lineRule="auto"/>
        <w:ind w:firstLine="422" w:firstLineChars="176"/>
        <w:rPr>
          <w:rFonts w:ascii="宋体" w:hAnsi="宋体"/>
          <w:kern w:val="0"/>
          <w:sz w:val="24"/>
        </w:rPr>
      </w:pPr>
      <w:r>
        <w:rPr>
          <w:rFonts w:hint="eastAsia" w:ascii="宋体" w:hAnsi="宋体"/>
          <w:sz w:val="24"/>
        </w:rPr>
        <w:t>详见</w:t>
      </w:r>
      <w:r>
        <w:rPr>
          <w:rFonts w:hint="eastAsia" w:ascii="宋体" w:hAnsi="宋体"/>
          <w:kern w:val="0"/>
          <w:sz w:val="24"/>
        </w:rPr>
        <w:t>供应商须知前附表。</w:t>
      </w:r>
    </w:p>
    <w:p w14:paraId="665E440D">
      <w:pPr>
        <w:spacing w:line="360" w:lineRule="auto"/>
        <w:ind w:firstLine="424" w:firstLineChars="176"/>
        <w:rPr>
          <w:rFonts w:ascii="宋体" w:hAnsi="宋体"/>
          <w:b/>
          <w:bCs/>
          <w:sz w:val="24"/>
        </w:rPr>
      </w:pPr>
      <w:r>
        <w:rPr>
          <w:rFonts w:ascii="宋体" w:hAnsi="宋体"/>
          <w:b/>
          <w:bCs/>
          <w:sz w:val="24"/>
        </w:rPr>
        <w:t>3</w:t>
      </w:r>
      <w:r>
        <w:rPr>
          <w:rFonts w:hint="eastAsia" w:ascii="宋体" w:hAnsi="宋体"/>
          <w:b/>
          <w:bCs/>
          <w:sz w:val="24"/>
        </w:rPr>
        <w:t>、费用</w:t>
      </w:r>
    </w:p>
    <w:p w14:paraId="388933F4">
      <w:pPr>
        <w:widowControl/>
        <w:spacing w:line="480" w:lineRule="exact"/>
        <w:ind w:firstLine="480" w:firstLineChars="200"/>
        <w:rPr>
          <w:rFonts w:ascii="宋体" w:hAnsi="宋体"/>
          <w:kern w:val="0"/>
          <w:sz w:val="24"/>
        </w:rPr>
      </w:pPr>
      <w:r>
        <w:rPr>
          <w:rFonts w:hint="eastAsia" w:ascii="宋体" w:hAnsi="宋体"/>
          <w:kern w:val="0"/>
          <w:sz w:val="24"/>
        </w:rPr>
        <w:t>3.1</w:t>
      </w:r>
      <w:r>
        <w:rPr>
          <w:rFonts w:hint="eastAsia" w:ascii="宋体" w:hAnsi="宋体" w:cs="宋体"/>
          <w:sz w:val="24"/>
        </w:rPr>
        <w:t>无论磋商中的结果如何，供应商均应自行承担所有参与磋商活动有关的全部费用</w:t>
      </w:r>
      <w:r>
        <w:rPr>
          <w:rFonts w:hint="eastAsia" w:ascii="宋体" w:hAnsi="宋体"/>
          <w:kern w:val="0"/>
          <w:sz w:val="24"/>
        </w:rPr>
        <w:t>。</w:t>
      </w:r>
    </w:p>
    <w:p w14:paraId="5AACCB00">
      <w:pPr>
        <w:spacing w:line="360" w:lineRule="auto"/>
        <w:ind w:firstLine="424" w:firstLineChars="176"/>
        <w:rPr>
          <w:rFonts w:ascii="宋体" w:hAnsi="宋体"/>
          <w:b/>
          <w:bCs/>
          <w:sz w:val="24"/>
        </w:rPr>
      </w:pPr>
      <w:r>
        <w:rPr>
          <w:rFonts w:ascii="宋体" w:hAnsi="宋体"/>
          <w:b/>
          <w:bCs/>
          <w:sz w:val="24"/>
        </w:rPr>
        <w:t>4</w:t>
      </w:r>
      <w:r>
        <w:rPr>
          <w:rFonts w:hint="eastAsia" w:ascii="宋体" w:hAnsi="宋体"/>
          <w:b/>
          <w:bCs/>
          <w:sz w:val="24"/>
        </w:rPr>
        <w:t>、竞争性磋商文件的构成</w:t>
      </w:r>
    </w:p>
    <w:p w14:paraId="370E8D5F">
      <w:pPr>
        <w:spacing w:line="360" w:lineRule="auto"/>
        <w:ind w:firstLine="422" w:firstLineChars="176"/>
        <w:rPr>
          <w:rFonts w:ascii="宋体" w:hAnsi="宋体"/>
          <w:sz w:val="24"/>
        </w:rPr>
      </w:pPr>
      <w:r>
        <w:rPr>
          <w:rFonts w:hint="eastAsia" w:ascii="宋体" w:hAnsi="宋体"/>
          <w:sz w:val="24"/>
        </w:rPr>
        <w:t>第一章 竞争性磋商公告</w:t>
      </w:r>
    </w:p>
    <w:p w14:paraId="7DED0566">
      <w:pPr>
        <w:spacing w:line="360" w:lineRule="auto"/>
        <w:ind w:firstLine="422" w:firstLineChars="176"/>
        <w:rPr>
          <w:rFonts w:ascii="宋体" w:hAnsi="宋体"/>
          <w:sz w:val="24"/>
        </w:rPr>
      </w:pPr>
      <w:r>
        <w:rPr>
          <w:rFonts w:hint="eastAsia" w:ascii="宋体" w:hAnsi="宋体"/>
          <w:sz w:val="24"/>
        </w:rPr>
        <w:t>第二章 供应商须知</w:t>
      </w:r>
    </w:p>
    <w:p w14:paraId="2B3B09BB">
      <w:pPr>
        <w:spacing w:line="360" w:lineRule="auto"/>
        <w:ind w:firstLine="422" w:firstLineChars="176"/>
        <w:rPr>
          <w:rFonts w:ascii="宋体" w:hAnsi="宋体"/>
          <w:sz w:val="24"/>
        </w:rPr>
      </w:pPr>
      <w:r>
        <w:rPr>
          <w:rFonts w:hint="eastAsia" w:ascii="宋体" w:hAnsi="宋体"/>
          <w:sz w:val="24"/>
        </w:rPr>
        <w:t>第三章 评审办法</w:t>
      </w:r>
    </w:p>
    <w:p w14:paraId="5B20B818">
      <w:pPr>
        <w:spacing w:line="360" w:lineRule="auto"/>
        <w:ind w:firstLine="422" w:firstLineChars="176"/>
        <w:rPr>
          <w:rFonts w:ascii="宋体" w:hAnsi="宋体"/>
          <w:sz w:val="24"/>
        </w:rPr>
      </w:pPr>
      <w:r>
        <w:rPr>
          <w:rFonts w:hint="eastAsia" w:ascii="宋体" w:hAnsi="宋体"/>
          <w:sz w:val="24"/>
        </w:rPr>
        <w:t xml:space="preserve">第四章 </w:t>
      </w:r>
      <w:r>
        <w:rPr>
          <w:rFonts w:hint="eastAsia" w:ascii="宋体" w:hAnsi="宋体" w:cs="宋体"/>
          <w:bCs/>
          <w:sz w:val="24"/>
        </w:rPr>
        <w:t>服务内容及要求</w:t>
      </w:r>
    </w:p>
    <w:p w14:paraId="0BDEBCCB">
      <w:pPr>
        <w:spacing w:line="360" w:lineRule="auto"/>
        <w:ind w:firstLine="422" w:firstLineChars="176"/>
        <w:rPr>
          <w:rFonts w:ascii="宋体" w:hAnsi="宋体"/>
          <w:sz w:val="24"/>
        </w:rPr>
      </w:pPr>
      <w:r>
        <w:rPr>
          <w:rFonts w:hint="eastAsia" w:ascii="宋体" w:hAnsi="宋体"/>
          <w:sz w:val="24"/>
        </w:rPr>
        <w:t>第五章 合同条款及格式</w:t>
      </w:r>
    </w:p>
    <w:p w14:paraId="71980D87">
      <w:pPr>
        <w:spacing w:line="360" w:lineRule="auto"/>
        <w:ind w:firstLine="422" w:firstLineChars="176"/>
        <w:rPr>
          <w:rFonts w:hint="eastAsia" w:ascii="宋体" w:hAnsi="宋体"/>
          <w:sz w:val="24"/>
        </w:rPr>
      </w:pPr>
      <w:r>
        <w:rPr>
          <w:rFonts w:hint="eastAsia" w:ascii="宋体" w:hAnsi="宋体"/>
          <w:sz w:val="24"/>
        </w:rPr>
        <w:t>第六章 响应文件格式</w:t>
      </w:r>
    </w:p>
    <w:p w14:paraId="049E8B7F">
      <w:pPr>
        <w:spacing w:line="360" w:lineRule="auto"/>
        <w:ind w:firstLine="422" w:firstLineChars="176"/>
        <w:rPr>
          <w:rFonts w:hint="eastAsia" w:ascii="宋体" w:hAnsi="宋体"/>
          <w:sz w:val="24"/>
        </w:rPr>
      </w:pPr>
      <w:r>
        <w:rPr>
          <w:rFonts w:hint="eastAsia" w:ascii="宋体" w:hAnsi="宋体"/>
          <w:sz w:val="24"/>
        </w:rPr>
        <w:t>磋商文件的补充、澄清、修改、答疑（如有）构成磋商件的组成部分。</w:t>
      </w:r>
    </w:p>
    <w:p w14:paraId="11865BAF">
      <w:pPr>
        <w:spacing w:line="360" w:lineRule="auto"/>
        <w:ind w:firstLine="424" w:firstLineChars="176"/>
        <w:rPr>
          <w:rFonts w:ascii="宋体" w:hAnsi="宋体"/>
          <w:b/>
          <w:bCs/>
          <w:sz w:val="24"/>
        </w:rPr>
      </w:pPr>
      <w:r>
        <w:rPr>
          <w:rFonts w:ascii="宋体" w:hAnsi="宋体"/>
          <w:b/>
          <w:bCs/>
          <w:sz w:val="24"/>
        </w:rPr>
        <w:t>5</w:t>
      </w:r>
      <w:r>
        <w:rPr>
          <w:rFonts w:hint="eastAsia" w:ascii="宋体" w:hAnsi="宋体"/>
          <w:b/>
          <w:bCs/>
          <w:sz w:val="24"/>
        </w:rPr>
        <w:t>、竞争性磋商文件的澄清</w:t>
      </w:r>
    </w:p>
    <w:p w14:paraId="4CB79D17">
      <w:pPr>
        <w:spacing w:line="360" w:lineRule="auto"/>
        <w:ind w:firstLine="422" w:firstLineChars="176"/>
        <w:rPr>
          <w:rFonts w:ascii="宋体" w:hAnsi="宋体"/>
          <w:kern w:val="0"/>
          <w:sz w:val="24"/>
        </w:rPr>
      </w:pPr>
      <w:r>
        <w:rPr>
          <w:rFonts w:ascii="宋体" w:hAnsi="宋体"/>
          <w:sz w:val="24"/>
        </w:rPr>
        <w:t>5.1</w:t>
      </w:r>
      <w:r>
        <w:rPr>
          <w:rFonts w:hint="eastAsia" w:ascii="宋体" w:hAnsi="宋体"/>
          <w:kern w:val="0"/>
          <w:sz w:val="24"/>
        </w:rPr>
        <w:t>供应商应仔细阅读和检查竞争性磋商文件的全部内容。如发现缺页或附件不全，应及时向采购人提出，以便补齐。如有疑问，应在磋商截止日期5日前在三门峡市公共资源交易系统中提出咨询并打电话至采购代理机构，要求采购人对竞争性磋商文件予以澄清。</w:t>
      </w:r>
    </w:p>
    <w:p w14:paraId="34A2F22F">
      <w:pPr>
        <w:widowControl/>
        <w:spacing w:line="480" w:lineRule="exact"/>
        <w:ind w:firstLine="480" w:firstLineChars="200"/>
        <w:rPr>
          <w:rFonts w:ascii="宋体" w:hAnsi="宋体"/>
          <w:kern w:val="0"/>
          <w:sz w:val="24"/>
        </w:rPr>
      </w:pPr>
      <w:r>
        <w:rPr>
          <w:rFonts w:hint="eastAsia" w:ascii="宋体" w:hAnsi="宋体"/>
          <w:kern w:val="0"/>
          <w:sz w:val="24"/>
        </w:rPr>
        <w:t>5.2竞争性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67E19AA5">
      <w:pPr>
        <w:widowControl/>
        <w:spacing w:line="480" w:lineRule="exact"/>
        <w:ind w:firstLine="480" w:firstLineChars="200"/>
        <w:rPr>
          <w:rFonts w:ascii="宋体" w:hAnsi="宋体"/>
          <w:kern w:val="0"/>
          <w:sz w:val="24"/>
        </w:rPr>
      </w:pPr>
      <w:r>
        <w:rPr>
          <w:rFonts w:hint="eastAsia" w:ascii="宋体" w:hAnsi="宋体"/>
          <w:kern w:val="0"/>
          <w:sz w:val="24"/>
        </w:rPr>
        <w:t>5.3提交首次响应文件截止之日前，采购人、代理公司可以对已发出的竞争性磋商文件进行必要的澄清或者修改，澄清或者修改的内容作为竞争性磋商文件的组成部分。澄清或者修改的内容可能影响响应文件编制的，采购人、代理公司将在提交首次响应文件截止时间至少5日前，在相关网上发布变更公告形式通知所有获取竞争性磋商文件的供应商。不足5日的，应当顺延提交首次响应文件截止时间。</w:t>
      </w:r>
    </w:p>
    <w:p w14:paraId="6685B7B9">
      <w:pPr>
        <w:widowControl/>
        <w:spacing w:line="480" w:lineRule="exact"/>
        <w:ind w:firstLine="480" w:firstLineChars="200"/>
        <w:rPr>
          <w:rFonts w:ascii="宋体" w:hAnsi="宋体"/>
          <w:kern w:val="0"/>
          <w:sz w:val="24"/>
        </w:rPr>
      </w:pPr>
      <w:r>
        <w:rPr>
          <w:rFonts w:hint="eastAsia" w:ascii="宋体" w:hAnsi="宋体"/>
          <w:kern w:val="0"/>
          <w:sz w:val="24"/>
        </w:rPr>
        <w:t>5.4供应商应自行查看澄清或变更信息。</w:t>
      </w:r>
    </w:p>
    <w:p w14:paraId="0B714EC1">
      <w:pPr>
        <w:spacing w:line="360" w:lineRule="auto"/>
        <w:ind w:firstLine="424" w:firstLineChars="176"/>
        <w:rPr>
          <w:rFonts w:ascii="宋体" w:hAnsi="宋体"/>
          <w:b/>
          <w:bCs/>
          <w:sz w:val="24"/>
        </w:rPr>
      </w:pPr>
      <w:r>
        <w:rPr>
          <w:rFonts w:ascii="宋体" w:hAnsi="宋体"/>
          <w:b/>
          <w:bCs/>
          <w:sz w:val="24"/>
        </w:rPr>
        <w:t>6</w:t>
      </w:r>
      <w:r>
        <w:rPr>
          <w:rFonts w:hint="eastAsia" w:ascii="宋体" w:hAnsi="宋体"/>
          <w:b/>
          <w:bCs/>
          <w:sz w:val="24"/>
        </w:rPr>
        <w:t>、竞争性磋商文件的修改</w:t>
      </w:r>
    </w:p>
    <w:p w14:paraId="3A2F1E4E">
      <w:pPr>
        <w:spacing w:line="360" w:lineRule="auto"/>
        <w:ind w:firstLine="422" w:firstLineChars="176"/>
        <w:rPr>
          <w:rFonts w:ascii="宋体" w:hAnsi="宋体"/>
          <w:sz w:val="24"/>
        </w:rPr>
      </w:pPr>
      <w:r>
        <w:rPr>
          <w:rFonts w:ascii="宋体" w:hAnsi="宋体"/>
          <w:sz w:val="24"/>
        </w:rPr>
        <w:t>6.1</w:t>
      </w:r>
      <w:r>
        <w:rPr>
          <w:rFonts w:hint="eastAsia" w:ascii="宋体" w:hAnsi="宋体"/>
          <w:sz w:val="24"/>
        </w:rPr>
        <w:t>竞争性磋商文件的修改书将构成响应文件的一部分，对所有供应商均有约束力。</w:t>
      </w:r>
    </w:p>
    <w:p w14:paraId="79CEE802">
      <w:pPr>
        <w:spacing w:line="360" w:lineRule="auto"/>
        <w:ind w:firstLine="424" w:firstLineChars="176"/>
        <w:rPr>
          <w:rFonts w:ascii="宋体" w:hAnsi="宋体"/>
          <w:b/>
          <w:bCs/>
          <w:sz w:val="24"/>
        </w:rPr>
      </w:pPr>
      <w:r>
        <w:rPr>
          <w:rFonts w:ascii="宋体" w:hAnsi="宋体"/>
          <w:b/>
          <w:bCs/>
          <w:sz w:val="24"/>
        </w:rPr>
        <w:t>7</w:t>
      </w:r>
      <w:r>
        <w:rPr>
          <w:rFonts w:hint="eastAsia" w:ascii="宋体" w:hAnsi="宋体"/>
          <w:b/>
          <w:bCs/>
          <w:sz w:val="24"/>
        </w:rPr>
        <w:t>、要求</w:t>
      </w:r>
    </w:p>
    <w:p w14:paraId="6F2B87CA">
      <w:pPr>
        <w:spacing w:line="360" w:lineRule="auto"/>
        <w:ind w:firstLine="422" w:firstLineChars="176"/>
        <w:rPr>
          <w:rFonts w:ascii="宋体" w:hAnsi="宋体"/>
          <w:sz w:val="24"/>
        </w:rPr>
      </w:pPr>
      <w:r>
        <w:rPr>
          <w:rFonts w:ascii="宋体" w:hAnsi="宋体"/>
          <w:sz w:val="24"/>
        </w:rPr>
        <w:t>7.1</w:t>
      </w:r>
      <w:r>
        <w:rPr>
          <w:rFonts w:hint="eastAsia" w:ascii="宋体" w:hAnsi="宋体"/>
          <w:sz w:val="24"/>
        </w:rPr>
        <w:t>供应商应仔细阅读竞争性磋商文件的所有内容，按竞争性磋商文件的要求提供响应文件，并保证所提供资料的真实性，以使其响应文件对竞争性磋商文件作出实质性响应，否则，其响应文件不予接受。</w:t>
      </w:r>
    </w:p>
    <w:p w14:paraId="049A3A1B">
      <w:pPr>
        <w:spacing w:line="360" w:lineRule="auto"/>
        <w:ind w:firstLine="424" w:firstLineChars="176"/>
        <w:rPr>
          <w:rFonts w:ascii="宋体" w:hAnsi="宋体"/>
          <w:b/>
          <w:bCs/>
          <w:sz w:val="24"/>
        </w:rPr>
      </w:pPr>
      <w:r>
        <w:rPr>
          <w:rFonts w:hint="eastAsia" w:ascii="宋体" w:hAnsi="宋体"/>
          <w:b/>
          <w:bCs/>
          <w:sz w:val="24"/>
        </w:rPr>
        <w:t>8、电子化响应文件的组成</w:t>
      </w:r>
    </w:p>
    <w:p w14:paraId="25C68EF1">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（1）磋商函及报价一览表</w:t>
      </w:r>
    </w:p>
    <w:p w14:paraId="47A2E2C0">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法定代表人身份证明</w:t>
      </w:r>
    </w:p>
    <w:p w14:paraId="3912ABD7">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（3）法定代表人授权委托书</w:t>
      </w:r>
    </w:p>
    <w:p w14:paraId="244752F3">
      <w:pPr>
        <w:adjustRightInd w:val="0"/>
        <w:snapToGrid w:val="0"/>
        <w:spacing w:line="360" w:lineRule="auto"/>
        <w:ind w:firstLine="525" w:firstLineChars="250"/>
        <w:jc w:val="left"/>
        <w:rPr>
          <w:rFonts w:ascii="宋体" w:hAnsi="宋体" w:cs="宋体"/>
          <w:color w:val="000000"/>
          <w:sz w:val="24"/>
        </w:rPr>
      </w:pPr>
      <w:r>
        <w:fldChar w:fldCharType="begin"/>
      </w:r>
      <w:r>
        <w:instrText xml:space="preserve"> HYPERLINK \l "_Toc77596816" </w:instrText>
      </w:r>
      <w:r>
        <w:fldChar w:fldCharType="separate"/>
      </w:r>
      <w:r>
        <w:rPr>
          <w:rFonts w:hint="eastAsia" w:ascii="宋体" w:hAnsi="宋体" w:cs="宋体"/>
          <w:color w:val="000000"/>
          <w:sz w:val="24"/>
        </w:rPr>
        <w:t>（4）资格审查资料</w:t>
      </w:r>
      <w:r>
        <w:rPr>
          <w:rFonts w:hint="eastAsia" w:ascii="宋体" w:hAnsi="宋体" w:cs="宋体"/>
          <w:color w:val="000000"/>
          <w:sz w:val="24"/>
        </w:rPr>
        <w:fldChar w:fldCharType="end"/>
      </w:r>
    </w:p>
    <w:p w14:paraId="3E850243">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（5）技术方案</w:t>
      </w:r>
    </w:p>
    <w:p w14:paraId="2CF533DC">
      <w:pPr>
        <w:numPr>
          <w:ilvl w:val="0"/>
          <w:numId w:val="3"/>
        </w:num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供应商承担过的类似业绩</w:t>
      </w:r>
    </w:p>
    <w:p w14:paraId="647D5F1E">
      <w:pPr>
        <w:numPr>
          <w:ilvl w:val="0"/>
          <w:numId w:val="3"/>
        </w:num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拟投入本项目的人员情况</w:t>
      </w:r>
    </w:p>
    <w:p w14:paraId="3AC008F5">
      <w:pPr>
        <w:numPr>
          <w:ilvl w:val="0"/>
          <w:numId w:val="3"/>
        </w:num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磋商承诺函</w:t>
      </w:r>
    </w:p>
    <w:p w14:paraId="623DEC36">
      <w:pPr>
        <w:numPr>
          <w:ilvl w:val="0"/>
          <w:numId w:val="3"/>
        </w:num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供应商资格声明函 </w:t>
      </w:r>
    </w:p>
    <w:p w14:paraId="3A7EB794">
      <w:pPr>
        <w:numPr>
          <w:ilvl w:val="0"/>
          <w:numId w:val="3"/>
        </w:num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供应商认为需要提供的其他材料</w:t>
      </w:r>
    </w:p>
    <w:p w14:paraId="12E13BDB">
      <w:pPr>
        <w:adjustRightInd w:val="0"/>
        <w:snapToGrid w:val="0"/>
        <w:spacing w:line="360" w:lineRule="auto"/>
        <w:ind w:firstLine="480" w:firstLineChars="200"/>
        <w:jc w:val="left"/>
        <w:rPr>
          <w:rFonts w:ascii="宋体" w:hAnsi="宋体" w:cs="宋体"/>
          <w:color w:val="000000"/>
          <w:sz w:val="24"/>
        </w:rPr>
      </w:pPr>
      <w:r>
        <w:rPr>
          <w:rFonts w:hint="eastAsia"/>
          <w:sz w:val="24"/>
          <w:szCs w:val="32"/>
        </w:rPr>
        <w:t>（11）</w:t>
      </w:r>
      <w:r>
        <w:rPr>
          <w:rFonts w:hint="eastAsia" w:ascii="宋体" w:hAnsi="宋体" w:cs="宋体"/>
          <w:color w:val="000000"/>
          <w:sz w:val="24"/>
        </w:rPr>
        <w:t>附件</w:t>
      </w:r>
    </w:p>
    <w:p w14:paraId="2C27D9B2">
      <w:pPr>
        <w:spacing w:line="360" w:lineRule="auto"/>
        <w:ind w:firstLine="424" w:firstLineChars="176"/>
        <w:rPr>
          <w:rFonts w:ascii="宋体" w:hAnsi="宋体"/>
          <w:b/>
          <w:bCs/>
          <w:sz w:val="24"/>
        </w:rPr>
      </w:pPr>
      <w:r>
        <w:rPr>
          <w:rFonts w:hint="eastAsia" w:ascii="宋体" w:hAnsi="宋体"/>
          <w:b/>
          <w:bCs/>
          <w:sz w:val="24"/>
        </w:rPr>
        <w:t>9、电子化响应文件的格式</w:t>
      </w:r>
    </w:p>
    <w:p w14:paraId="16DA5F1B">
      <w:pPr>
        <w:spacing w:line="360" w:lineRule="auto"/>
        <w:ind w:firstLine="422" w:firstLineChars="176"/>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14:paraId="13BCF787">
      <w:pPr>
        <w:spacing w:line="360" w:lineRule="auto"/>
        <w:ind w:firstLine="482" w:firstLineChars="200"/>
        <w:rPr>
          <w:rFonts w:ascii="宋体" w:hAnsi="宋体"/>
          <w:sz w:val="24"/>
        </w:rPr>
      </w:pPr>
      <w:r>
        <w:rPr>
          <w:rFonts w:ascii="宋体" w:hAnsi="宋体"/>
          <w:b/>
          <w:bCs/>
          <w:sz w:val="24"/>
        </w:rPr>
        <w:t>1</w:t>
      </w:r>
      <w:r>
        <w:rPr>
          <w:rFonts w:hint="eastAsia" w:ascii="宋体" w:hAnsi="宋体"/>
          <w:b/>
          <w:bCs/>
          <w:sz w:val="24"/>
        </w:rPr>
        <w:t>0、电子化响应文件的签署</w:t>
      </w:r>
    </w:p>
    <w:p w14:paraId="55566FD9">
      <w:pPr>
        <w:spacing w:line="360" w:lineRule="auto"/>
        <w:ind w:firstLine="480" w:firstLineChars="200"/>
        <w:rPr>
          <w:rFonts w:ascii="宋体" w:hAnsi="宋体"/>
          <w:sz w:val="24"/>
        </w:rPr>
      </w:pPr>
      <w:r>
        <w:rPr>
          <w:rFonts w:ascii="宋体" w:hAnsi="宋体"/>
          <w:sz w:val="24"/>
        </w:rPr>
        <w:t>1</w:t>
      </w:r>
      <w:r>
        <w:rPr>
          <w:rFonts w:hint="eastAsia" w:ascii="宋体" w:hAnsi="宋体"/>
          <w:sz w:val="24"/>
        </w:rPr>
        <w:t>0</w:t>
      </w:r>
      <w:r>
        <w:rPr>
          <w:rFonts w:ascii="宋体" w:hAnsi="宋体"/>
          <w:sz w:val="24"/>
        </w:rPr>
        <w:t>.1</w:t>
      </w:r>
      <w:r>
        <w:rPr>
          <w:rFonts w:hint="eastAsia" w:ascii="宋体" w:hAnsi="宋体"/>
          <w:sz w:val="24"/>
        </w:rPr>
        <w:t>供应商在进行电子化响应文件签章时，竞争性磋商文件中要求供应商盖章的，以签盖单位章为准；要求法定代表人或委托代理人签章的，以签盖法定代表人签章为准。</w:t>
      </w:r>
    </w:p>
    <w:p w14:paraId="002519E2">
      <w:pPr>
        <w:spacing w:line="360" w:lineRule="auto"/>
        <w:ind w:firstLine="482" w:firstLineChars="200"/>
        <w:rPr>
          <w:rFonts w:ascii="宋体" w:hAnsi="宋体"/>
          <w:b/>
          <w:bCs/>
          <w:sz w:val="24"/>
        </w:rPr>
      </w:pPr>
      <w:r>
        <w:rPr>
          <w:rFonts w:ascii="宋体" w:hAnsi="宋体"/>
          <w:b/>
          <w:bCs/>
          <w:sz w:val="24"/>
        </w:rPr>
        <w:t>1</w:t>
      </w:r>
      <w:r>
        <w:rPr>
          <w:rFonts w:hint="eastAsia" w:ascii="宋体" w:hAnsi="宋体"/>
          <w:b/>
          <w:bCs/>
          <w:sz w:val="24"/>
        </w:rPr>
        <w:t>1、电子化响应文件的上传</w:t>
      </w:r>
    </w:p>
    <w:p w14:paraId="04A65F70">
      <w:pPr>
        <w:spacing w:line="360" w:lineRule="auto"/>
        <w:ind w:firstLine="480" w:firstLineChars="200"/>
        <w:jc w:val="left"/>
        <w:rPr>
          <w:rFonts w:ascii="宋体" w:hAnsi="宋体"/>
          <w:kern w:val="0"/>
          <w:sz w:val="24"/>
        </w:rPr>
      </w:pPr>
      <w:r>
        <w:rPr>
          <w:rFonts w:ascii="宋体" w:hAnsi="宋体"/>
          <w:sz w:val="24"/>
        </w:rPr>
        <w:t>1</w:t>
      </w:r>
      <w:r>
        <w:rPr>
          <w:rFonts w:hint="eastAsia" w:ascii="宋体" w:hAnsi="宋体"/>
          <w:sz w:val="24"/>
        </w:rPr>
        <w:t>1</w:t>
      </w:r>
      <w:r>
        <w:rPr>
          <w:rFonts w:ascii="宋体" w:hAnsi="宋体"/>
          <w:sz w:val="24"/>
        </w:rPr>
        <w:t>.1</w:t>
      </w:r>
      <w:r>
        <w:rPr>
          <w:rFonts w:hint="eastAsia" w:ascii="宋体" w:hAnsi="宋体"/>
          <w:kern w:val="0"/>
          <w:sz w:val="24"/>
        </w:rPr>
        <w:t>电子化响应文件应在磋商截止时间前成功上传至三门峡市公共资源电子化交易系统。至磋商截止时间止，仍未上传成功的电子化响应文件将不予接收。</w:t>
      </w:r>
    </w:p>
    <w:p w14:paraId="48C095D2">
      <w:pPr>
        <w:spacing w:line="360" w:lineRule="auto"/>
        <w:ind w:firstLine="422" w:firstLineChars="176"/>
        <w:jc w:val="left"/>
        <w:rPr>
          <w:rFonts w:ascii="宋体" w:hAnsi="宋体"/>
          <w:kern w:val="0"/>
          <w:sz w:val="24"/>
        </w:rPr>
      </w:pPr>
      <w:r>
        <w:rPr>
          <w:rFonts w:hint="eastAsia" w:ascii="宋体" w:hAnsi="宋体"/>
          <w:kern w:val="0"/>
          <w:sz w:val="24"/>
        </w:rPr>
        <w:t>注：如按照电子化投标操作教材制作完成的电子化响应文件无法上传的，供应商应在</w:t>
      </w:r>
      <w:r>
        <w:rPr>
          <w:rFonts w:hint="eastAsia" w:ascii="宋体" w:hAnsi="宋体"/>
          <w:kern w:val="0"/>
          <w:sz w:val="24"/>
          <w:lang w:val="en-US" w:eastAsia="zh-CN"/>
        </w:rPr>
        <w:t>磋商</w:t>
      </w:r>
      <w:r>
        <w:rPr>
          <w:rFonts w:hint="eastAsia" w:ascii="宋体" w:hAnsi="宋体"/>
          <w:kern w:val="0"/>
          <w:sz w:val="24"/>
        </w:rPr>
        <w:t>截止时间前尽早的联系中心技术人员，以便有充分的时间进行处理。供应商应充分考虑到处理技术问题和上传数据等工作所需的时间问题，响应文件未在</w:t>
      </w:r>
      <w:r>
        <w:rPr>
          <w:rFonts w:hint="eastAsia" w:ascii="宋体" w:hAnsi="宋体"/>
          <w:kern w:val="0"/>
          <w:sz w:val="24"/>
          <w:lang w:eastAsia="zh-CN"/>
        </w:rPr>
        <w:t>磋商</w:t>
      </w:r>
      <w:r>
        <w:rPr>
          <w:rFonts w:hint="eastAsia" w:ascii="宋体" w:hAnsi="宋体"/>
          <w:kern w:val="0"/>
          <w:sz w:val="24"/>
        </w:rPr>
        <w:t>截止时间前成功上传的，其响应文件不予接收。</w:t>
      </w:r>
    </w:p>
    <w:p w14:paraId="345B2E5A">
      <w:pPr>
        <w:spacing w:line="360" w:lineRule="auto"/>
        <w:ind w:firstLine="482" w:firstLineChars="200"/>
        <w:rPr>
          <w:rFonts w:ascii="宋体" w:hAnsi="宋体"/>
          <w:b/>
          <w:bCs/>
          <w:sz w:val="24"/>
        </w:rPr>
      </w:pPr>
      <w:r>
        <w:rPr>
          <w:rFonts w:ascii="宋体" w:hAnsi="宋体"/>
          <w:b/>
          <w:bCs/>
          <w:sz w:val="24"/>
        </w:rPr>
        <w:t>1</w:t>
      </w:r>
      <w:r>
        <w:rPr>
          <w:rFonts w:hint="eastAsia" w:ascii="宋体" w:hAnsi="宋体"/>
          <w:b/>
          <w:bCs/>
          <w:sz w:val="24"/>
        </w:rPr>
        <w:t>2、磋商截止时间</w:t>
      </w:r>
    </w:p>
    <w:p w14:paraId="3B4DA292">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.1</w:t>
      </w:r>
      <w:r>
        <w:rPr>
          <w:rFonts w:hint="eastAsia" w:ascii="宋体" w:hAnsi="宋体"/>
          <w:sz w:val="24"/>
        </w:rPr>
        <w:t>电子化响应文件的截止时间见本须知前附表规定。</w:t>
      </w:r>
    </w:p>
    <w:p w14:paraId="4D72CFCA">
      <w:pPr>
        <w:spacing w:line="360" w:lineRule="auto"/>
        <w:ind w:firstLine="482" w:firstLineChars="200"/>
        <w:rPr>
          <w:rFonts w:ascii="宋体" w:hAnsi="宋体"/>
          <w:sz w:val="24"/>
        </w:rPr>
      </w:pPr>
      <w:r>
        <w:rPr>
          <w:rFonts w:ascii="宋体" w:hAnsi="宋体"/>
          <w:b/>
          <w:bCs/>
          <w:sz w:val="24"/>
        </w:rPr>
        <w:t>1</w:t>
      </w:r>
      <w:r>
        <w:rPr>
          <w:rFonts w:hint="eastAsia" w:ascii="宋体" w:hAnsi="宋体"/>
          <w:b/>
          <w:bCs/>
          <w:sz w:val="24"/>
        </w:rPr>
        <w:t>3、电子化响应文件的补充、修改与撤回</w:t>
      </w:r>
    </w:p>
    <w:p w14:paraId="5CEC7F30">
      <w:pPr>
        <w:spacing w:line="360" w:lineRule="auto"/>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.1</w:t>
      </w:r>
      <w:r>
        <w:rPr>
          <w:rFonts w:hint="eastAsia" w:ascii="宋体" w:hAnsi="宋体"/>
          <w:sz w:val="24"/>
        </w:rPr>
        <w:t>在磋商截止时间之后，供应商不得补充、修改电子化响应文件。</w:t>
      </w:r>
    </w:p>
    <w:p w14:paraId="4C2311A9">
      <w:pPr>
        <w:spacing w:line="360" w:lineRule="auto"/>
        <w:ind w:firstLine="482" w:firstLineChars="200"/>
        <w:rPr>
          <w:rFonts w:ascii="宋体" w:hAnsi="宋体"/>
          <w:szCs w:val="21"/>
        </w:rPr>
      </w:pPr>
      <w:r>
        <w:rPr>
          <w:rFonts w:hint="eastAsia" w:ascii="宋体" w:hAnsi="宋体"/>
          <w:b/>
          <w:bCs/>
          <w:sz w:val="24"/>
        </w:rPr>
        <w:t>14、磋商报价</w:t>
      </w:r>
      <w:r>
        <w:tab/>
      </w:r>
    </w:p>
    <w:p w14:paraId="63BCB6E7">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本次磋商的报价以折扣率进行报价。</w:t>
      </w:r>
    </w:p>
    <w:p w14:paraId="362C8B67">
      <w:pPr>
        <w:wordWrap w:val="0"/>
        <w:spacing w:line="360" w:lineRule="auto"/>
        <w:ind w:firstLine="480" w:firstLineChars="200"/>
        <w:rPr>
          <w:sz w:val="24"/>
        </w:rPr>
      </w:pPr>
      <w:r>
        <w:rPr>
          <w:rFonts w:ascii="宋体" w:hAnsi="宋体"/>
          <w:sz w:val="24"/>
        </w:rPr>
        <w:t>1</w:t>
      </w:r>
      <w:r>
        <w:rPr>
          <w:rFonts w:hint="eastAsia" w:ascii="宋体" w:hAnsi="宋体"/>
          <w:sz w:val="24"/>
        </w:rPr>
        <w:t>4</w:t>
      </w:r>
      <w:r>
        <w:rPr>
          <w:rFonts w:ascii="宋体" w:hAnsi="宋体"/>
          <w:sz w:val="24"/>
        </w:rPr>
        <w:t>.2</w:t>
      </w:r>
      <w:r>
        <w:rPr>
          <w:rFonts w:hint="eastAsia"/>
          <w:sz w:val="24"/>
        </w:rPr>
        <w:t>供应商根据市场行情自主报价。</w:t>
      </w:r>
      <w:r>
        <w:rPr>
          <w:rFonts w:hint="eastAsia" w:ascii="宋体" w:hAnsi="宋体"/>
          <w:sz w:val="24"/>
        </w:rPr>
        <w:t>供应商的磋商报价包括完成该项目的成本、利润、税金、风险等所有伴随的其他费用。</w:t>
      </w:r>
      <w:r>
        <w:rPr>
          <w:rFonts w:hint="eastAsia"/>
          <w:sz w:val="24"/>
        </w:rPr>
        <w:t>采购人不另外支付其他任何费用。</w:t>
      </w:r>
    </w:p>
    <w:p w14:paraId="0B8E26FB">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.3</w:t>
      </w:r>
      <w:r>
        <w:rPr>
          <w:rFonts w:hint="eastAsia" w:ascii="宋体" w:hAnsi="宋体"/>
          <w:sz w:val="24"/>
        </w:rPr>
        <w:t>供应商应充分考虑市场风险和国家政策性风险系数，根据企业具体情况在合理的范围内自主报价，但不得低于企业实际成本。</w:t>
      </w:r>
    </w:p>
    <w:p w14:paraId="0158EFC6">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.4</w:t>
      </w:r>
      <w:r>
        <w:rPr>
          <w:rFonts w:hint="eastAsia" w:ascii="宋体" w:hAnsi="宋体"/>
          <w:sz w:val="24"/>
        </w:rPr>
        <w:t>供应商只能提出一个报价，采购人不接受任何有选择的报价，最后报价不得超过项目磋商控制价。</w:t>
      </w:r>
    </w:p>
    <w:p w14:paraId="7EA4457A">
      <w:pPr>
        <w:spacing w:line="360" w:lineRule="auto"/>
        <w:ind w:firstLine="422" w:firstLineChars="176"/>
        <w:rPr>
          <w:rFonts w:ascii="宋体" w:hAnsi="宋体"/>
          <w:sz w:val="24"/>
        </w:rPr>
      </w:pPr>
      <w:r>
        <w:rPr>
          <w:rFonts w:ascii="宋体" w:hAnsi="宋体"/>
          <w:sz w:val="24"/>
        </w:rPr>
        <w:t>1</w:t>
      </w:r>
      <w:r>
        <w:rPr>
          <w:rFonts w:hint="eastAsia" w:ascii="宋体" w:hAnsi="宋体"/>
          <w:sz w:val="24"/>
        </w:rPr>
        <w:t>4</w:t>
      </w:r>
      <w:r>
        <w:rPr>
          <w:rFonts w:ascii="宋体" w:hAnsi="宋体"/>
          <w:sz w:val="24"/>
        </w:rPr>
        <w:t>.5</w:t>
      </w:r>
      <w:r>
        <w:rPr>
          <w:rFonts w:hint="eastAsia" w:ascii="宋体" w:hAnsi="宋体"/>
          <w:sz w:val="24"/>
        </w:rPr>
        <w:t>供应商的报价明显低于其他报价，使得其报价可能低于其个别成本的，有可能影响服务质量和不能诚信履约的，应当要求该供应商作出书面说明并提供相关证明材料。供应商不能合理说明或者不能提供相关证明材料的，由磋商小组认定该报价人以低于成本报价，其报价应作无效报价处理。</w:t>
      </w:r>
    </w:p>
    <w:p w14:paraId="698E6458">
      <w:pPr>
        <w:spacing w:line="360" w:lineRule="auto"/>
        <w:ind w:firstLine="422" w:firstLineChars="176"/>
        <w:rPr>
          <w:rFonts w:ascii="宋体" w:hAnsi="宋体"/>
          <w:sz w:val="24"/>
        </w:rPr>
      </w:pPr>
      <w:r>
        <w:rPr>
          <w:rFonts w:ascii="宋体" w:hAnsi="宋体"/>
          <w:sz w:val="24"/>
        </w:rPr>
        <w:t>1</w:t>
      </w:r>
      <w:r>
        <w:rPr>
          <w:rFonts w:hint="eastAsia" w:ascii="宋体" w:hAnsi="宋体"/>
          <w:sz w:val="24"/>
        </w:rPr>
        <w:t>4</w:t>
      </w:r>
      <w:r>
        <w:rPr>
          <w:rFonts w:ascii="宋体" w:hAnsi="宋体"/>
          <w:sz w:val="24"/>
        </w:rPr>
        <w:t>.6</w:t>
      </w:r>
      <w:r>
        <w:rPr>
          <w:rFonts w:hint="eastAsia" w:ascii="宋体" w:hAnsi="宋体"/>
          <w:sz w:val="24"/>
        </w:rPr>
        <w:t>本次采购</w:t>
      </w:r>
      <w:r>
        <w:rPr>
          <w:rFonts w:hint="eastAsia" w:ascii="宋体" w:hAnsi="宋体"/>
          <w:sz w:val="24"/>
          <w:lang w:val="en-US" w:eastAsia="zh-CN"/>
        </w:rPr>
        <w:t>方式</w:t>
      </w:r>
      <w:r>
        <w:rPr>
          <w:rFonts w:hint="eastAsia" w:ascii="宋体" w:hAnsi="宋体"/>
          <w:sz w:val="24"/>
        </w:rPr>
        <w:t>为竞争性磋商，允许二次报价。</w:t>
      </w:r>
    </w:p>
    <w:p w14:paraId="67F58DEC">
      <w:pPr>
        <w:spacing w:line="360" w:lineRule="auto"/>
        <w:ind w:firstLine="424" w:firstLineChars="176"/>
        <w:rPr>
          <w:rFonts w:ascii="宋体" w:hAnsi="宋体"/>
          <w:b/>
          <w:bCs/>
          <w:sz w:val="24"/>
        </w:rPr>
      </w:pPr>
      <w:r>
        <w:rPr>
          <w:rFonts w:ascii="宋体" w:hAnsi="宋体"/>
          <w:b/>
          <w:bCs/>
          <w:sz w:val="24"/>
        </w:rPr>
        <w:t>1</w:t>
      </w:r>
      <w:r>
        <w:rPr>
          <w:rFonts w:hint="eastAsia" w:ascii="宋体" w:hAnsi="宋体"/>
          <w:b/>
          <w:bCs/>
          <w:sz w:val="24"/>
        </w:rPr>
        <w:t>5、供应商资格的证明文件</w:t>
      </w:r>
      <w:r>
        <w:tab/>
      </w:r>
    </w:p>
    <w:p w14:paraId="3BCE6FF9">
      <w:pPr>
        <w:spacing w:line="360" w:lineRule="auto"/>
        <w:ind w:firstLine="422" w:firstLineChars="176"/>
        <w:rPr>
          <w:rFonts w:ascii="宋体" w:hAnsi="宋体"/>
          <w:sz w:val="24"/>
        </w:rPr>
      </w:pPr>
      <w:r>
        <w:rPr>
          <w:rFonts w:ascii="宋体" w:hAnsi="宋体"/>
          <w:sz w:val="24"/>
        </w:rPr>
        <w:t>1</w:t>
      </w:r>
      <w:r>
        <w:rPr>
          <w:rFonts w:hint="eastAsia" w:ascii="宋体" w:hAnsi="宋体"/>
          <w:sz w:val="24"/>
        </w:rPr>
        <w:t>5</w:t>
      </w:r>
      <w:r>
        <w:rPr>
          <w:rFonts w:ascii="宋体" w:hAnsi="宋体"/>
          <w:sz w:val="24"/>
        </w:rPr>
        <w:t>.1</w:t>
      </w:r>
      <w:r>
        <w:rPr>
          <w:rFonts w:hint="eastAsia" w:ascii="宋体" w:hAnsi="宋体"/>
          <w:sz w:val="24"/>
        </w:rPr>
        <w:t>证明供应商是有资格参加</w:t>
      </w:r>
      <w:r>
        <w:rPr>
          <w:rFonts w:hint="eastAsia" w:ascii="宋体" w:hAnsi="宋体"/>
          <w:kern w:val="0"/>
          <w:sz w:val="24"/>
        </w:rPr>
        <w:t>磋商</w:t>
      </w:r>
      <w:r>
        <w:rPr>
          <w:rFonts w:hint="eastAsia" w:ascii="宋体" w:hAnsi="宋体"/>
          <w:sz w:val="24"/>
        </w:rPr>
        <w:t>的。</w:t>
      </w:r>
    </w:p>
    <w:p w14:paraId="698D1980">
      <w:pPr>
        <w:spacing w:line="360" w:lineRule="auto"/>
        <w:ind w:firstLine="422" w:firstLineChars="176"/>
        <w:rPr>
          <w:rFonts w:ascii="宋体" w:hAnsi="宋体"/>
          <w:sz w:val="24"/>
        </w:rPr>
      </w:pPr>
      <w:r>
        <w:rPr>
          <w:rFonts w:ascii="宋体" w:hAnsi="宋体"/>
          <w:sz w:val="24"/>
        </w:rPr>
        <w:t>1</w:t>
      </w:r>
      <w:r>
        <w:rPr>
          <w:rFonts w:hint="eastAsia" w:ascii="宋体" w:hAnsi="宋体"/>
          <w:sz w:val="24"/>
        </w:rPr>
        <w:t>5</w:t>
      </w:r>
      <w:r>
        <w:rPr>
          <w:rFonts w:ascii="宋体" w:hAnsi="宋体"/>
          <w:sz w:val="24"/>
        </w:rPr>
        <w:t>.2</w:t>
      </w:r>
      <w:r>
        <w:rPr>
          <w:rFonts w:hint="eastAsia" w:ascii="宋体" w:hAnsi="宋体"/>
          <w:sz w:val="24"/>
        </w:rPr>
        <w:t>证明供应商有能力履行竞争性磋商文件中合同条款和技术要求规定的由供应商提供的服务等义务。</w:t>
      </w:r>
    </w:p>
    <w:p w14:paraId="1982FB9F">
      <w:pPr>
        <w:spacing w:line="360" w:lineRule="auto"/>
        <w:ind w:firstLine="424" w:firstLineChars="176"/>
        <w:rPr>
          <w:rFonts w:ascii="宋体" w:hAnsi="宋体"/>
          <w:b/>
          <w:bCs/>
          <w:sz w:val="24"/>
        </w:rPr>
      </w:pPr>
      <w:r>
        <w:rPr>
          <w:rFonts w:hint="eastAsia" w:ascii="宋体" w:hAnsi="宋体"/>
          <w:b/>
          <w:bCs/>
          <w:sz w:val="24"/>
        </w:rPr>
        <w:t>16、响应文件有效期</w:t>
      </w:r>
    </w:p>
    <w:p w14:paraId="7BD787DB">
      <w:pPr>
        <w:spacing w:line="360" w:lineRule="auto"/>
        <w:ind w:firstLine="422" w:firstLineChars="176"/>
        <w:rPr>
          <w:rFonts w:ascii="宋体" w:hAnsi="宋体"/>
          <w:sz w:val="24"/>
        </w:rPr>
      </w:pPr>
      <w:r>
        <w:rPr>
          <w:rFonts w:ascii="宋体" w:hAnsi="宋体"/>
          <w:sz w:val="24"/>
        </w:rPr>
        <w:t>1</w:t>
      </w:r>
      <w:r>
        <w:rPr>
          <w:rFonts w:hint="eastAsia" w:ascii="宋体" w:hAnsi="宋体"/>
          <w:sz w:val="24"/>
        </w:rPr>
        <w:t>6</w:t>
      </w:r>
      <w:r>
        <w:rPr>
          <w:rFonts w:ascii="宋体" w:hAnsi="宋体"/>
          <w:sz w:val="24"/>
        </w:rPr>
        <w:t>.1</w:t>
      </w:r>
      <w:r>
        <w:rPr>
          <w:rFonts w:hint="eastAsia" w:ascii="宋体" w:hAnsi="宋体"/>
          <w:sz w:val="24"/>
        </w:rPr>
        <w:t>磋商有效期为60日历天(指本次采购项目递交响应性文件截止之日起)，有效期短于此规定的响应文件将被视为无效文件。</w:t>
      </w:r>
    </w:p>
    <w:p w14:paraId="1B56ADB3">
      <w:pPr>
        <w:spacing w:line="360" w:lineRule="auto"/>
        <w:ind w:firstLine="422" w:firstLineChars="176"/>
        <w:rPr>
          <w:rFonts w:ascii="宋体" w:hAnsi="宋体"/>
          <w:sz w:val="24"/>
        </w:rPr>
      </w:pPr>
      <w:r>
        <w:rPr>
          <w:rFonts w:ascii="宋体" w:hAnsi="宋体"/>
          <w:sz w:val="24"/>
        </w:rPr>
        <w:t>1</w:t>
      </w:r>
      <w:r>
        <w:rPr>
          <w:rFonts w:hint="eastAsia" w:ascii="宋体" w:hAnsi="宋体"/>
          <w:sz w:val="24"/>
        </w:rPr>
        <w:t>6</w:t>
      </w:r>
      <w:r>
        <w:rPr>
          <w:rFonts w:ascii="宋体" w:hAnsi="宋体"/>
          <w:sz w:val="24"/>
        </w:rPr>
        <w:t>.2</w:t>
      </w:r>
      <w:r>
        <w:rPr>
          <w:rFonts w:hint="eastAsia" w:ascii="宋体" w:hAnsi="宋体"/>
          <w:sz w:val="24"/>
        </w:rPr>
        <w:t>特殊情况下，采购人可于响应文件有效期满之前要求供应商同意延长有效期，要求与答复均为书面形式。供应商可以拒绝上述要求，对于同意该要求的供应商，不允许其修改响应文件。</w:t>
      </w:r>
    </w:p>
    <w:p w14:paraId="1CB28642">
      <w:pPr>
        <w:spacing w:line="360" w:lineRule="auto"/>
        <w:ind w:firstLine="424" w:firstLineChars="176"/>
        <w:rPr>
          <w:rFonts w:ascii="宋体" w:hAnsi="宋体"/>
          <w:b/>
          <w:bCs/>
          <w:sz w:val="24"/>
        </w:rPr>
      </w:pPr>
      <w:r>
        <w:rPr>
          <w:rFonts w:ascii="宋体" w:hAnsi="宋体"/>
          <w:b/>
          <w:bCs/>
          <w:sz w:val="24"/>
        </w:rPr>
        <w:t>1</w:t>
      </w:r>
      <w:r>
        <w:rPr>
          <w:rFonts w:hint="eastAsia" w:ascii="宋体" w:hAnsi="宋体"/>
          <w:b/>
          <w:bCs/>
          <w:sz w:val="24"/>
        </w:rPr>
        <w:t>7、磋商</w:t>
      </w:r>
    </w:p>
    <w:p w14:paraId="1C589DD5">
      <w:pPr>
        <w:spacing w:line="360" w:lineRule="auto"/>
        <w:ind w:firstLine="422" w:firstLineChars="176"/>
        <w:rPr>
          <w:rFonts w:ascii="宋体" w:hAnsi="宋体"/>
          <w:sz w:val="24"/>
        </w:rPr>
      </w:pPr>
      <w:r>
        <w:rPr>
          <w:rFonts w:hint="eastAsia" w:ascii="宋体" w:hAnsi="宋体"/>
          <w:sz w:val="24"/>
        </w:rPr>
        <w:t>17.1 本项目采用电子化、无纸化进行</w:t>
      </w:r>
      <w:r>
        <w:rPr>
          <w:rFonts w:hint="eastAsia" w:ascii="宋体" w:hAnsi="宋体"/>
          <w:sz w:val="24"/>
          <w:lang w:val="en-US" w:eastAsia="zh-CN"/>
        </w:rPr>
        <w:t>磋商</w:t>
      </w:r>
      <w:r>
        <w:rPr>
          <w:rFonts w:hint="eastAsia" w:ascii="宋体" w:hAnsi="宋体"/>
          <w:sz w:val="24"/>
        </w:rPr>
        <w:t>，开标当日，供应商无需到开标现场参加开标会议，供应商应当在磋商截止时间前，登陆不见面开标大厅选择登陆三门峡市公共资源电子招投标系统进行登陆,在线准时参加开标活动并进行响应文件解密等。</w:t>
      </w:r>
    </w:p>
    <w:p w14:paraId="3B1B1069">
      <w:pPr>
        <w:spacing w:line="360" w:lineRule="auto"/>
        <w:ind w:firstLine="422" w:firstLineChars="176"/>
        <w:rPr>
          <w:rFonts w:ascii="宋体" w:hAnsi="宋体"/>
          <w:sz w:val="24"/>
        </w:rPr>
      </w:pPr>
      <w:r>
        <w:rPr>
          <w:rFonts w:hint="eastAsia" w:ascii="宋体" w:hAnsi="宋体"/>
          <w:sz w:val="24"/>
        </w:rPr>
        <w:t>17.2 电子化响应文件采用一次加密方式。开标时，由供应商使用CA 证书，在规定时间内对其电子化响应文件进行解密。每位供应商的解密时间为开标时间起30分钟内，如在规定时间内未完成解密的，其响应文件不予开标、唱标。每位供应商的解密时间为开标时间起30分钟内完成。</w:t>
      </w:r>
    </w:p>
    <w:p w14:paraId="6C7460D9">
      <w:pPr>
        <w:spacing w:line="360" w:lineRule="auto"/>
        <w:ind w:firstLine="422" w:firstLineChars="176"/>
        <w:rPr>
          <w:rFonts w:ascii="宋体" w:hAnsi="宋体"/>
          <w:sz w:val="24"/>
        </w:rPr>
      </w:pPr>
      <w:r>
        <w:rPr>
          <w:rFonts w:hint="eastAsia" w:ascii="宋体" w:hAnsi="宋体"/>
          <w:sz w:val="24"/>
        </w:rPr>
        <w:t>17.3 电子化响应文件解密异常的处理</w:t>
      </w:r>
    </w:p>
    <w:p w14:paraId="25D06607">
      <w:pPr>
        <w:spacing w:line="360" w:lineRule="auto"/>
        <w:ind w:firstLine="422" w:firstLineChars="176"/>
        <w:rPr>
          <w:rFonts w:ascii="宋体" w:hAnsi="宋体"/>
          <w:sz w:val="24"/>
        </w:rPr>
      </w:pPr>
      <w:r>
        <w:rPr>
          <w:rFonts w:hint="eastAsia" w:ascii="宋体" w:hAnsi="宋体"/>
          <w:sz w:val="24"/>
        </w:rPr>
        <w:t>如出现供应商的电子化响应文件无法解密等异常情况，供应商应及时致电中介服务机构说明。响应文件异常，按以下步骤进行处理：</w:t>
      </w:r>
    </w:p>
    <w:p w14:paraId="16854F1E">
      <w:pPr>
        <w:spacing w:line="360" w:lineRule="auto"/>
        <w:ind w:firstLine="422" w:firstLineChars="176"/>
        <w:rPr>
          <w:rFonts w:ascii="宋体" w:hAnsi="宋体"/>
          <w:sz w:val="24"/>
        </w:rPr>
      </w:pPr>
      <w:r>
        <w:rPr>
          <w:rFonts w:hint="eastAsia" w:ascii="宋体" w:hAnsi="宋体"/>
          <w:sz w:val="24"/>
        </w:rPr>
        <w:t>（1）首先由技术人员进行问题排查。</w:t>
      </w:r>
    </w:p>
    <w:p w14:paraId="1DC71B92">
      <w:pPr>
        <w:spacing w:line="360" w:lineRule="auto"/>
        <w:ind w:firstLine="422" w:firstLineChars="176"/>
        <w:rPr>
          <w:rFonts w:ascii="宋体" w:hAnsi="宋体"/>
          <w:sz w:val="24"/>
        </w:rPr>
      </w:pPr>
      <w:r>
        <w:rPr>
          <w:rFonts w:hint="eastAsia" w:ascii="宋体" w:hAnsi="宋体"/>
          <w:sz w:val="24"/>
        </w:rPr>
        <w:t>（2）经技术人员排查后，是供应商文件自身问题导致响应文件无法解密的，该响应文件将不予接收、解密和唱标。开标会议继续进行。</w:t>
      </w:r>
    </w:p>
    <w:p w14:paraId="387F90ED">
      <w:pPr>
        <w:spacing w:line="360" w:lineRule="auto"/>
        <w:ind w:firstLine="422" w:firstLineChars="176"/>
        <w:rPr>
          <w:rFonts w:ascii="宋体" w:hAnsi="宋体"/>
          <w:sz w:val="24"/>
        </w:rPr>
      </w:pPr>
      <w:r>
        <w:rPr>
          <w:rFonts w:hint="eastAsia" w:ascii="宋体" w:hAnsi="宋体"/>
          <w:sz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078B5B6">
      <w:pPr>
        <w:spacing w:line="360" w:lineRule="auto"/>
        <w:ind w:firstLine="480" w:firstLineChars="200"/>
        <w:rPr>
          <w:rFonts w:ascii="宋体" w:hAnsi="宋体"/>
          <w:sz w:val="24"/>
        </w:rPr>
      </w:pPr>
      <w:r>
        <w:rPr>
          <w:rFonts w:hint="eastAsia" w:ascii="宋体" w:hAnsi="宋体"/>
          <w:sz w:val="24"/>
        </w:rPr>
        <w:t>17.4 供应商应保证在开标期间电话、电脑、网络能够正常工作，供应商因停电、电脑病毒、网络堵塞等原因，未在规定的解密时间内对响应文件进行解密的，其响应文件不予接收。</w:t>
      </w:r>
    </w:p>
    <w:p w14:paraId="07361576">
      <w:pPr>
        <w:spacing w:line="360" w:lineRule="auto"/>
        <w:ind w:firstLine="424" w:firstLineChars="176"/>
        <w:rPr>
          <w:rFonts w:ascii="宋体" w:hAnsi="宋体"/>
          <w:b/>
          <w:bCs/>
          <w:sz w:val="24"/>
        </w:rPr>
      </w:pPr>
      <w:r>
        <w:rPr>
          <w:rFonts w:hint="eastAsia" w:ascii="宋体" w:hAnsi="宋体"/>
          <w:b/>
          <w:bCs/>
          <w:sz w:val="24"/>
        </w:rPr>
        <w:t>18、磋商小组</w:t>
      </w:r>
    </w:p>
    <w:p w14:paraId="6F6352E7">
      <w:pPr>
        <w:spacing w:line="360" w:lineRule="auto"/>
        <w:ind w:firstLine="422" w:firstLineChars="176"/>
        <w:rPr>
          <w:rFonts w:hint="eastAsia" w:ascii="宋体" w:hAnsi="宋体" w:eastAsiaTheme="minorEastAsia"/>
          <w:sz w:val="24"/>
          <w:lang w:eastAsia="zh-CN"/>
        </w:rPr>
      </w:pPr>
      <w:r>
        <w:rPr>
          <w:rFonts w:hint="eastAsia" w:ascii="宋体" w:hAnsi="宋体"/>
          <w:sz w:val="24"/>
        </w:rPr>
        <w:t>18</w:t>
      </w:r>
      <w:r>
        <w:rPr>
          <w:rFonts w:ascii="宋体" w:hAnsi="宋体"/>
          <w:sz w:val="24"/>
        </w:rPr>
        <w:t>.1</w:t>
      </w:r>
      <w:r>
        <w:rPr>
          <w:rFonts w:hint="eastAsia" w:ascii="宋体" w:hAnsi="宋体"/>
          <w:sz w:val="24"/>
        </w:rPr>
        <w:t>磋商小组构成：磋商小组构成：由采购人代表及相关专业</w:t>
      </w:r>
      <w:r>
        <w:rPr>
          <w:rFonts w:hint="eastAsia" w:ascii="宋体" w:hAnsi="宋体"/>
          <w:sz w:val="24"/>
          <w:lang w:val="en-US" w:eastAsia="zh-CN"/>
        </w:rPr>
        <w:t>经济、技术</w:t>
      </w:r>
      <w:r>
        <w:rPr>
          <w:rFonts w:hint="eastAsia" w:ascii="宋体" w:hAnsi="宋体"/>
          <w:sz w:val="24"/>
        </w:rPr>
        <w:t>专家共 3 人组成，其中采购人代表 1 人，相关专业</w:t>
      </w:r>
      <w:r>
        <w:rPr>
          <w:rFonts w:hint="eastAsia" w:ascii="宋体" w:hAnsi="宋体"/>
          <w:sz w:val="24"/>
          <w:lang w:val="en-US" w:eastAsia="zh-CN"/>
        </w:rPr>
        <w:t>经济、技术</w:t>
      </w:r>
      <w:r>
        <w:rPr>
          <w:rFonts w:hint="eastAsia" w:ascii="宋体" w:hAnsi="宋体"/>
          <w:sz w:val="24"/>
        </w:rPr>
        <w:t>专家 2 人</w:t>
      </w:r>
      <w:r>
        <w:rPr>
          <w:rFonts w:hint="eastAsia" w:ascii="宋体" w:hAnsi="宋体"/>
          <w:sz w:val="24"/>
          <w:lang w:eastAsia="zh-CN"/>
        </w:rPr>
        <w:t>，</w:t>
      </w:r>
      <w:r>
        <w:rPr>
          <w:rFonts w:hint="eastAsia" w:ascii="宋体" w:hAnsi="宋体"/>
          <w:sz w:val="24"/>
        </w:rPr>
        <w:t>开标后从河南省财政厅综合评标专家库中随机抽取</w:t>
      </w:r>
      <w:r>
        <w:rPr>
          <w:rFonts w:hint="eastAsia" w:ascii="宋体" w:hAnsi="宋体"/>
          <w:sz w:val="24"/>
          <w:lang w:eastAsia="zh-CN"/>
        </w:rPr>
        <w:t>。</w:t>
      </w:r>
    </w:p>
    <w:p w14:paraId="20A1D056">
      <w:pPr>
        <w:spacing w:line="360" w:lineRule="auto"/>
        <w:ind w:firstLine="422" w:firstLineChars="176"/>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磋商小组对所有供应商的响应文件进行评审，按评审后得分由高到低顺序排列，递交给采购人。</w:t>
      </w:r>
    </w:p>
    <w:p w14:paraId="39F332AE">
      <w:pPr>
        <w:spacing w:line="360" w:lineRule="auto"/>
        <w:ind w:firstLine="422" w:firstLineChars="176"/>
        <w:rPr>
          <w:rFonts w:ascii="宋体" w:hAnsi="宋体"/>
          <w:sz w:val="24"/>
        </w:rPr>
      </w:pPr>
      <w:r>
        <w:rPr>
          <w:rFonts w:hint="eastAsia" w:ascii="宋体" w:hAnsi="宋体"/>
          <w:sz w:val="24"/>
        </w:rPr>
        <w:t>18</w:t>
      </w:r>
      <w:r>
        <w:rPr>
          <w:rFonts w:ascii="宋体" w:hAnsi="宋体"/>
          <w:sz w:val="24"/>
        </w:rPr>
        <w:t>.3</w:t>
      </w:r>
      <w:r>
        <w:rPr>
          <w:rFonts w:hint="eastAsia" w:ascii="宋体" w:hAnsi="宋体"/>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9F876DD">
      <w:pPr>
        <w:spacing w:line="360" w:lineRule="auto"/>
        <w:ind w:firstLine="422" w:firstLineChars="176"/>
        <w:rPr>
          <w:rFonts w:ascii="宋体" w:hAnsi="宋体"/>
          <w:sz w:val="24"/>
        </w:rPr>
      </w:pPr>
      <w:r>
        <w:rPr>
          <w:rFonts w:hint="eastAsia" w:ascii="宋体" w:hAnsi="宋体"/>
          <w:sz w:val="24"/>
        </w:rPr>
        <w:t>18</w:t>
      </w:r>
      <w:r>
        <w:rPr>
          <w:rFonts w:ascii="宋体" w:hAnsi="宋体"/>
          <w:sz w:val="24"/>
        </w:rPr>
        <w:t>.4</w:t>
      </w:r>
      <w:r>
        <w:rPr>
          <w:rFonts w:hint="eastAsia" w:ascii="宋体" w:hAnsi="宋体"/>
          <w:sz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5133A7D8">
      <w:pPr>
        <w:spacing w:line="360" w:lineRule="auto"/>
        <w:ind w:firstLine="424" w:firstLineChars="176"/>
        <w:rPr>
          <w:rFonts w:ascii="宋体" w:hAnsi="宋体"/>
          <w:b/>
          <w:bCs/>
          <w:sz w:val="24"/>
        </w:rPr>
      </w:pPr>
      <w:r>
        <w:rPr>
          <w:rFonts w:hint="eastAsia" w:ascii="宋体" w:hAnsi="宋体"/>
          <w:b/>
          <w:bCs/>
          <w:sz w:val="24"/>
        </w:rPr>
        <w:t>19、磋商程序</w:t>
      </w:r>
    </w:p>
    <w:p w14:paraId="7D32D48F">
      <w:pPr>
        <w:widowControl/>
        <w:spacing w:line="480" w:lineRule="exact"/>
        <w:ind w:firstLine="480" w:firstLineChars="200"/>
        <w:outlineLvl w:val="2"/>
        <w:rPr>
          <w:rFonts w:ascii="宋体" w:hAnsi="宋体" w:cs="Calibri"/>
          <w:kern w:val="0"/>
          <w:sz w:val="24"/>
        </w:rPr>
      </w:pPr>
      <w:bookmarkStart w:id="11" w:name="_Toc173946079"/>
      <w:bookmarkEnd w:id="11"/>
      <w:bookmarkStart w:id="12" w:name="_Toc141871099"/>
      <w:bookmarkEnd w:id="12"/>
      <w:bookmarkStart w:id="13" w:name="_Toc114060626"/>
      <w:bookmarkEnd w:id="13"/>
      <w:bookmarkStart w:id="14" w:name="_Toc171002589"/>
      <w:bookmarkEnd w:id="14"/>
      <w:bookmarkStart w:id="15" w:name="_Toc119657657"/>
      <w:bookmarkEnd w:id="15"/>
      <w:bookmarkStart w:id="16" w:name="_Toc174034447"/>
      <w:bookmarkEnd w:id="16"/>
      <w:bookmarkStart w:id="17" w:name="_Toc171410856"/>
      <w:bookmarkEnd w:id="17"/>
      <w:bookmarkStart w:id="18" w:name="_Toc173946414"/>
      <w:bookmarkEnd w:id="18"/>
      <w:bookmarkStart w:id="19" w:name="_Toc140161799"/>
      <w:bookmarkEnd w:id="19"/>
      <w:bookmarkStart w:id="20" w:name="_Toc26234"/>
      <w:bookmarkStart w:id="21" w:name="_Toc24102"/>
      <w:bookmarkStart w:id="22" w:name="_Toc26934"/>
      <w:r>
        <w:rPr>
          <w:rFonts w:hint="eastAsia" w:ascii="宋体" w:hAnsi="宋体"/>
          <w:sz w:val="24"/>
        </w:rPr>
        <w:t>19</w:t>
      </w:r>
      <w:r>
        <w:rPr>
          <w:rFonts w:ascii="宋体" w:hAnsi="宋体"/>
          <w:sz w:val="24"/>
        </w:rPr>
        <w:t>.1</w:t>
      </w:r>
      <w:r>
        <w:rPr>
          <w:rFonts w:hint="eastAsia" w:ascii="宋体" w:hAnsi="宋体" w:cs="Calibri"/>
          <w:kern w:val="0"/>
          <w:sz w:val="24"/>
        </w:rPr>
        <w:t>磋商小组所有成员应当集中与供应商分别进行磋商，并给予所有参加磋商的供应商平等的磋商机会。</w:t>
      </w:r>
      <w:bookmarkEnd w:id="20"/>
      <w:bookmarkEnd w:id="21"/>
      <w:bookmarkEnd w:id="22"/>
    </w:p>
    <w:p w14:paraId="0AC4A9D6">
      <w:pPr>
        <w:spacing w:line="360" w:lineRule="auto"/>
        <w:ind w:firstLine="422" w:firstLineChars="176"/>
        <w:rPr>
          <w:rFonts w:ascii="宋体" w:hAnsi="宋体"/>
          <w:sz w:val="24"/>
        </w:rPr>
      </w:pPr>
      <w:r>
        <w:rPr>
          <w:rFonts w:hint="eastAsia" w:ascii="宋体" w:hAnsi="宋体"/>
          <w:sz w:val="24"/>
        </w:rPr>
        <w:t>19</w:t>
      </w:r>
      <w:r>
        <w:rPr>
          <w:rFonts w:ascii="宋体" w:hAnsi="宋体"/>
          <w:sz w:val="24"/>
        </w:rPr>
        <w:t>.2</w:t>
      </w:r>
      <w:r>
        <w:rPr>
          <w:rFonts w:hint="eastAsia" w:ascii="宋体" w:hAnsi="宋体"/>
          <w:sz w:val="24"/>
        </w:rPr>
        <w:t>磋商小组首先对所有响应文件进行符合性、资格性、响应性审查。</w:t>
      </w:r>
    </w:p>
    <w:p w14:paraId="62DC1BD7">
      <w:pPr>
        <w:spacing w:line="360" w:lineRule="auto"/>
        <w:ind w:firstLine="422" w:firstLineChars="176"/>
        <w:rPr>
          <w:rFonts w:ascii="宋体" w:hAnsi="宋体"/>
          <w:sz w:val="24"/>
        </w:rPr>
      </w:pPr>
      <w:r>
        <w:rPr>
          <w:rFonts w:hint="eastAsia" w:ascii="宋体" w:hAnsi="宋体"/>
          <w:sz w:val="24"/>
        </w:rPr>
        <w:t>（1）允许修正响应文件中不构成重大偏离的、微小的、非正规的、不一致或不规则的地方。</w:t>
      </w:r>
    </w:p>
    <w:p w14:paraId="040AF42B">
      <w:pPr>
        <w:spacing w:line="360" w:lineRule="auto"/>
        <w:ind w:firstLine="422" w:firstLineChars="176"/>
        <w:rPr>
          <w:rFonts w:ascii="宋体" w:hAnsi="宋体"/>
          <w:sz w:val="24"/>
        </w:rPr>
      </w:pPr>
      <w:r>
        <w:rPr>
          <w:rFonts w:hint="eastAsia" w:ascii="宋体" w:hAnsi="宋体"/>
          <w:sz w:val="24"/>
        </w:rPr>
        <w:t>（2）磋商小组判断响应文件的响应性仅基于响应文件本身内容而不靠外部证据。</w:t>
      </w:r>
    </w:p>
    <w:p w14:paraId="023A4E92">
      <w:pPr>
        <w:spacing w:line="360" w:lineRule="auto"/>
        <w:ind w:firstLine="422" w:firstLineChars="176"/>
        <w:rPr>
          <w:rFonts w:ascii="宋体" w:hAnsi="宋体"/>
          <w:sz w:val="24"/>
        </w:rPr>
      </w:pPr>
      <w:r>
        <w:rPr>
          <w:rFonts w:hint="eastAsia" w:ascii="宋体" w:hAnsi="宋体"/>
          <w:sz w:val="24"/>
        </w:rPr>
        <w:t>（3）实质性未响应磋商文件要求的响应将被拒绝，供应商不得通过修正或撤消不符之处而使其响应成为实质性响应。</w:t>
      </w:r>
    </w:p>
    <w:p w14:paraId="21A3762F">
      <w:pPr>
        <w:spacing w:line="360" w:lineRule="auto"/>
        <w:ind w:firstLine="422" w:firstLineChars="176"/>
        <w:rPr>
          <w:rFonts w:ascii="宋体" w:hAnsi="宋体"/>
          <w:sz w:val="24"/>
        </w:rPr>
      </w:pPr>
      <w:r>
        <w:rPr>
          <w:rFonts w:hint="eastAsia" w:ascii="宋体" w:hAnsi="宋体"/>
          <w:sz w:val="24"/>
        </w:rPr>
        <w:t>（4）实质性未响应是指响应文件中提出了超出磋商文件中磋商控制价、服务内容、服务</w:t>
      </w:r>
      <w:r>
        <w:rPr>
          <w:rFonts w:hint="eastAsia" w:ascii="宋体" w:hAnsi="宋体"/>
          <w:sz w:val="24"/>
          <w:lang w:val="en-US" w:eastAsia="zh-CN"/>
        </w:rPr>
        <w:t>周</w:t>
      </w:r>
      <w:r>
        <w:rPr>
          <w:rFonts w:hint="eastAsia" w:ascii="宋体" w:hAnsi="宋体"/>
          <w:sz w:val="24"/>
        </w:rPr>
        <w:t>期、质量要求等内容。</w:t>
      </w:r>
    </w:p>
    <w:p w14:paraId="261B5CEF">
      <w:pPr>
        <w:spacing w:line="360" w:lineRule="auto"/>
        <w:ind w:firstLine="422" w:firstLineChars="176"/>
        <w:rPr>
          <w:rFonts w:ascii="宋体" w:hAnsi="宋体"/>
          <w:sz w:val="24"/>
        </w:rPr>
      </w:pPr>
      <w:r>
        <w:rPr>
          <w:rFonts w:hint="eastAsia" w:ascii="宋体" w:hAnsi="宋体"/>
          <w:sz w:val="24"/>
        </w:rPr>
        <w:t>19</w:t>
      </w:r>
      <w:r>
        <w:rPr>
          <w:rFonts w:ascii="宋体" w:hAnsi="宋体"/>
          <w:sz w:val="24"/>
        </w:rPr>
        <w:t>.3</w:t>
      </w:r>
      <w:r>
        <w:rPr>
          <w:rFonts w:hint="eastAsia" w:ascii="宋体" w:hAnsi="宋体"/>
          <w:sz w:val="24"/>
        </w:rPr>
        <w:t>有下列情形之一的，其响应文件将会被拒绝：</w:t>
      </w:r>
    </w:p>
    <w:p w14:paraId="2981EFA7">
      <w:pPr>
        <w:numPr>
          <w:ilvl w:val="0"/>
          <w:numId w:val="4"/>
        </w:numPr>
        <w:spacing w:line="360" w:lineRule="auto"/>
        <w:ind w:firstLine="422" w:firstLineChars="176"/>
        <w:rPr>
          <w:rFonts w:ascii="宋体" w:hAnsi="宋体"/>
          <w:sz w:val="24"/>
        </w:rPr>
      </w:pPr>
      <w:r>
        <w:rPr>
          <w:rFonts w:hint="eastAsia" w:ascii="宋体" w:hAnsi="宋体"/>
          <w:sz w:val="24"/>
        </w:rPr>
        <w:t>供应商资格不符合竞争性磋商文件要求的；</w:t>
      </w:r>
    </w:p>
    <w:p w14:paraId="09951743">
      <w:pPr>
        <w:numPr>
          <w:ilvl w:val="0"/>
          <w:numId w:val="4"/>
        </w:numPr>
        <w:spacing w:line="360" w:lineRule="auto"/>
        <w:ind w:firstLine="422" w:firstLineChars="176"/>
        <w:rPr>
          <w:rFonts w:ascii="宋体" w:hAnsi="宋体"/>
          <w:sz w:val="24"/>
        </w:rPr>
      </w:pPr>
      <w:r>
        <w:rPr>
          <w:rFonts w:hint="eastAsia" w:ascii="宋体" w:hAnsi="宋体"/>
          <w:sz w:val="24"/>
        </w:rPr>
        <w:t>磋商报价超过竞争性磋商文件规定的磋商控制价的；</w:t>
      </w:r>
    </w:p>
    <w:p w14:paraId="42F5760C">
      <w:pPr>
        <w:numPr>
          <w:ilvl w:val="0"/>
          <w:numId w:val="4"/>
        </w:numPr>
        <w:spacing w:line="360" w:lineRule="auto"/>
        <w:ind w:firstLine="422" w:firstLineChars="176"/>
        <w:rPr>
          <w:rFonts w:ascii="宋体" w:hAnsi="宋体"/>
          <w:sz w:val="24"/>
        </w:rPr>
      </w:pPr>
      <w:r>
        <w:rPr>
          <w:rFonts w:hint="eastAsia" w:ascii="宋体" w:hAnsi="宋体"/>
          <w:sz w:val="24"/>
        </w:rPr>
        <w:t>以他人的名义磋商、串通磋商、以行贿手段谋取成交或者以其他弄虚作假方式磋商的；</w:t>
      </w:r>
    </w:p>
    <w:p w14:paraId="607AC400">
      <w:pPr>
        <w:spacing w:line="360" w:lineRule="auto"/>
        <w:ind w:firstLine="480" w:firstLineChars="200"/>
        <w:rPr>
          <w:rFonts w:ascii="宋体" w:hAnsi="宋体"/>
          <w:sz w:val="24"/>
        </w:rPr>
      </w:pPr>
      <w:r>
        <w:rPr>
          <w:rFonts w:hint="eastAsia" w:ascii="宋体" w:hAnsi="宋体"/>
          <w:sz w:val="24"/>
        </w:rPr>
        <w:t>（4）采取不正当手段谋取成交的。</w:t>
      </w:r>
    </w:p>
    <w:p w14:paraId="59DC6E16">
      <w:pPr>
        <w:spacing w:line="360" w:lineRule="auto"/>
        <w:ind w:firstLine="424" w:firstLineChars="176"/>
        <w:rPr>
          <w:rFonts w:ascii="宋体" w:hAnsi="宋体"/>
          <w:b/>
          <w:bCs/>
          <w:sz w:val="24"/>
        </w:rPr>
      </w:pPr>
      <w:r>
        <w:rPr>
          <w:rFonts w:ascii="宋体" w:hAnsi="宋体"/>
          <w:b/>
          <w:bCs/>
          <w:sz w:val="24"/>
        </w:rPr>
        <w:t>2</w:t>
      </w:r>
      <w:r>
        <w:rPr>
          <w:rFonts w:hint="eastAsia" w:ascii="宋体" w:hAnsi="宋体"/>
          <w:b/>
          <w:bCs/>
          <w:sz w:val="24"/>
        </w:rPr>
        <w:t>0、对供应商的评价</w:t>
      </w:r>
    </w:p>
    <w:p w14:paraId="7CDBB5CD">
      <w:pPr>
        <w:spacing w:line="360" w:lineRule="auto"/>
        <w:ind w:firstLine="422" w:firstLineChars="176"/>
        <w:rPr>
          <w:rFonts w:ascii="宋体" w:hAnsi="宋体"/>
          <w:sz w:val="24"/>
        </w:rPr>
      </w:pPr>
      <w:r>
        <w:rPr>
          <w:rFonts w:ascii="宋体" w:hAnsi="宋体"/>
          <w:sz w:val="24"/>
        </w:rPr>
        <w:t>2</w:t>
      </w:r>
      <w:r>
        <w:rPr>
          <w:rFonts w:hint="eastAsia" w:ascii="宋体" w:hAnsi="宋体"/>
          <w:sz w:val="24"/>
        </w:rPr>
        <w:t>0</w:t>
      </w:r>
      <w:r>
        <w:rPr>
          <w:rFonts w:ascii="宋体" w:hAnsi="宋体"/>
          <w:sz w:val="24"/>
        </w:rPr>
        <w:t>.1</w:t>
      </w:r>
      <w:r>
        <w:rPr>
          <w:rFonts w:hint="eastAsia" w:ascii="宋体" w:hAnsi="宋体"/>
          <w:sz w:val="24"/>
        </w:rPr>
        <w:t>磋商小组只对已判定为实质性响应且通过资格审查的响应文件进行详细评价和比较。</w:t>
      </w:r>
    </w:p>
    <w:p w14:paraId="08A9A4DF">
      <w:pPr>
        <w:spacing w:line="360" w:lineRule="auto"/>
        <w:ind w:firstLine="422" w:firstLineChars="176"/>
        <w:rPr>
          <w:rFonts w:ascii="宋体" w:hAnsi="宋体"/>
          <w:sz w:val="24"/>
        </w:rPr>
      </w:pPr>
      <w:r>
        <w:rPr>
          <w:rFonts w:hint="eastAsia" w:ascii="宋体" w:hAnsi="宋体"/>
          <w:sz w:val="24"/>
        </w:rPr>
        <w:t>20</w:t>
      </w:r>
      <w:r>
        <w:rPr>
          <w:rFonts w:ascii="宋体" w:hAnsi="宋体"/>
          <w:sz w:val="24"/>
        </w:rPr>
        <w:t>.</w:t>
      </w:r>
      <w:r>
        <w:rPr>
          <w:rFonts w:hint="eastAsia" w:ascii="宋体" w:hAnsi="宋体"/>
          <w:sz w:val="24"/>
        </w:rPr>
        <w:t>2磋商小组所有成员应当集中与单一响应供应商分别进行磋商，并给予所有参加磋商的供应商平等的磋商机会。磋商完成后，要求其在规定时间内提交最后报价。</w:t>
      </w:r>
    </w:p>
    <w:p w14:paraId="4083B621">
      <w:pPr>
        <w:spacing w:line="360" w:lineRule="auto"/>
        <w:ind w:firstLine="422" w:firstLineChars="176"/>
        <w:rPr>
          <w:rFonts w:ascii="宋体" w:hAnsi="宋体"/>
          <w:sz w:val="24"/>
        </w:rPr>
      </w:pPr>
      <w:r>
        <w:rPr>
          <w:rFonts w:ascii="宋体" w:hAnsi="宋体"/>
          <w:sz w:val="24"/>
        </w:rPr>
        <w:t>2</w:t>
      </w:r>
      <w:r>
        <w:rPr>
          <w:rFonts w:hint="eastAsia" w:ascii="宋体" w:hAnsi="宋体"/>
          <w:sz w:val="24"/>
        </w:rPr>
        <w:t>0</w:t>
      </w:r>
      <w:r>
        <w:rPr>
          <w:rFonts w:ascii="宋体" w:hAnsi="宋体"/>
          <w:sz w:val="24"/>
        </w:rPr>
        <w:t>.</w:t>
      </w:r>
      <w:r>
        <w:rPr>
          <w:rFonts w:hint="eastAsia" w:ascii="宋体" w:hAnsi="宋体"/>
          <w:sz w:val="24"/>
        </w:rPr>
        <w:t>3经磋商确定最终服务内容和提交最后报价的供应商后，磋商小组采用综合评分法对提交最后报价的供应商的响应文件和最后报价进行综合评分。</w:t>
      </w:r>
    </w:p>
    <w:p w14:paraId="4FCEAD92">
      <w:pPr>
        <w:spacing w:line="440" w:lineRule="exact"/>
        <w:ind w:firstLine="422" w:firstLineChars="176"/>
        <w:rPr>
          <w:rFonts w:ascii="宋体" w:hAnsi="宋体"/>
          <w:sz w:val="24"/>
        </w:rPr>
      </w:pPr>
      <w:r>
        <w:rPr>
          <w:rFonts w:ascii="宋体" w:hAnsi="宋体"/>
          <w:sz w:val="24"/>
        </w:rPr>
        <w:t>2</w:t>
      </w:r>
      <w:r>
        <w:rPr>
          <w:rFonts w:hint="eastAsia" w:ascii="宋体" w:hAnsi="宋体"/>
          <w:sz w:val="24"/>
        </w:rPr>
        <w:t>0</w:t>
      </w:r>
      <w:r>
        <w:rPr>
          <w:rFonts w:ascii="宋体" w:hAnsi="宋体"/>
          <w:sz w:val="24"/>
        </w:rPr>
        <w:t>.</w:t>
      </w:r>
      <w:r>
        <w:rPr>
          <w:rFonts w:hint="eastAsia" w:ascii="宋体" w:hAnsi="宋体"/>
          <w:sz w:val="24"/>
        </w:rPr>
        <w:t>4磋商小组根据综合评分情况，按评审得分由高到低的顺序确定3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29DD7BD">
      <w:pPr>
        <w:spacing w:line="440" w:lineRule="exact"/>
        <w:ind w:firstLine="422" w:firstLineChars="176"/>
        <w:rPr>
          <w:rFonts w:ascii="宋体" w:hAnsi="宋体"/>
          <w:sz w:val="24"/>
        </w:rPr>
      </w:pPr>
      <w:r>
        <w:rPr>
          <w:rFonts w:ascii="宋体" w:hAnsi="宋体"/>
          <w:sz w:val="24"/>
        </w:rPr>
        <w:t>2</w:t>
      </w:r>
      <w:r>
        <w:rPr>
          <w:rFonts w:hint="eastAsia" w:ascii="宋体" w:hAnsi="宋体"/>
          <w:sz w:val="24"/>
        </w:rPr>
        <w:t>0</w:t>
      </w:r>
      <w:r>
        <w:rPr>
          <w:rFonts w:ascii="宋体" w:hAnsi="宋体"/>
          <w:sz w:val="24"/>
        </w:rPr>
        <w:t>.</w:t>
      </w:r>
      <w:r>
        <w:rPr>
          <w:rFonts w:hint="eastAsia" w:ascii="宋体" w:hAnsi="宋体"/>
          <w:sz w:val="24"/>
        </w:rPr>
        <w:t>5如果第一名供应商放弃成交资格或因不可抗力提出不能履行合同，采购人将依序确定排名第二名的成交候选供应商为成交供应商，也可以重新开展政府采购活动。</w:t>
      </w:r>
    </w:p>
    <w:p w14:paraId="00319525">
      <w:pPr>
        <w:spacing w:line="440" w:lineRule="exact"/>
        <w:ind w:firstLine="424" w:firstLineChars="176"/>
        <w:rPr>
          <w:rFonts w:ascii="宋体" w:hAnsi="宋体"/>
          <w:b/>
          <w:bCs/>
          <w:sz w:val="24"/>
        </w:rPr>
      </w:pPr>
      <w:r>
        <w:rPr>
          <w:rFonts w:ascii="宋体" w:hAnsi="宋体"/>
          <w:b/>
          <w:bCs/>
          <w:sz w:val="24"/>
        </w:rPr>
        <w:t>2</w:t>
      </w:r>
      <w:r>
        <w:rPr>
          <w:rFonts w:hint="eastAsia" w:ascii="宋体" w:hAnsi="宋体"/>
          <w:b/>
          <w:bCs/>
          <w:sz w:val="24"/>
        </w:rPr>
        <w:t>1、响应文件的澄清</w:t>
      </w:r>
    </w:p>
    <w:p w14:paraId="4D0DE10D">
      <w:pPr>
        <w:spacing w:line="440" w:lineRule="exact"/>
        <w:ind w:firstLine="422" w:firstLineChars="176"/>
        <w:rPr>
          <w:rFonts w:ascii="宋体" w:hAnsi="宋体"/>
          <w:sz w:val="24"/>
        </w:rPr>
      </w:pPr>
      <w:r>
        <w:rPr>
          <w:rFonts w:ascii="宋体" w:hAnsi="宋体"/>
          <w:sz w:val="24"/>
        </w:rPr>
        <w:t>2</w:t>
      </w:r>
      <w:r>
        <w:rPr>
          <w:rFonts w:hint="eastAsia" w:ascii="宋体" w:hAnsi="宋体"/>
          <w:sz w:val="24"/>
        </w:rPr>
        <w:t>1</w:t>
      </w:r>
      <w:r>
        <w:rPr>
          <w:rFonts w:ascii="宋体" w:hAnsi="宋体"/>
          <w:sz w:val="24"/>
        </w:rPr>
        <w:t>.1</w:t>
      </w:r>
      <w:r>
        <w:rPr>
          <w:rFonts w:hint="eastAsia" w:ascii="宋体" w:hAnsi="宋体"/>
          <w:sz w:val="24"/>
        </w:rPr>
        <w:t>为了有助于对响应文件进行审查、评估和比较，磋商小组有权向供应商质疑。请供应商澄清其</w:t>
      </w:r>
      <w:r>
        <w:rPr>
          <w:rFonts w:hint="eastAsia" w:ascii="宋体" w:hAnsi="宋体"/>
          <w:kern w:val="0"/>
          <w:sz w:val="24"/>
        </w:rPr>
        <w:t>磋商</w:t>
      </w:r>
      <w:r>
        <w:rPr>
          <w:rFonts w:hint="eastAsia" w:ascii="宋体" w:hAnsi="宋体"/>
          <w:sz w:val="24"/>
        </w:rPr>
        <w:t>内容。供应商有责任按照磋商小组通知的时间、地点、方式指派委托代理人进行答疑和澄清。</w:t>
      </w:r>
    </w:p>
    <w:p w14:paraId="2E4D7504">
      <w:pPr>
        <w:spacing w:line="440" w:lineRule="exact"/>
        <w:ind w:firstLine="422" w:firstLineChars="176"/>
        <w:rPr>
          <w:rFonts w:ascii="宋体" w:hAnsi="宋体"/>
          <w:sz w:val="24"/>
        </w:rPr>
      </w:pPr>
      <w:r>
        <w:rPr>
          <w:rFonts w:ascii="宋体" w:hAnsi="宋体"/>
          <w:sz w:val="24"/>
        </w:rPr>
        <w:t>2</w:t>
      </w:r>
      <w:r>
        <w:rPr>
          <w:rFonts w:hint="eastAsia" w:ascii="宋体" w:hAnsi="宋体"/>
          <w:sz w:val="24"/>
        </w:rPr>
        <w:t>1</w:t>
      </w:r>
      <w:r>
        <w:rPr>
          <w:rFonts w:ascii="宋体" w:hAnsi="宋体"/>
          <w:sz w:val="24"/>
        </w:rPr>
        <w:t>.2</w:t>
      </w:r>
      <w:r>
        <w:rPr>
          <w:rFonts w:hint="eastAsia" w:ascii="宋体" w:hAnsi="宋体"/>
          <w:sz w:val="24"/>
        </w:rPr>
        <w:t>重要澄清的答复应是书面的，并由法定代表人或其委托代理人签字。</w:t>
      </w:r>
    </w:p>
    <w:p w14:paraId="6FA11404">
      <w:pPr>
        <w:spacing w:line="440" w:lineRule="exact"/>
        <w:ind w:firstLine="422" w:firstLineChars="176"/>
        <w:rPr>
          <w:rFonts w:ascii="宋体" w:hAnsi="宋体"/>
          <w:sz w:val="24"/>
        </w:rPr>
      </w:pPr>
      <w:r>
        <w:rPr>
          <w:rFonts w:ascii="宋体" w:hAnsi="宋体"/>
          <w:sz w:val="24"/>
        </w:rPr>
        <w:t>2</w:t>
      </w:r>
      <w:r>
        <w:rPr>
          <w:rFonts w:hint="eastAsia" w:ascii="宋体" w:hAnsi="宋体"/>
          <w:sz w:val="24"/>
        </w:rPr>
        <w:t>1</w:t>
      </w:r>
      <w:r>
        <w:rPr>
          <w:rFonts w:ascii="宋体" w:hAnsi="宋体"/>
          <w:sz w:val="24"/>
        </w:rPr>
        <w:t>.3</w:t>
      </w:r>
      <w:r>
        <w:rPr>
          <w:rFonts w:hint="eastAsia" w:ascii="宋体" w:hAnsi="宋体"/>
          <w:sz w:val="24"/>
        </w:rPr>
        <w:t>供应商的澄清文件响应文件的组成部分，并取代响应文件中被澄清的部分。</w:t>
      </w:r>
    </w:p>
    <w:p w14:paraId="2B4C98F5">
      <w:pPr>
        <w:spacing w:line="440" w:lineRule="exact"/>
        <w:ind w:firstLine="422" w:firstLineChars="176"/>
        <w:rPr>
          <w:rFonts w:ascii="宋体" w:hAnsi="宋体"/>
          <w:sz w:val="24"/>
        </w:rPr>
      </w:pPr>
      <w:r>
        <w:rPr>
          <w:rFonts w:ascii="宋体" w:hAnsi="宋体"/>
          <w:sz w:val="24"/>
        </w:rPr>
        <w:t>2</w:t>
      </w:r>
      <w:r>
        <w:rPr>
          <w:rFonts w:hint="eastAsia" w:ascii="宋体" w:hAnsi="宋体"/>
          <w:sz w:val="24"/>
        </w:rPr>
        <w:t>1</w:t>
      </w:r>
      <w:r>
        <w:rPr>
          <w:rFonts w:ascii="宋体" w:hAnsi="宋体"/>
          <w:sz w:val="24"/>
        </w:rPr>
        <w:t>.4</w:t>
      </w:r>
      <w:r>
        <w:rPr>
          <w:rFonts w:hint="eastAsia" w:ascii="宋体" w:hAnsi="宋体"/>
          <w:sz w:val="24"/>
        </w:rPr>
        <w:t>响应文件澄清部分不得对磋商内容进行实质性修改。</w:t>
      </w:r>
    </w:p>
    <w:p w14:paraId="138FD75E">
      <w:pPr>
        <w:spacing w:line="420" w:lineRule="exact"/>
        <w:ind w:firstLine="424" w:firstLineChars="176"/>
        <w:rPr>
          <w:rFonts w:ascii="宋体" w:hAnsi="宋体"/>
          <w:b/>
          <w:bCs/>
          <w:sz w:val="24"/>
        </w:rPr>
      </w:pPr>
      <w:r>
        <w:rPr>
          <w:rFonts w:ascii="宋体" w:hAnsi="宋体"/>
          <w:b/>
          <w:bCs/>
          <w:sz w:val="24"/>
        </w:rPr>
        <w:t>2</w:t>
      </w:r>
      <w:r>
        <w:rPr>
          <w:rFonts w:hint="eastAsia" w:ascii="宋体" w:hAnsi="宋体"/>
          <w:b/>
          <w:bCs/>
          <w:sz w:val="24"/>
        </w:rPr>
        <w:t>2、确定成交供应商</w:t>
      </w:r>
    </w:p>
    <w:p w14:paraId="2CD03F89">
      <w:pPr>
        <w:spacing w:line="420" w:lineRule="exact"/>
        <w:ind w:firstLine="422" w:firstLineChars="176"/>
        <w:rPr>
          <w:rFonts w:ascii="宋体" w:hAnsi="宋体"/>
          <w:sz w:val="24"/>
        </w:rPr>
      </w:pPr>
      <w:r>
        <w:rPr>
          <w:rFonts w:ascii="宋体" w:hAnsi="宋体"/>
          <w:sz w:val="24"/>
        </w:rPr>
        <w:t>2</w:t>
      </w:r>
      <w:r>
        <w:rPr>
          <w:rFonts w:hint="eastAsia" w:ascii="宋体" w:hAnsi="宋体"/>
          <w:sz w:val="24"/>
        </w:rPr>
        <w:t>2</w:t>
      </w:r>
      <w:r>
        <w:rPr>
          <w:rFonts w:ascii="宋体" w:hAnsi="宋体"/>
          <w:sz w:val="24"/>
        </w:rPr>
        <w:t>.1</w:t>
      </w:r>
      <w:r>
        <w:rPr>
          <w:rFonts w:hint="eastAsia" w:ascii="宋体" w:hAnsi="宋体"/>
          <w:sz w:val="24"/>
        </w:rPr>
        <w:t>磋商小组应当根据综合评分情况，按照评审由高到低的顺序推荐成交候选供应商，并向采购人提供书面评审报告。</w:t>
      </w:r>
    </w:p>
    <w:p w14:paraId="04AC6C4D">
      <w:pPr>
        <w:autoSpaceDE w:val="0"/>
        <w:autoSpaceDN w:val="0"/>
        <w:adjustRightInd w:val="0"/>
        <w:spacing w:line="430" w:lineRule="exact"/>
        <w:ind w:firstLine="420"/>
        <w:jc w:val="left"/>
        <w:outlineLvl w:val="0"/>
        <w:rPr>
          <w:rFonts w:ascii="宋体" w:hAnsi="宋体" w:cs="宋体"/>
          <w:sz w:val="24"/>
        </w:rPr>
      </w:pPr>
      <w:bookmarkStart w:id="23" w:name="_Toc173946415"/>
      <w:bookmarkEnd w:id="23"/>
      <w:bookmarkStart w:id="24" w:name="_Toc171410857"/>
      <w:bookmarkEnd w:id="24"/>
      <w:bookmarkStart w:id="25" w:name="_Toc174034448"/>
      <w:bookmarkEnd w:id="25"/>
      <w:bookmarkStart w:id="26" w:name="_Toc173946080"/>
      <w:bookmarkEnd w:id="26"/>
      <w:bookmarkStart w:id="27" w:name="_Toc171002590"/>
      <w:bookmarkEnd w:id="27"/>
      <w:bookmarkStart w:id="28" w:name="_Toc24476"/>
      <w:bookmarkStart w:id="29" w:name="_Toc10924"/>
      <w:bookmarkStart w:id="30" w:name="_Toc4678"/>
      <w:r>
        <w:rPr>
          <w:rFonts w:hint="eastAsia" w:ascii="宋体" w:hAnsi="宋体" w:cs="宋体"/>
          <w:bCs/>
          <w:sz w:val="24"/>
        </w:rPr>
        <w:t>22.2</w:t>
      </w:r>
      <w:r>
        <w:rPr>
          <w:rFonts w:hint="eastAsia" w:ascii="宋体" w:hAnsi="宋体"/>
          <w:sz w:val="24"/>
        </w:rPr>
        <w:t>磋商小组</w:t>
      </w:r>
      <w:r>
        <w:rPr>
          <w:rFonts w:hint="eastAsia" w:ascii="宋体" w:hAnsi="宋体" w:cs="宋体"/>
          <w:sz w:val="24"/>
        </w:rPr>
        <w:t>经采购人授权，确定排名第一的成交候选供应商为成交供应商。当确定成交供应商放弃成交或因不可抗力提出不能履行合同的，采购人可以按照评审报告推荐的成交候选供应商名单，确定下一成交候选供应商为成交供应商，也可以重新开展政府采购活动。</w:t>
      </w:r>
      <w:bookmarkEnd w:id="28"/>
      <w:bookmarkEnd w:id="29"/>
      <w:bookmarkEnd w:id="30"/>
    </w:p>
    <w:p w14:paraId="54F94B06">
      <w:pPr>
        <w:spacing w:line="420" w:lineRule="exact"/>
        <w:ind w:firstLine="424" w:firstLineChars="176"/>
        <w:rPr>
          <w:rFonts w:ascii="宋体" w:hAnsi="宋体"/>
          <w:b/>
          <w:bCs/>
          <w:sz w:val="24"/>
        </w:rPr>
      </w:pPr>
      <w:r>
        <w:rPr>
          <w:rFonts w:ascii="宋体" w:hAnsi="宋体"/>
          <w:b/>
          <w:bCs/>
          <w:sz w:val="24"/>
        </w:rPr>
        <w:t>2</w:t>
      </w:r>
      <w:r>
        <w:rPr>
          <w:rFonts w:hint="eastAsia" w:ascii="宋体" w:hAnsi="宋体"/>
          <w:b/>
          <w:bCs/>
          <w:sz w:val="24"/>
        </w:rPr>
        <w:t>3、保密及其它注意事项</w:t>
      </w:r>
    </w:p>
    <w:p w14:paraId="724947D1">
      <w:pPr>
        <w:spacing w:line="420" w:lineRule="exact"/>
        <w:ind w:firstLine="422" w:firstLineChars="176"/>
        <w:rPr>
          <w:rFonts w:ascii="宋体" w:hAnsi="宋体"/>
          <w:sz w:val="24"/>
        </w:rPr>
      </w:pPr>
      <w:r>
        <w:rPr>
          <w:rFonts w:ascii="宋体" w:hAnsi="宋体"/>
          <w:sz w:val="24"/>
        </w:rPr>
        <w:t>2</w:t>
      </w:r>
      <w:r>
        <w:rPr>
          <w:rFonts w:hint="eastAsia" w:ascii="宋体" w:hAnsi="宋体"/>
          <w:sz w:val="24"/>
        </w:rPr>
        <w:t>3</w:t>
      </w:r>
      <w:r>
        <w:rPr>
          <w:rFonts w:ascii="宋体" w:hAnsi="宋体"/>
          <w:sz w:val="24"/>
        </w:rPr>
        <w:t>.1</w:t>
      </w:r>
      <w:r>
        <w:rPr>
          <w:rFonts w:hint="eastAsia" w:ascii="宋体" w:hAnsi="宋体"/>
          <w:sz w:val="24"/>
        </w:rPr>
        <w:t>评审工作是磋商工作的重要环节，评审工作在磋商小组内独立进行。</w:t>
      </w:r>
    </w:p>
    <w:p w14:paraId="35624671">
      <w:pPr>
        <w:spacing w:line="420" w:lineRule="exact"/>
        <w:ind w:firstLine="422" w:firstLineChars="176"/>
        <w:rPr>
          <w:rFonts w:ascii="宋体" w:hAnsi="宋体"/>
          <w:sz w:val="24"/>
        </w:rPr>
      </w:pPr>
      <w:r>
        <w:rPr>
          <w:rFonts w:ascii="宋体" w:hAnsi="宋体"/>
          <w:sz w:val="24"/>
        </w:rPr>
        <w:t>2</w:t>
      </w:r>
      <w:r>
        <w:rPr>
          <w:rFonts w:hint="eastAsia" w:ascii="宋体" w:hAnsi="宋体"/>
          <w:sz w:val="24"/>
        </w:rPr>
        <w:t>3</w:t>
      </w:r>
      <w:r>
        <w:rPr>
          <w:rFonts w:ascii="宋体" w:hAnsi="宋体"/>
          <w:sz w:val="24"/>
        </w:rPr>
        <w:t>.2</w:t>
      </w:r>
      <w:r>
        <w:rPr>
          <w:rFonts w:hint="eastAsia" w:ascii="宋体" w:hAnsi="宋体"/>
          <w:sz w:val="24"/>
        </w:rPr>
        <w:t>在评审期间，供应商不得向磋商小组成员询问评审情况，不得进行影响评审结果的活动。否则其响应将会被拒绝。</w:t>
      </w:r>
    </w:p>
    <w:p w14:paraId="68D4B814">
      <w:pPr>
        <w:spacing w:line="420" w:lineRule="exact"/>
        <w:ind w:firstLine="422" w:firstLineChars="176"/>
        <w:rPr>
          <w:rFonts w:ascii="宋体" w:hAnsi="宋体"/>
          <w:sz w:val="24"/>
        </w:rPr>
      </w:pPr>
      <w:r>
        <w:rPr>
          <w:rFonts w:ascii="宋体" w:hAnsi="宋体"/>
          <w:sz w:val="24"/>
        </w:rPr>
        <w:t>2</w:t>
      </w:r>
      <w:r>
        <w:rPr>
          <w:rFonts w:hint="eastAsia" w:ascii="宋体" w:hAnsi="宋体"/>
          <w:sz w:val="24"/>
        </w:rPr>
        <w:t>3</w:t>
      </w:r>
      <w:r>
        <w:rPr>
          <w:rFonts w:ascii="宋体" w:hAnsi="宋体"/>
          <w:sz w:val="24"/>
        </w:rPr>
        <w:t>.3</w:t>
      </w:r>
      <w:r>
        <w:rPr>
          <w:rFonts w:hint="eastAsia" w:ascii="宋体" w:hAnsi="宋体"/>
          <w:sz w:val="24"/>
        </w:rPr>
        <w:t>为保证评审的公正性，磋商开始后直至授予成交供应商合同，磋商小组成员不得与供应商私下交换意见。</w:t>
      </w:r>
    </w:p>
    <w:p w14:paraId="2270F1CC">
      <w:pPr>
        <w:spacing w:line="420" w:lineRule="exact"/>
        <w:ind w:firstLine="422" w:firstLineChars="176"/>
        <w:rPr>
          <w:rFonts w:ascii="宋体" w:hAnsi="宋体"/>
          <w:sz w:val="24"/>
        </w:rPr>
      </w:pPr>
      <w:r>
        <w:rPr>
          <w:rFonts w:ascii="宋体" w:hAnsi="宋体"/>
          <w:sz w:val="24"/>
        </w:rPr>
        <w:t>2</w:t>
      </w:r>
      <w:r>
        <w:rPr>
          <w:rFonts w:hint="eastAsia" w:ascii="宋体" w:hAnsi="宋体"/>
          <w:sz w:val="24"/>
        </w:rPr>
        <w:t>3</w:t>
      </w:r>
      <w:r>
        <w:rPr>
          <w:rFonts w:ascii="宋体" w:hAnsi="宋体"/>
          <w:sz w:val="24"/>
        </w:rPr>
        <w:t>.4</w:t>
      </w:r>
      <w:r>
        <w:rPr>
          <w:rFonts w:hint="eastAsia" w:ascii="宋体" w:hAnsi="宋体"/>
          <w:sz w:val="24"/>
        </w:rPr>
        <w:t>在评审工作结束后，凡与评审情况有接触的任何人不得擅自将评审情况扩散出评审人员之外。</w:t>
      </w:r>
    </w:p>
    <w:p w14:paraId="11D856D9">
      <w:pPr>
        <w:spacing w:line="420" w:lineRule="exact"/>
        <w:ind w:firstLine="424" w:firstLineChars="176"/>
        <w:rPr>
          <w:rFonts w:ascii="宋体" w:hAnsi="宋体"/>
          <w:b/>
          <w:bCs/>
          <w:sz w:val="24"/>
        </w:rPr>
      </w:pPr>
      <w:r>
        <w:rPr>
          <w:rFonts w:ascii="宋体" w:hAnsi="宋体"/>
          <w:b/>
          <w:bCs/>
          <w:sz w:val="24"/>
        </w:rPr>
        <w:t>2</w:t>
      </w:r>
      <w:r>
        <w:rPr>
          <w:rFonts w:hint="eastAsia" w:ascii="宋体" w:hAnsi="宋体"/>
          <w:b/>
          <w:bCs/>
          <w:sz w:val="24"/>
        </w:rPr>
        <w:t>4、成交通知</w:t>
      </w:r>
      <w:r>
        <w:tab/>
      </w:r>
    </w:p>
    <w:p w14:paraId="4661D4E8">
      <w:pPr>
        <w:spacing w:line="420" w:lineRule="exact"/>
        <w:ind w:firstLine="422" w:firstLineChars="176"/>
        <w:rPr>
          <w:rFonts w:ascii="宋体" w:hAnsi="宋体"/>
          <w:sz w:val="24"/>
        </w:rPr>
      </w:pPr>
      <w:r>
        <w:rPr>
          <w:rFonts w:ascii="宋体" w:hAnsi="宋体"/>
          <w:sz w:val="24"/>
        </w:rPr>
        <w:t>2</w:t>
      </w:r>
      <w:r>
        <w:rPr>
          <w:rFonts w:hint="eastAsia" w:ascii="宋体" w:hAnsi="宋体"/>
          <w:sz w:val="24"/>
        </w:rPr>
        <w:t>4</w:t>
      </w:r>
      <w:r>
        <w:rPr>
          <w:rFonts w:ascii="宋体" w:hAnsi="宋体"/>
          <w:sz w:val="24"/>
        </w:rPr>
        <w:t>.1</w:t>
      </w:r>
      <w:r>
        <w:rPr>
          <w:rFonts w:hint="eastAsia" w:ascii="宋体" w:hAnsi="宋体"/>
          <w:sz w:val="24"/>
        </w:rPr>
        <w:t>成交供应商确定后，采购人向成交供应商签发成交通知书，并将成交结果通知所有未成交的供应商。</w:t>
      </w:r>
    </w:p>
    <w:p w14:paraId="20FE4FAA">
      <w:pPr>
        <w:spacing w:line="420" w:lineRule="exact"/>
        <w:ind w:firstLine="422" w:firstLineChars="176"/>
        <w:rPr>
          <w:rFonts w:ascii="宋体" w:hAnsi="宋体"/>
          <w:sz w:val="24"/>
        </w:rPr>
      </w:pPr>
      <w:r>
        <w:rPr>
          <w:rFonts w:hint="eastAsia" w:ascii="宋体" w:hAnsi="宋体"/>
          <w:sz w:val="24"/>
        </w:rPr>
        <w:t>24</w:t>
      </w:r>
      <w:r>
        <w:rPr>
          <w:rFonts w:ascii="宋体" w:hAnsi="宋体"/>
          <w:sz w:val="24"/>
        </w:rPr>
        <w:t>.2</w:t>
      </w:r>
      <w:r>
        <w:rPr>
          <w:rFonts w:hint="eastAsia" w:ascii="宋体" w:hAnsi="宋体"/>
          <w:sz w:val="24"/>
        </w:rPr>
        <w:t>成交通知书作为签订合同的依据，对采购人和成交供应商均具有法律效力，成交通知书发出后，采购人改变成交结果或者成交供应商放弃项目，应依法承担法律责任。</w:t>
      </w:r>
    </w:p>
    <w:p w14:paraId="32F47AE4">
      <w:pPr>
        <w:spacing w:line="420" w:lineRule="exact"/>
        <w:ind w:firstLine="424" w:firstLineChars="176"/>
        <w:rPr>
          <w:rFonts w:ascii="宋体" w:hAnsi="宋体"/>
          <w:b/>
          <w:bCs/>
          <w:sz w:val="24"/>
        </w:rPr>
      </w:pPr>
      <w:r>
        <w:rPr>
          <w:rFonts w:ascii="宋体" w:hAnsi="宋体"/>
          <w:b/>
          <w:bCs/>
          <w:sz w:val="24"/>
        </w:rPr>
        <w:t>2</w:t>
      </w:r>
      <w:r>
        <w:rPr>
          <w:rFonts w:hint="eastAsia" w:ascii="宋体" w:hAnsi="宋体"/>
          <w:b/>
          <w:bCs/>
          <w:sz w:val="24"/>
        </w:rPr>
        <w:t>5、签订合同</w:t>
      </w:r>
    </w:p>
    <w:p w14:paraId="442E58E9">
      <w:pPr>
        <w:wordWrap w:val="0"/>
        <w:autoSpaceDE w:val="0"/>
        <w:autoSpaceDN w:val="0"/>
        <w:adjustRightInd w:val="0"/>
        <w:spacing w:line="360" w:lineRule="auto"/>
        <w:ind w:firstLine="464" w:firstLineChars="200"/>
        <w:rPr>
          <w:rFonts w:ascii="宋体" w:hAnsi="宋体" w:cs="宋体"/>
          <w:spacing w:val="-4"/>
          <w:sz w:val="24"/>
        </w:rPr>
      </w:pPr>
      <w:r>
        <w:rPr>
          <w:rFonts w:hint="eastAsia" w:ascii="宋体" w:hAnsi="宋体" w:cs="宋体"/>
          <w:spacing w:val="-4"/>
          <w:sz w:val="24"/>
        </w:rPr>
        <w:t>采购人、成交供应商在成交通知书发出之日起在2个工作日，根据竞争性磋商文件确定的事项和成交供应商响应文件签订合同。双方所签订的合同不得对竞争性磋商文件和成交供应商响应文件作实质性修改。成交供应商逾期未签订合同，视为成交后无正当理由不与采购人签订合同，按照有关法律规定承担相应的法律责任。采购人逾期不与成交供应商签订合同的，按政府采购的有关规定处理。</w:t>
      </w:r>
    </w:p>
    <w:p w14:paraId="1E7A5ADA">
      <w:pPr>
        <w:wordWrap w:val="0"/>
        <w:autoSpaceDE w:val="0"/>
        <w:autoSpaceDN w:val="0"/>
        <w:adjustRightInd w:val="0"/>
        <w:spacing w:line="360" w:lineRule="auto"/>
        <w:ind w:firstLine="464" w:firstLineChars="200"/>
        <w:rPr>
          <w:rFonts w:ascii="宋体" w:hAnsi="宋体" w:cs="宋体"/>
          <w:spacing w:val="-4"/>
          <w:sz w:val="24"/>
        </w:rPr>
      </w:pPr>
      <w:r>
        <w:rPr>
          <w:rFonts w:hint="eastAsia" w:ascii="宋体" w:hAnsi="宋体" w:cs="宋体"/>
          <w:spacing w:val="-4"/>
          <w:sz w:val="24"/>
        </w:rPr>
        <w:t>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7DC46ED7">
      <w:pPr>
        <w:wordWrap w:val="0"/>
        <w:autoSpaceDE w:val="0"/>
        <w:autoSpaceDN w:val="0"/>
        <w:adjustRightInd w:val="0"/>
        <w:spacing w:line="360" w:lineRule="auto"/>
        <w:ind w:firstLine="464" w:firstLineChars="200"/>
        <w:rPr>
          <w:rFonts w:ascii="宋体" w:hAnsi="宋体" w:cs="宋体"/>
          <w:spacing w:val="-4"/>
          <w:sz w:val="24"/>
        </w:rPr>
      </w:pPr>
      <w:r>
        <w:rPr>
          <w:rFonts w:hint="eastAsia" w:ascii="宋体" w:hAnsi="宋体" w:cs="宋体"/>
          <w:spacing w:val="-4"/>
          <w:sz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4836388">
      <w:pPr>
        <w:spacing w:line="420" w:lineRule="exact"/>
        <w:ind w:firstLine="424" w:firstLineChars="176"/>
        <w:rPr>
          <w:rFonts w:ascii="宋体" w:hAnsi="宋体"/>
          <w:b/>
          <w:sz w:val="24"/>
        </w:rPr>
      </w:pPr>
      <w:r>
        <w:rPr>
          <w:rFonts w:ascii="宋体" w:hAnsi="宋体"/>
          <w:b/>
          <w:sz w:val="24"/>
        </w:rPr>
        <w:t>2</w:t>
      </w:r>
      <w:r>
        <w:rPr>
          <w:rFonts w:hint="eastAsia" w:ascii="宋体" w:hAnsi="宋体"/>
          <w:b/>
          <w:sz w:val="24"/>
        </w:rPr>
        <w:t>6、特别注意事项：</w:t>
      </w:r>
    </w:p>
    <w:p w14:paraId="73654023">
      <w:pPr>
        <w:spacing w:line="420" w:lineRule="exact"/>
        <w:ind w:firstLine="422" w:firstLineChars="176"/>
        <w:rPr>
          <w:rFonts w:ascii="宋体" w:hAnsi="宋体"/>
          <w:sz w:val="24"/>
        </w:rPr>
      </w:pPr>
      <w:r>
        <w:rPr>
          <w:rFonts w:ascii="宋体" w:hAnsi="宋体"/>
          <w:sz w:val="24"/>
        </w:rPr>
        <w:t>2</w:t>
      </w:r>
      <w:r>
        <w:rPr>
          <w:rFonts w:hint="eastAsia" w:ascii="宋体" w:hAnsi="宋体"/>
          <w:sz w:val="24"/>
        </w:rPr>
        <w:t>6</w:t>
      </w:r>
      <w:r>
        <w:rPr>
          <w:rFonts w:ascii="宋体" w:hAnsi="宋体"/>
          <w:sz w:val="24"/>
        </w:rPr>
        <w:t>.1</w:t>
      </w:r>
      <w:r>
        <w:rPr>
          <w:rFonts w:hint="eastAsia" w:ascii="宋体" w:hAnsi="宋体"/>
          <w:sz w:val="24"/>
        </w:rPr>
        <w:t>供应商出现下列情形之一的，磋商小组可取消其磋商资格：</w:t>
      </w:r>
    </w:p>
    <w:p w14:paraId="0F74B1F7">
      <w:pPr>
        <w:spacing w:line="420" w:lineRule="exact"/>
        <w:ind w:firstLine="422" w:firstLineChars="176"/>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）未按磋商文件要求和规定提交实质性响应材料的；</w:t>
      </w:r>
    </w:p>
    <w:p w14:paraId="57F55F5C">
      <w:pPr>
        <w:spacing w:line="420" w:lineRule="exact"/>
        <w:ind w:firstLine="422" w:firstLineChars="176"/>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）相互串通磋商的（有下列情形之一的，视为供应商相互串通磋商）；</w:t>
      </w:r>
    </w:p>
    <w:p w14:paraId="34A09AAF">
      <w:pPr>
        <w:spacing w:line="420" w:lineRule="exact"/>
        <w:ind w:firstLine="422" w:firstLineChars="176"/>
        <w:rPr>
          <w:rFonts w:ascii="宋体" w:hAnsi="宋体" w:eastAsia="宋体"/>
          <w:sz w:val="24"/>
        </w:rPr>
      </w:pPr>
      <w:r>
        <w:rPr>
          <w:rFonts w:ascii="宋体" w:hAnsi="宋体"/>
          <w:sz w:val="24"/>
        </w:rPr>
        <w:t>A</w:t>
      </w:r>
      <w:r>
        <w:rPr>
          <w:rFonts w:hint="eastAsia" w:ascii="宋体" w:hAnsi="宋体"/>
          <w:sz w:val="24"/>
        </w:rPr>
        <w:t>、不同供应商的响应文件由同一单位或者个人编制；</w:t>
      </w:r>
    </w:p>
    <w:p w14:paraId="6F3F3F5C">
      <w:pPr>
        <w:spacing w:line="420" w:lineRule="exact"/>
        <w:ind w:firstLine="422" w:firstLineChars="176"/>
        <w:rPr>
          <w:rFonts w:ascii="宋体" w:hAnsi="宋体" w:eastAsia="宋体"/>
          <w:sz w:val="24"/>
        </w:rPr>
      </w:pPr>
      <w:r>
        <w:rPr>
          <w:rFonts w:ascii="宋体" w:hAnsi="宋体"/>
          <w:sz w:val="24"/>
        </w:rPr>
        <w:t>B</w:t>
      </w:r>
      <w:r>
        <w:rPr>
          <w:rFonts w:hint="eastAsia" w:ascii="宋体" w:hAnsi="宋体"/>
          <w:sz w:val="24"/>
        </w:rPr>
        <w:t>、不同供应商的响应文件载明的项目管理成员为同一人；</w:t>
      </w:r>
    </w:p>
    <w:p w14:paraId="4C317E39">
      <w:pPr>
        <w:autoSpaceDE w:val="0"/>
        <w:spacing w:line="420" w:lineRule="exact"/>
        <w:ind w:firstLine="422" w:firstLineChars="176"/>
        <w:rPr>
          <w:rFonts w:ascii="宋体" w:hAnsi="宋体" w:eastAsia="宋体"/>
          <w:sz w:val="24"/>
        </w:rPr>
      </w:pPr>
      <w:r>
        <w:rPr>
          <w:rFonts w:ascii="宋体" w:hAnsi="宋体"/>
          <w:sz w:val="24"/>
        </w:rPr>
        <w:t>C</w:t>
      </w:r>
      <w:r>
        <w:rPr>
          <w:rFonts w:hint="eastAsia" w:ascii="宋体" w:hAnsi="宋体"/>
          <w:sz w:val="24"/>
        </w:rPr>
        <w:t>、不同供应商的响应文件异常一致或者磋商报价呈规律性差异；</w:t>
      </w:r>
    </w:p>
    <w:p w14:paraId="70BFD85C">
      <w:pPr>
        <w:autoSpaceDE w:val="0"/>
        <w:spacing w:line="420" w:lineRule="exact"/>
        <w:ind w:firstLine="422" w:firstLineChars="176"/>
        <w:rPr>
          <w:rFonts w:ascii="宋体" w:hAnsi="宋体" w:eastAsia="宋体"/>
          <w:sz w:val="24"/>
        </w:rPr>
      </w:pPr>
      <w:r>
        <w:rPr>
          <w:rFonts w:ascii="宋体" w:hAnsi="宋体"/>
          <w:sz w:val="24"/>
        </w:rPr>
        <w:t>D</w:t>
      </w:r>
      <w:r>
        <w:rPr>
          <w:rFonts w:hint="eastAsia" w:ascii="宋体" w:hAnsi="宋体"/>
          <w:sz w:val="24"/>
        </w:rPr>
        <w:t>、不同供应商的响应文件相互混放；</w:t>
      </w:r>
    </w:p>
    <w:p w14:paraId="09191EA8">
      <w:pPr>
        <w:autoSpaceDE w:val="0"/>
        <w:spacing w:line="420" w:lineRule="exact"/>
        <w:ind w:firstLine="422" w:firstLineChars="176"/>
        <w:rPr>
          <w:rFonts w:ascii="宋体" w:hAnsi="宋体"/>
          <w:sz w:val="24"/>
        </w:rPr>
      </w:pPr>
      <w:r>
        <w:rPr>
          <w:rFonts w:ascii="宋体" w:hAnsi="宋体"/>
          <w:sz w:val="24"/>
        </w:rPr>
        <w:t>2</w:t>
      </w:r>
      <w:r>
        <w:rPr>
          <w:rFonts w:hint="eastAsia" w:ascii="宋体" w:hAnsi="宋体"/>
          <w:sz w:val="24"/>
        </w:rPr>
        <w:t>6</w:t>
      </w:r>
      <w:r>
        <w:rPr>
          <w:rFonts w:ascii="宋体" w:hAnsi="宋体"/>
          <w:sz w:val="24"/>
        </w:rPr>
        <w:t>.2</w:t>
      </w:r>
      <w:r>
        <w:rPr>
          <w:rFonts w:hint="eastAsia" w:ascii="宋体" w:hAnsi="宋体"/>
          <w:sz w:val="24"/>
        </w:rPr>
        <w:t>供应商出现下列情形之一的，将被视为非实质性响应磋商文件要求：</w:t>
      </w:r>
    </w:p>
    <w:p w14:paraId="5113CB68">
      <w:pPr>
        <w:autoSpaceDE w:val="0"/>
        <w:spacing w:line="420" w:lineRule="exact"/>
        <w:ind w:firstLine="422" w:firstLineChars="176"/>
        <w:rPr>
          <w:rFonts w:ascii="宋体" w:hAnsi="宋体"/>
          <w:sz w:val="24"/>
        </w:rPr>
      </w:pPr>
      <w:r>
        <w:rPr>
          <w:rFonts w:ascii="宋体" w:hAnsi="宋体"/>
          <w:sz w:val="24"/>
        </w:rPr>
        <w:t>(1)</w:t>
      </w:r>
      <w:r>
        <w:rPr>
          <w:rFonts w:hint="eastAsia" w:ascii="宋体" w:hAnsi="宋体"/>
          <w:sz w:val="24"/>
        </w:rPr>
        <w:t>服务（完成）期限不确切或不符合竞争性磋商文件要求的；</w:t>
      </w:r>
    </w:p>
    <w:p w14:paraId="455A933D">
      <w:pPr>
        <w:autoSpaceDE w:val="0"/>
        <w:spacing w:line="420" w:lineRule="exact"/>
        <w:ind w:firstLine="422" w:firstLineChars="176"/>
        <w:rPr>
          <w:rFonts w:ascii="宋体" w:hAnsi="宋体"/>
          <w:sz w:val="24"/>
        </w:rPr>
      </w:pPr>
      <w:r>
        <w:rPr>
          <w:rFonts w:ascii="宋体" w:hAnsi="宋体"/>
          <w:sz w:val="24"/>
        </w:rPr>
        <w:t>(2)</w:t>
      </w:r>
      <w:r>
        <w:rPr>
          <w:rFonts w:hint="eastAsia" w:ascii="宋体" w:hAnsi="宋体"/>
          <w:sz w:val="24"/>
        </w:rPr>
        <w:t>最后报价有选择性的；</w:t>
      </w:r>
    </w:p>
    <w:p w14:paraId="4163C4A0">
      <w:pPr>
        <w:autoSpaceDE w:val="0"/>
        <w:spacing w:line="420" w:lineRule="exact"/>
        <w:ind w:firstLine="422" w:firstLineChars="176"/>
        <w:rPr>
          <w:rFonts w:ascii="宋体" w:hAnsi="宋体"/>
          <w:sz w:val="24"/>
        </w:rPr>
      </w:pPr>
      <w:r>
        <w:rPr>
          <w:rFonts w:ascii="宋体" w:hAnsi="宋体"/>
          <w:sz w:val="24"/>
        </w:rPr>
        <w:t>(3)</w:t>
      </w:r>
      <w:r>
        <w:rPr>
          <w:rFonts w:hint="eastAsia" w:ascii="宋体" w:hAnsi="宋体"/>
          <w:sz w:val="24"/>
        </w:rPr>
        <w:t>最后报价超过磋商控制价的；</w:t>
      </w:r>
    </w:p>
    <w:p w14:paraId="79DF78C3">
      <w:pPr>
        <w:autoSpaceDE w:val="0"/>
        <w:spacing w:line="420" w:lineRule="exact"/>
        <w:ind w:firstLine="422" w:firstLineChars="176"/>
        <w:rPr>
          <w:rFonts w:ascii="宋体" w:hAnsi="宋体"/>
          <w:sz w:val="24"/>
        </w:rPr>
      </w:pPr>
      <w:r>
        <w:rPr>
          <w:rFonts w:ascii="宋体" w:hAnsi="宋体"/>
          <w:sz w:val="24"/>
        </w:rPr>
        <w:t>(4)</w:t>
      </w:r>
      <w:r>
        <w:rPr>
          <w:rFonts w:hint="eastAsia" w:ascii="宋体" w:hAnsi="宋体"/>
          <w:sz w:val="24"/>
        </w:rPr>
        <w:t>被磋商小组认定存在重大负偏离的；</w:t>
      </w:r>
    </w:p>
    <w:p w14:paraId="5B52C8BA">
      <w:pPr>
        <w:autoSpaceDE w:val="0"/>
        <w:spacing w:line="420" w:lineRule="exact"/>
        <w:ind w:firstLine="422" w:firstLineChars="176"/>
        <w:rPr>
          <w:rFonts w:ascii="宋体" w:hAnsi="宋体"/>
          <w:sz w:val="24"/>
        </w:rPr>
      </w:pPr>
      <w:r>
        <w:rPr>
          <w:rFonts w:hint="eastAsia" w:ascii="宋体" w:hAnsi="宋体"/>
          <w:sz w:val="24"/>
        </w:rPr>
        <w:t>注：所谓重大负偏离是指供应商对竞争性磋商文件的响应在范围、质量、数量和服务（完成）期限等方面明显不能满足服务要求的。重大负偏离的认定须经磋商小组三分之二以上同意。</w:t>
      </w:r>
    </w:p>
    <w:p w14:paraId="1A6B2C32">
      <w:pPr>
        <w:pStyle w:val="14"/>
        <w:rPr>
          <w:b/>
          <w:bCs/>
          <w:sz w:val="32"/>
          <w:szCs w:val="40"/>
        </w:rPr>
      </w:pPr>
    </w:p>
    <w:p w14:paraId="3F6725C0">
      <w:pPr>
        <w:pStyle w:val="14"/>
        <w:rPr>
          <w:b/>
          <w:bCs/>
          <w:sz w:val="32"/>
          <w:szCs w:val="40"/>
        </w:rPr>
      </w:pPr>
    </w:p>
    <w:p w14:paraId="6AB086E1">
      <w:pPr>
        <w:pStyle w:val="14"/>
        <w:rPr>
          <w:b/>
          <w:bCs/>
          <w:sz w:val="32"/>
          <w:szCs w:val="40"/>
        </w:rPr>
      </w:pPr>
    </w:p>
    <w:p w14:paraId="228A4D54">
      <w:pPr>
        <w:pStyle w:val="14"/>
        <w:rPr>
          <w:b/>
          <w:bCs/>
          <w:sz w:val="32"/>
          <w:szCs w:val="40"/>
        </w:rPr>
      </w:pPr>
    </w:p>
    <w:p w14:paraId="2E4A5168">
      <w:pPr>
        <w:pStyle w:val="14"/>
        <w:rPr>
          <w:b/>
          <w:bCs/>
          <w:sz w:val="32"/>
          <w:szCs w:val="40"/>
        </w:rPr>
      </w:pPr>
    </w:p>
    <w:p w14:paraId="0D8FF27D">
      <w:pPr>
        <w:pStyle w:val="14"/>
        <w:rPr>
          <w:b/>
          <w:bCs/>
          <w:sz w:val="32"/>
          <w:szCs w:val="40"/>
        </w:rPr>
      </w:pPr>
    </w:p>
    <w:p w14:paraId="2605C913">
      <w:pPr>
        <w:pStyle w:val="14"/>
        <w:rPr>
          <w:b/>
          <w:bCs/>
          <w:sz w:val="32"/>
          <w:szCs w:val="40"/>
        </w:rPr>
      </w:pPr>
    </w:p>
    <w:p w14:paraId="3489D870">
      <w:pPr>
        <w:pStyle w:val="14"/>
        <w:rPr>
          <w:b/>
          <w:bCs/>
          <w:sz w:val="32"/>
          <w:szCs w:val="40"/>
        </w:rPr>
      </w:pPr>
    </w:p>
    <w:p w14:paraId="2C0C53A2">
      <w:pPr>
        <w:pStyle w:val="14"/>
        <w:rPr>
          <w:b/>
          <w:bCs/>
          <w:sz w:val="32"/>
          <w:szCs w:val="40"/>
        </w:rPr>
      </w:pPr>
    </w:p>
    <w:p w14:paraId="7D46AEA7">
      <w:pPr>
        <w:pStyle w:val="14"/>
        <w:rPr>
          <w:b/>
          <w:bCs/>
          <w:sz w:val="32"/>
          <w:szCs w:val="40"/>
        </w:rPr>
      </w:pPr>
    </w:p>
    <w:p w14:paraId="278C21A0">
      <w:pPr>
        <w:pStyle w:val="14"/>
        <w:rPr>
          <w:b/>
          <w:bCs/>
          <w:sz w:val="32"/>
          <w:szCs w:val="40"/>
        </w:rPr>
      </w:pPr>
    </w:p>
    <w:p w14:paraId="61AA871A">
      <w:pPr>
        <w:pStyle w:val="14"/>
        <w:rPr>
          <w:b/>
          <w:bCs/>
          <w:sz w:val="32"/>
          <w:szCs w:val="40"/>
        </w:rPr>
      </w:pPr>
    </w:p>
    <w:p w14:paraId="30DFA6C1">
      <w:pPr>
        <w:pStyle w:val="14"/>
        <w:rPr>
          <w:b/>
          <w:bCs/>
          <w:sz w:val="32"/>
          <w:szCs w:val="40"/>
        </w:rPr>
      </w:pPr>
    </w:p>
    <w:p w14:paraId="3A96756E">
      <w:pPr>
        <w:pStyle w:val="14"/>
        <w:rPr>
          <w:b/>
          <w:bCs/>
          <w:sz w:val="32"/>
          <w:szCs w:val="40"/>
        </w:rPr>
      </w:pPr>
    </w:p>
    <w:p w14:paraId="7DA4EBC6">
      <w:pPr>
        <w:pStyle w:val="14"/>
        <w:rPr>
          <w:b/>
          <w:bCs/>
          <w:sz w:val="32"/>
          <w:szCs w:val="40"/>
        </w:rPr>
      </w:pPr>
    </w:p>
    <w:p w14:paraId="527300E9">
      <w:pPr>
        <w:pStyle w:val="14"/>
        <w:rPr>
          <w:b/>
          <w:bCs/>
          <w:sz w:val="32"/>
          <w:szCs w:val="40"/>
        </w:rPr>
      </w:pPr>
    </w:p>
    <w:p w14:paraId="6A9C14F7">
      <w:pPr>
        <w:pStyle w:val="14"/>
        <w:rPr>
          <w:b/>
          <w:bCs/>
          <w:sz w:val="32"/>
          <w:szCs w:val="40"/>
        </w:rPr>
      </w:pPr>
    </w:p>
    <w:p w14:paraId="46FF853D">
      <w:pPr>
        <w:pStyle w:val="14"/>
        <w:rPr>
          <w:b/>
          <w:bCs/>
          <w:sz w:val="32"/>
          <w:szCs w:val="40"/>
        </w:rPr>
      </w:pPr>
    </w:p>
    <w:p w14:paraId="29A9614C">
      <w:pPr>
        <w:pStyle w:val="14"/>
        <w:rPr>
          <w:b/>
          <w:bCs/>
          <w:sz w:val="32"/>
          <w:szCs w:val="40"/>
        </w:rPr>
      </w:pPr>
    </w:p>
    <w:p w14:paraId="6D59487B">
      <w:pPr>
        <w:pStyle w:val="14"/>
        <w:rPr>
          <w:b/>
          <w:bCs/>
          <w:sz w:val="32"/>
          <w:szCs w:val="40"/>
        </w:rPr>
      </w:pPr>
    </w:p>
    <w:p w14:paraId="481FDD29">
      <w:pPr>
        <w:pStyle w:val="14"/>
        <w:rPr>
          <w:b/>
          <w:bCs/>
          <w:sz w:val="32"/>
          <w:szCs w:val="40"/>
        </w:rPr>
      </w:pPr>
    </w:p>
    <w:p w14:paraId="48C712A4">
      <w:pPr>
        <w:pStyle w:val="14"/>
        <w:rPr>
          <w:b/>
          <w:bCs/>
          <w:sz w:val="32"/>
          <w:szCs w:val="40"/>
        </w:rPr>
      </w:pPr>
    </w:p>
    <w:p w14:paraId="39B8EBDF">
      <w:pPr>
        <w:pStyle w:val="14"/>
        <w:rPr>
          <w:b/>
          <w:bCs/>
          <w:sz w:val="32"/>
          <w:szCs w:val="40"/>
        </w:rPr>
      </w:pPr>
    </w:p>
    <w:p w14:paraId="784D308B">
      <w:pPr>
        <w:pStyle w:val="14"/>
        <w:rPr>
          <w:b/>
          <w:bCs/>
          <w:sz w:val="32"/>
          <w:szCs w:val="40"/>
        </w:rPr>
      </w:pPr>
    </w:p>
    <w:p w14:paraId="3D23AE72">
      <w:pPr>
        <w:pStyle w:val="14"/>
        <w:rPr>
          <w:b/>
          <w:bCs/>
          <w:sz w:val="32"/>
          <w:szCs w:val="40"/>
        </w:rPr>
      </w:pPr>
    </w:p>
    <w:p w14:paraId="44EBA7D5">
      <w:pPr>
        <w:adjustRightInd w:val="0"/>
        <w:snapToGrid w:val="0"/>
        <w:spacing w:line="360" w:lineRule="auto"/>
        <w:jc w:val="center"/>
        <w:outlineLvl w:val="0"/>
        <w:rPr>
          <w:rFonts w:ascii="宋体" w:hAnsi="宋体" w:cs="宋体"/>
          <w:b/>
          <w:bCs/>
          <w:sz w:val="32"/>
          <w:szCs w:val="32"/>
        </w:rPr>
      </w:pPr>
      <w:bookmarkStart w:id="31" w:name="_Toc29854"/>
      <w:r>
        <w:rPr>
          <w:rFonts w:hint="eastAsia" w:ascii="宋体" w:hAnsi="宋体" w:cs="宋体"/>
          <w:b/>
          <w:bCs/>
          <w:sz w:val="32"/>
          <w:szCs w:val="32"/>
        </w:rPr>
        <w:t>第三章 评审办法</w:t>
      </w:r>
      <w:bookmarkEnd w:id="31"/>
    </w:p>
    <w:p w14:paraId="45DB829E">
      <w:pPr>
        <w:adjustRightInd w:val="0"/>
        <w:snapToGrid w:val="0"/>
        <w:spacing w:line="360" w:lineRule="auto"/>
        <w:ind w:firstLine="482" w:firstLineChars="200"/>
        <w:jc w:val="left"/>
        <w:outlineLvl w:val="0"/>
        <w:rPr>
          <w:rFonts w:ascii="宋体" w:hAnsi="宋体"/>
          <w:b/>
          <w:bCs/>
          <w:kern w:val="0"/>
          <w:sz w:val="24"/>
          <w:szCs w:val="21"/>
        </w:rPr>
      </w:pPr>
      <w:bookmarkStart w:id="32" w:name="_Toc173946082"/>
      <w:bookmarkEnd w:id="32"/>
      <w:bookmarkStart w:id="33" w:name="_Toc173946417"/>
      <w:bookmarkEnd w:id="33"/>
      <w:bookmarkStart w:id="34" w:name="_Toc171002592"/>
      <w:bookmarkEnd w:id="34"/>
      <w:bookmarkStart w:id="35" w:name="_Toc171410859"/>
      <w:bookmarkEnd w:id="35"/>
      <w:bookmarkStart w:id="36" w:name="_Toc140161801"/>
      <w:bookmarkEnd w:id="36"/>
      <w:bookmarkStart w:id="37" w:name="_Toc141871101"/>
      <w:bookmarkEnd w:id="37"/>
      <w:bookmarkStart w:id="38" w:name="_Toc119657659"/>
      <w:bookmarkEnd w:id="38"/>
      <w:bookmarkStart w:id="39" w:name="_Toc174034450"/>
      <w:bookmarkEnd w:id="39"/>
      <w:bookmarkStart w:id="40" w:name="_Toc13307"/>
      <w:bookmarkStart w:id="41" w:name="_Toc28737"/>
      <w:bookmarkStart w:id="42" w:name="_Toc15097"/>
      <w:r>
        <w:rPr>
          <w:rFonts w:hint="eastAsia" w:ascii="宋体" w:hAnsi="宋体"/>
          <w:b/>
          <w:bCs/>
          <w:kern w:val="0"/>
          <w:sz w:val="24"/>
          <w:szCs w:val="21"/>
        </w:rPr>
        <w:t>一、磋商办法前附表</w:t>
      </w:r>
      <w:bookmarkEnd w:id="40"/>
      <w:bookmarkEnd w:id="41"/>
      <w:bookmarkEnd w:id="42"/>
    </w:p>
    <w:tbl>
      <w:tblPr>
        <w:tblStyle w:val="21"/>
        <w:tblpPr w:leftFromText="180" w:rightFromText="180" w:vertAnchor="text" w:horzAnchor="page" w:tblpX="1186" w:tblpY="377"/>
        <w:tblOverlap w:val="never"/>
        <w:tblW w:w="9445" w:type="dxa"/>
        <w:tblInd w:w="0" w:type="dxa"/>
        <w:tblLayout w:type="fixed"/>
        <w:tblCellMar>
          <w:top w:w="0" w:type="dxa"/>
          <w:left w:w="108" w:type="dxa"/>
          <w:bottom w:w="0" w:type="dxa"/>
          <w:right w:w="108" w:type="dxa"/>
        </w:tblCellMar>
      </w:tblPr>
      <w:tblGrid>
        <w:gridCol w:w="508"/>
        <w:gridCol w:w="868"/>
        <w:gridCol w:w="2271"/>
        <w:gridCol w:w="5798"/>
      </w:tblGrid>
      <w:tr w14:paraId="25E34402">
        <w:tblPrEx>
          <w:tblCellMar>
            <w:top w:w="0" w:type="dxa"/>
            <w:left w:w="108" w:type="dxa"/>
            <w:bottom w:w="0" w:type="dxa"/>
            <w:right w:w="108" w:type="dxa"/>
          </w:tblCellMar>
        </w:tblPrEx>
        <w:trPr>
          <w:trHeight w:val="500" w:hRule="atLeast"/>
        </w:trPr>
        <w:tc>
          <w:tcPr>
            <w:tcW w:w="1376" w:type="dxa"/>
            <w:gridSpan w:val="2"/>
            <w:tcBorders>
              <w:top w:val="single" w:color="auto" w:sz="4" w:space="0"/>
              <w:left w:val="single" w:color="auto" w:sz="4" w:space="0"/>
              <w:bottom w:val="single" w:color="auto" w:sz="4" w:space="0"/>
              <w:right w:val="single" w:color="auto" w:sz="4" w:space="0"/>
            </w:tcBorders>
            <w:vAlign w:val="center"/>
          </w:tcPr>
          <w:p w14:paraId="0EFF1BFB">
            <w:pPr>
              <w:spacing w:line="600" w:lineRule="exact"/>
              <w:jc w:val="center"/>
              <w:rPr>
                <w:rFonts w:ascii="宋体" w:hAnsi="宋体" w:cs="宋体"/>
                <w:sz w:val="22"/>
                <w:szCs w:val="22"/>
              </w:rPr>
            </w:pPr>
            <w:r>
              <w:rPr>
                <w:rFonts w:ascii="宋体" w:hAnsi="宋体" w:cs="宋体"/>
                <w:sz w:val="22"/>
                <w:szCs w:val="22"/>
              </w:rPr>
              <w:t>初步评审</w:t>
            </w:r>
          </w:p>
        </w:tc>
        <w:tc>
          <w:tcPr>
            <w:tcW w:w="2271" w:type="dxa"/>
            <w:tcBorders>
              <w:top w:val="single" w:color="auto" w:sz="4" w:space="0"/>
              <w:left w:val="nil"/>
              <w:bottom w:val="single" w:color="auto" w:sz="4" w:space="0"/>
              <w:right w:val="single" w:color="auto" w:sz="4" w:space="0"/>
            </w:tcBorders>
            <w:vAlign w:val="center"/>
          </w:tcPr>
          <w:p w14:paraId="513D1953">
            <w:pPr>
              <w:spacing w:line="600" w:lineRule="exact"/>
              <w:jc w:val="center"/>
              <w:rPr>
                <w:rFonts w:ascii="宋体" w:hAnsi="宋体" w:cs="宋体"/>
                <w:sz w:val="22"/>
                <w:szCs w:val="22"/>
              </w:rPr>
            </w:pPr>
            <w:r>
              <w:rPr>
                <w:rFonts w:ascii="宋体" w:hAnsi="宋体" w:cs="宋体"/>
                <w:sz w:val="22"/>
                <w:szCs w:val="22"/>
              </w:rPr>
              <w:t>评审因素</w:t>
            </w:r>
          </w:p>
        </w:tc>
        <w:tc>
          <w:tcPr>
            <w:tcW w:w="5798" w:type="dxa"/>
            <w:tcBorders>
              <w:top w:val="single" w:color="auto" w:sz="4" w:space="0"/>
              <w:left w:val="nil"/>
              <w:bottom w:val="single" w:color="auto" w:sz="4" w:space="0"/>
              <w:right w:val="single" w:color="auto" w:sz="4" w:space="0"/>
            </w:tcBorders>
            <w:vAlign w:val="center"/>
          </w:tcPr>
          <w:p w14:paraId="1A79F4EA">
            <w:pPr>
              <w:spacing w:line="600" w:lineRule="exact"/>
              <w:jc w:val="center"/>
              <w:rPr>
                <w:rFonts w:ascii="宋体" w:hAnsi="宋体" w:cs="宋体"/>
                <w:sz w:val="22"/>
                <w:szCs w:val="22"/>
              </w:rPr>
            </w:pPr>
            <w:r>
              <w:rPr>
                <w:rFonts w:ascii="宋体" w:hAnsi="宋体" w:cs="宋体"/>
                <w:sz w:val="22"/>
                <w:szCs w:val="22"/>
              </w:rPr>
              <w:t>评审标准</w:t>
            </w:r>
          </w:p>
        </w:tc>
      </w:tr>
      <w:tr w14:paraId="2E5D89C2">
        <w:tblPrEx>
          <w:tblCellMar>
            <w:top w:w="0" w:type="dxa"/>
            <w:left w:w="108" w:type="dxa"/>
            <w:bottom w:w="0" w:type="dxa"/>
            <w:right w:w="108" w:type="dxa"/>
          </w:tblCellMar>
        </w:tblPrEx>
        <w:trPr>
          <w:trHeight w:val="500" w:hRule="atLeast"/>
        </w:trPr>
        <w:tc>
          <w:tcPr>
            <w:tcW w:w="508" w:type="dxa"/>
            <w:vMerge w:val="restart"/>
            <w:tcBorders>
              <w:top w:val="nil"/>
              <w:left w:val="single" w:color="auto" w:sz="4" w:space="0"/>
              <w:right w:val="single" w:color="auto" w:sz="4" w:space="0"/>
            </w:tcBorders>
            <w:vAlign w:val="center"/>
          </w:tcPr>
          <w:p w14:paraId="34BAE84D">
            <w:pPr>
              <w:spacing w:line="600" w:lineRule="exact"/>
              <w:jc w:val="center"/>
              <w:rPr>
                <w:rFonts w:ascii="宋体" w:hAnsi="宋体" w:cs="宋体"/>
                <w:sz w:val="22"/>
                <w:szCs w:val="22"/>
              </w:rPr>
            </w:pPr>
            <w:r>
              <w:rPr>
                <w:rFonts w:hint="eastAsia" w:ascii="宋体" w:hAnsi="宋体" w:cs="宋体"/>
                <w:sz w:val="22"/>
                <w:szCs w:val="22"/>
              </w:rPr>
              <w:t>1</w:t>
            </w:r>
          </w:p>
        </w:tc>
        <w:tc>
          <w:tcPr>
            <w:tcW w:w="868" w:type="dxa"/>
            <w:vMerge w:val="restart"/>
            <w:tcBorders>
              <w:top w:val="nil"/>
              <w:left w:val="nil"/>
              <w:right w:val="single" w:color="auto" w:sz="4" w:space="0"/>
            </w:tcBorders>
            <w:vAlign w:val="center"/>
          </w:tcPr>
          <w:p w14:paraId="69AFACD4">
            <w:pPr>
              <w:spacing w:line="600" w:lineRule="exact"/>
              <w:rPr>
                <w:rFonts w:ascii="宋体" w:hAnsi="宋体" w:cs="宋体"/>
                <w:sz w:val="22"/>
                <w:szCs w:val="22"/>
              </w:rPr>
            </w:pPr>
            <w:r>
              <w:rPr>
                <w:rFonts w:hint="eastAsia" w:ascii="宋体" w:hAnsi="宋体" w:cs="宋体"/>
                <w:sz w:val="22"/>
                <w:szCs w:val="22"/>
              </w:rPr>
              <w:t>符合性评审标准</w:t>
            </w:r>
          </w:p>
        </w:tc>
        <w:tc>
          <w:tcPr>
            <w:tcW w:w="2271" w:type="dxa"/>
            <w:tcBorders>
              <w:top w:val="single" w:color="auto" w:sz="4" w:space="0"/>
              <w:left w:val="nil"/>
              <w:bottom w:val="single" w:color="auto" w:sz="4" w:space="0"/>
              <w:right w:val="single" w:color="auto" w:sz="4" w:space="0"/>
            </w:tcBorders>
            <w:vAlign w:val="center"/>
          </w:tcPr>
          <w:p w14:paraId="69534FE8">
            <w:pPr>
              <w:adjustRightInd w:val="0"/>
              <w:snapToGrid w:val="0"/>
              <w:spacing w:line="360" w:lineRule="exact"/>
              <w:jc w:val="center"/>
              <w:outlineLvl w:val="0"/>
              <w:rPr>
                <w:rFonts w:ascii="宋体" w:hAnsi="宋体" w:cs="宋体"/>
                <w:bCs/>
                <w:color w:val="000000"/>
                <w:kern w:val="44"/>
                <w:sz w:val="22"/>
                <w:szCs w:val="22"/>
              </w:rPr>
            </w:pPr>
            <w:bookmarkStart w:id="43" w:name="_Toc18300"/>
            <w:bookmarkEnd w:id="43"/>
            <w:bookmarkStart w:id="44" w:name="_Toc173946418"/>
            <w:bookmarkEnd w:id="44"/>
            <w:bookmarkStart w:id="45" w:name="_Toc173946083"/>
            <w:bookmarkEnd w:id="45"/>
            <w:bookmarkStart w:id="46" w:name="_Toc174034451"/>
            <w:bookmarkEnd w:id="46"/>
            <w:bookmarkStart w:id="47" w:name="_Toc17718"/>
            <w:bookmarkEnd w:id="47"/>
            <w:bookmarkStart w:id="48" w:name="_Toc116401571"/>
            <w:bookmarkEnd w:id="48"/>
            <w:bookmarkStart w:id="49" w:name="_Toc791"/>
            <w:bookmarkEnd w:id="49"/>
            <w:bookmarkStart w:id="50" w:name="_Toc30852"/>
            <w:bookmarkEnd w:id="50"/>
            <w:bookmarkStart w:id="51" w:name="_Toc23926"/>
            <w:bookmarkEnd w:id="51"/>
            <w:bookmarkStart w:id="52" w:name="_Toc144801275"/>
            <w:bookmarkEnd w:id="52"/>
            <w:bookmarkStart w:id="53" w:name="_Toc1467"/>
            <w:bookmarkStart w:id="54" w:name="_Toc26959"/>
            <w:bookmarkStart w:id="55" w:name="_Toc13906"/>
            <w:r>
              <w:rPr>
                <w:rFonts w:hint="eastAsia" w:ascii="宋体" w:hAnsi="宋体" w:cs="宋体"/>
                <w:bCs/>
                <w:color w:val="000000"/>
                <w:kern w:val="44"/>
                <w:sz w:val="22"/>
                <w:szCs w:val="22"/>
              </w:rPr>
              <w:t>供应商名称</w:t>
            </w:r>
            <w:bookmarkEnd w:id="53"/>
            <w:bookmarkEnd w:id="54"/>
            <w:bookmarkEnd w:id="55"/>
          </w:p>
        </w:tc>
        <w:tc>
          <w:tcPr>
            <w:tcW w:w="5798" w:type="dxa"/>
            <w:tcBorders>
              <w:top w:val="single" w:color="auto" w:sz="4" w:space="0"/>
              <w:left w:val="nil"/>
              <w:bottom w:val="single" w:color="auto" w:sz="4" w:space="0"/>
              <w:right w:val="single" w:color="auto" w:sz="4" w:space="0"/>
            </w:tcBorders>
            <w:vAlign w:val="center"/>
          </w:tcPr>
          <w:p w14:paraId="53B20975">
            <w:pPr>
              <w:spacing w:line="300" w:lineRule="exact"/>
              <w:rPr>
                <w:rFonts w:ascii="宋体" w:hAnsi="宋体"/>
                <w:sz w:val="22"/>
                <w:szCs w:val="22"/>
              </w:rPr>
            </w:pPr>
            <w:r>
              <w:rPr>
                <w:rFonts w:hint="eastAsia" w:ascii="宋体" w:hAnsi="宋体"/>
                <w:sz w:val="22"/>
                <w:szCs w:val="22"/>
              </w:rPr>
              <w:t>与营业执照一致</w:t>
            </w:r>
          </w:p>
        </w:tc>
      </w:tr>
      <w:tr w14:paraId="5703E7A9">
        <w:tblPrEx>
          <w:tblCellMar>
            <w:top w:w="0" w:type="dxa"/>
            <w:left w:w="108" w:type="dxa"/>
            <w:bottom w:w="0" w:type="dxa"/>
            <w:right w:w="108" w:type="dxa"/>
          </w:tblCellMar>
        </w:tblPrEx>
        <w:trPr>
          <w:trHeight w:val="1448" w:hRule="atLeast"/>
        </w:trPr>
        <w:tc>
          <w:tcPr>
            <w:tcW w:w="508" w:type="dxa"/>
            <w:vMerge w:val="continue"/>
            <w:tcBorders>
              <w:left w:val="single" w:color="auto" w:sz="4" w:space="0"/>
              <w:right w:val="single" w:color="auto" w:sz="4" w:space="0"/>
            </w:tcBorders>
            <w:vAlign w:val="center"/>
          </w:tcPr>
          <w:p w14:paraId="5E5742F0">
            <w:pPr>
              <w:spacing w:line="600" w:lineRule="exact"/>
              <w:jc w:val="center"/>
              <w:rPr>
                <w:rFonts w:ascii="宋体" w:hAnsi="宋体" w:cs="宋体"/>
                <w:sz w:val="22"/>
                <w:szCs w:val="22"/>
              </w:rPr>
            </w:pPr>
          </w:p>
        </w:tc>
        <w:tc>
          <w:tcPr>
            <w:tcW w:w="868" w:type="dxa"/>
            <w:vMerge w:val="continue"/>
            <w:tcBorders>
              <w:left w:val="nil"/>
              <w:right w:val="single" w:color="auto" w:sz="4" w:space="0"/>
            </w:tcBorders>
            <w:vAlign w:val="center"/>
          </w:tcPr>
          <w:p w14:paraId="50BB8C69">
            <w:pPr>
              <w:spacing w:line="600" w:lineRule="exact"/>
              <w:rPr>
                <w:rFonts w:ascii="宋体" w:hAnsi="宋体" w:cs="宋体"/>
                <w:sz w:val="22"/>
                <w:szCs w:val="22"/>
              </w:rPr>
            </w:pPr>
          </w:p>
        </w:tc>
        <w:tc>
          <w:tcPr>
            <w:tcW w:w="2271" w:type="dxa"/>
            <w:tcBorders>
              <w:top w:val="single" w:color="auto" w:sz="4" w:space="0"/>
              <w:left w:val="nil"/>
              <w:bottom w:val="single" w:color="auto" w:sz="4" w:space="0"/>
              <w:right w:val="single" w:color="auto" w:sz="4" w:space="0"/>
            </w:tcBorders>
            <w:vAlign w:val="center"/>
          </w:tcPr>
          <w:p w14:paraId="4DB42FDA">
            <w:pPr>
              <w:widowControl/>
              <w:spacing w:line="360" w:lineRule="auto"/>
              <w:jc w:val="center"/>
              <w:rPr>
                <w:rFonts w:ascii="宋体" w:hAnsi="宋体"/>
                <w:sz w:val="22"/>
                <w:szCs w:val="20"/>
              </w:rPr>
            </w:pPr>
            <w:r>
              <w:rPr>
                <w:rFonts w:hint="eastAsia" w:ascii="宋体" w:hAnsi="宋体" w:cs="宋体"/>
                <w:color w:val="000000"/>
                <w:kern w:val="0"/>
                <w:sz w:val="22"/>
                <w:szCs w:val="22"/>
              </w:rPr>
              <w:t>响应文件签字盖章</w:t>
            </w:r>
          </w:p>
        </w:tc>
        <w:tc>
          <w:tcPr>
            <w:tcW w:w="5798" w:type="dxa"/>
            <w:tcBorders>
              <w:top w:val="single" w:color="auto" w:sz="4" w:space="0"/>
              <w:left w:val="nil"/>
              <w:bottom w:val="single" w:color="auto" w:sz="4" w:space="0"/>
              <w:right w:val="single" w:color="auto" w:sz="4" w:space="0"/>
            </w:tcBorders>
            <w:vAlign w:val="center"/>
          </w:tcPr>
          <w:p w14:paraId="67CC9330">
            <w:pPr>
              <w:spacing w:line="300" w:lineRule="exact"/>
              <w:rPr>
                <w:rFonts w:ascii="宋体" w:hAnsi="宋体"/>
                <w:sz w:val="22"/>
                <w:szCs w:val="22"/>
              </w:rPr>
            </w:pPr>
            <w:r>
              <w:rPr>
                <w:rFonts w:hint="eastAsia" w:ascii="宋体" w:hAnsi="宋体"/>
                <w:sz w:val="22"/>
                <w:szCs w:val="22"/>
              </w:rPr>
              <w:t>符合竞争性磋商文件要求的签字、盖章（竞争性磋商文件中要求供应商盖章的，以签盖单位章为准；要求法定代表人或委托代理人签章的，以签盖法定代表人签章为准）</w:t>
            </w:r>
          </w:p>
        </w:tc>
      </w:tr>
      <w:tr w14:paraId="7296E1A6">
        <w:tblPrEx>
          <w:tblCellMar>
            <w:top w:w="0" w:type="dxa"/>
            <w:left w:w="108" w:type="dxa"/>
            <w:bottom w:w="0" w:type="dxa"/>
            <w:right w:w="108" w:type="dxa"/>
          </w:tblCellMar>
        </w:tblPrEx>
        <w:trPr>
          <w:trHeight w:val="500" w:hRule="atLeast"/>
        </w:trPr>
        <w:tc>
          <w:tcPr>
            <w:tcW w:w="508" w:type="dxa"/>
            <w:vMerge w:val="continue"/>
            <w:tcBorders>
              <w:left w:val="single" w:color="auto" w:sz="4" w:space="0"/>
              <w:bottom w:val="single" w:color="auto" w:sz="4" w:space="0"/>
              <w:right w:val="single" w:color="auto" w:sz="4" w:space="0"/>
            </w:tcBorders>
            <w:vAlign w:val="center"/>
          </w:tcPr>
          <w:p w14:paraId="5B23F64D">
            <w:pPr>
              <w:spacing w:line="600" w:lineRule="exact"/>
              <w:rPr>
                <w:rFonts w:ascii="宋体" w:hAnsi="宋体" w:cs="宋体"/>
                <w:sz w:val="22"/>
                <w:szCs w:val="22"/>
              </w:rPr>
            </w:pPr>
          </w:p>
        </w:tc>
        <w:tc>
          <w:tcPr>
            <w:tcW w:w="868" w:type="dxa"/>
            <w:vMerge w:val="continue"/>
            <w:tcBorders>
              <w:left w:val="nil"/>
              <w:bottom w:val="single" w:color="auto" w:sz="4" w:space="0"/>
              <w:right w:val="single" w:color="auto" w:sz="4" w:space="0"/>
            </w:tcBorders>
            <w:vAlign w:val="center"/>
          </w:tcPr>
          <w:p w14:paraId="41C48D2A">
            <w:pPr>
              <w:spacing w:line="600" w:lineRule="exact"/>
              <w:rPr>
                <w:rFonts w:ascii="宋体" w:hAnsi="宋体" w:cs="宋体"/>
                <w:sz w:val="22"/>
                <w:szCs w:val="22"/>
              </w:rPr>
            </w:pPr>
          </w:p>
        </w:tc>
        <w:tc>
          <w:tcPr>
            <w:tcW w:w="2271" w:type="dxa"/>
            <w:tcBorders>
              <w:top w:val="single" w:color="auto" w:sz="4" w:space="0"/>
              <w:left w:val="nil"/>
              <w:bottom w:val="single" w:color="auto" w:sz="4" w:space="0"/>
              <w:right w:val="single" w:color="auto" w:sz="4" w:space="0"/>
            </w:tcBorders>
            <w:vAlign w:val="center"/>
          </w:tcPr>
          <w:p w14:paraId="0347CEE7">
            <w:pPr>
              <w:adjustRightInd w:val="0"/>
              <w:snapToGrid w:val="0"/>
              <w:spacing w:line="360" w:lineRule="exact"/>
              <w:jc w:val="center"/>
              <w:outlineLvl w:val="0"/>
              <w:rPr>
                <w:rFonts w:ascii="宋体" w:hAnsi="宋体" w:cs="宋体"/>
                <w:bCs/>
                <w:color w:val="000000"/>
                <w:kern w:val="44"/>
                <w:sz w:val="22"/>
                <w:szCs w:val="22"/>
              </w:rPr>
            </w:pPr>
            <w:bookmarkStart w:id="56" w:name="_Toc10195"/>
            <w:bookmarkEnd w:id="56"/>
            <w:bookmarkStart w:id="57" w:name="_Toc174034452"/>
            <w:bookmarkEnd w:id="57"/>
            <w:bookmarkStart w:id="58" w:name="_Toc7718"/>
            <w:bookmarkEnd w:id="58"/>
            <w:bookmarkStart w:id="59" w:name="_Toc173946084"/>
            <w:bookmarkEnd w:id="59"/>
            <w:bookmarkStart w:id="60" w:name="_Toc173946419"/>
            <w:bookmarkEnd w:id="60"/>
            <w:bookmarkStart w:id="61" w:name="_Toc13253"/>
            <w:bookmarkEnd w:id="61"/>
            <w:bookmarkStart w:id="62" w:name="_Toc116401574"/>
            <w:bookmarkEnd w:id="62"/>
            <w:bookmarkStart w:id="63" w:name="_Toc11444"/>
            <w:bookmarkEnd w:id="63"/>
            <w:bookmarkStart w:id="64" w:name="_Toc144801278"/>
            <w:bookmarkEnd w:id="64"/>
            <w:bookmarkStart w:id="65" w:name="_Toc27302"/>
            <w:bookmarkStart w:id="66" w:name="_Toc21853"/>
            <w:bookmarkStart w:id="67" w:name="_Toc9826"/>
            <w:r>
              <w:rPr>
                <w:rFonts w:hint="eastAsia" w:ascii="宋体" w:hAnsi="宋体" w:cs="宋体"/>
                <w:bCs/>
                <w:color w:val="000000"/>
                <w:kern w:val="44"/>
                <w:sz w:val="22"/>
                <w:szCs w:val="22"/>
              </w:rPr>
              <w:t>响应文件格式</w:t>
            </w:r>
            <w:bookmarkEnd w:id="65"/>
            <w:bookmarkEnd w:id="66"/>
            <w:bookmarkEnd w:id="67"/>
          </w:p>
        </w:tc>
        <w:tc>
          <w:tcPr>
            <w:tcW w:w="5798" w:type="dxa"/>
            <w:tcBorders>
              <w:top w:val="single" w:color="auto" w:sz="4" w:space="0"/>
              <w:left w:val="nil"/>
              <w:bottom w:val="single" w:color="auto" w:sz="4" w:space="0"/>
              <w:right w:val="single" w:color="auto" w:sz="4" w:space="0"/>
            </w:tcBorders>
            <w:vAlign w:val="center"/>
          </w:tcPr>
          <w:p w14:paraId="607DBE28">
            <w:pPr>
              <w:spacing w:line="300" w:lineRule="exact"/>
              <w:rPr>
                <w:rFonts w:ascii="宋体" w:hAnsi="宋体"/>
                <w:sz w:val="22"/>
                <w:szCs w:val="22"/>
              </w:rPr>
            </w:pPr>
            <w:bookmarkStart w:id="68" w:name="_Toc2616"/>
            <w:bookmarkEnd w:id="68"/>
            <w:bookmarkStart w:id="69" w:name="_Toc31346"/>
            <w:bookmarkEnd w:id="69"/>
            <w:bookmarkStart w:id="70" w:name="_Toc116401575"/>
            <w:bookmarkEnd w:id="70"/>
            <w:bookmarkStart w:id="71" w:name="_Toc144801279"/>
            <w:bookmarkEnd w:id="71"/>
            <w:bookmarkStart w:id="72" w:name="_Toc100"/>
            <w:bookmarkEnd w:id="72"/>
            <w:bookmarkStart w:id="73" w:name="_Toc6786"/>
            <w:bookmarkEnd w:id="73"/>
            <w:bookmarkStart w:id="74" w:name="_Toc7239"/>
            <w:bookmarkEnd w:id="74"/>
            <w:r>
              <w:rPr>
                <w:rFonts w:hint="eastAsia" w:ascii="宋体" w:hAnsi="宋体" w:cs="宋体"/>
                <w:bCs/>
                <w:color w:val="000000"/>
                <w:kern w:val="44"/>
                <w:sz w:val="22"/>
                <w:szCs w:val="22"/>
              </w:rPr>
              <w:t>符合第六章“响应文件格式”要求</w:t>
            </w:r>
          </w:p>
        </w:tc>
      </w:tr>
      <w:tr w14:paraId="04275658">
        <w:tblPrEx>
          <w:tblCellMar>
            <w:top w:w="0" w:type="dxa"/>
            <w:left w:w="108" w:type="dxa"/>
            <w:bottom w:w="0" w:type="dxa"/>
            <w:right w:w="108" w:type="dxa"/>
          </w:tblCellMar>
        </w:tblPrEx>
        <w:trPr>
          <w:trHeight w:val="756" w:hRule="atLeast"/>
        </w:trPr>
        <w:tc>
          <w:tcPr>
            <w:tcW w:w="508" w:type="dxa"/>
            <w:vMerge w:val="restart"/>
            <w:tcBorders>
              <w:left w:val="single" w:color="auto" w:sz="4" w:space="0"/>
              <w:right w:val="single" w:color="auto" w:sz="4" w:space="0"/>
            </w:tcBorders>
            <w:vAlign w:val="center"/>
          </w:tcPr>
          <w:p w14:paraId="17191E70">
            <w:pPr>
              <w:spacing w:line="600" w:lineRule="exact"/>
              <w:rPr>
                <w:rFonts w:ascii="宋体" w:hAnsi="宋体" w:cs="宋体"/>
                <w:sz w:val="22"/>
                <w:szCs w:val="22"/>
              </w:rPr>
            </w:pPr>
            <w:r>
              <w:rPr>
                <w:rFonts w:hint="eastAsia" w:ascii="宋体" w:hAnsi="宋体" w:cs="宋体"/>
                <w:sz w:val="22"/>
                <w:szCs w:val="22"/>
              </w:rPr>
              <w:t>2</w:t>
            </w:r>
          </w:p>
        </w:tc>
        <w:tc>
          <w:tcPr>
            <w:tcW w:w="868" w:type="dxa"/>
            <w:vMerge w:val="restart"/>
            <w:tcBorders>
              <w:left w:val="nil"/>
              <w:right w:val="single" w:color="auto" w:sz="4" w:space="0"/>
            </w:tcBorders>
            <w:vAlign w:val="center"/>
          </w:tcPr>
          <w:p w14:paraId="5B6A641E">
            <w:pPr>
              <w:spacing w:line="600" w:lineRule="exact"/>
              <w:rPr>
                <w:rFonts w:ascii="宋体" w:hAnsi="宋体" w:cs="宋体"/>
                <w:sz w:val="22"/>
                <w:szCs w:val="22"/>
              </w:rPr>
            </w:pPr>
            <w:r>
              <w:rPr>
                <w:rFonts w:hint="eastAsia" w:ascii="宋体" w:hAnsi="宋体" w:cs="宋体"/>
                <w:sz w:val="22"/>
                <w:szCs w:val="22"/>
              </w:rPr>
              <w:t>资格性评审标准</w:t>
            </w:r>
          </w:p>
        </w:tc>
        <w:tc>
          <w:tcPr>
            <w:tcW w:w="2271" w:type="dxa"/>
            <w:tcBorders>
              <w:top w:val="single" w:color="auto" w:sz="4" w:space="0"/>
              <w:left w:val="nil"/>
              <w:right w:val="single" w:color="auto" w:sz="4" w:space="0"/>
            </w:tcBorders>
            <w:shd w:val="clear" w:color="auto" w:fill="auto"/>
            <w:vAlign w:val="center"/>
          </w:tcPr>
          <w:p w14:paraId="28F1C6BC">
            <w:pPr>
              <w:spacing w:line="240" w:lineRule="atLeast"/>
              <w:jc w:val="center"/>
              <w:rPr>
                <w:rFonts w:ascii="宋体" w:hAnsi="宋体" w:eastAsia="宋体" w:cs="MingLiU"/>
                <w:color w:val="000000" w:themeColor="text1"/>
                <w:sz w:val="22"/>
                <w:szCs w:val="22"/>
                <w14:textFill>
                  <w14:solidFill>
                    <w14:schemeClr w14:val="tx1"/>
                  </w14:solidFill>
                </w14:textFill>
              </w:rPr>
            </w:pPr>
            <w:r>
              <w:rPr>
                <w:rFonts w:hint="eastAsia" w:ascii="宋体" w:hAnsi="宋体" w:eastAsia="宋体" w:cs="MingLiU"/>
                <w:color w:val="000000" w:themeColor="text1"/>
                <w:sz w:val="22"/>
                <w:szCs w:val="22"/>
                <w14:textFill>
                  <w14:solidFill>
                    <w14:schemeClr w14:val="tx1"/>
                  </w14:solidFill>
                </w14:textFill>
              </w:rPr>
              <w:t>满足《中华人民共和国政府采购法》第二十二条规定</w:t>
            </w:r>
          </w:p>
        </w:tc>
        <w:tc>
          <w:tcPr>
            <w:tcW w:w="5798" w:type="dxa"/>
            <w:tcBorders>
              <w:top w:val="single" w:color="auto" w:sz="4" w:space="0"/>
              <w:left w:val="nil"/>
              <w:right w:val="single" w:color="auto" w:sz="4" w:space="0"/>
            </w:tcBorders>
            <w:shd w:val="clear" w:color="auto" w:fill="auto"/>
            <w:vAlign w:val="center"/>
          </w:tcPr>
          <w:p w14:paraId="45F01C24">
            <w:pPr>
              <w:spacing w:line="240" w:lineRule="atLeast"/>
              <w:ind w:firstLine="110" w:firstLineChars="50"/>
              <w:jc w:val="left"/>
              <w:rPr>
                <w:rFonts w:ascii="宋体" w:hAnsi="宋体" w:eastAsia="宋体" w:cs="Times New Roman"/>
                <w:color w:val="000000" w:themeColor="text1"/>
                <w:sz w:val="22"/>
                <w:szCs w:val="22"/>
                <w14:textFill>
                  <w14:solidFill>
                    <w14:schemeClr w14:val="tx1"/>
                  </w14:solidFill>
                </w14:textFill>
              </w:rPr>
            </w:pPr>
            <w:r>
              <w:rPr>
                <w:rFonts w:ascii="宋体" w:hAnsi="宋体" w:eastAsia="宋体" w:cs="Times New Roman"/>
                <w:color w:val="000000" w:themeColor="text1"/>
                <w:sz w:val="22"/>
                <w:szCs w:val="22"/>
                <w14:textFill>
                  <w14:solidFill>
                    <w14:schemeClr w14:val="tx1"/>
                  </w14:solidFill>
                </w14:textFill>
              </w:rPr>
              <w:t>满足《中华人民共和国政府采购法》第二十二条规定</w:t>
            </w:r>
            <w:r>
              <w:rPr>
                <w:rFonts w:hint="eastAsia" w:ascii="宋体" w:hAnsi="宋体" w:eastAsia="宋体" w:cs="Times New Roman"/>
                <w:color w:val="000000" w:themeColor="text1"/>
                <w:sz w:val="22"/>
                <w:szCs w:val="22"/>
                <w14:textFill>
                  <w14:solidFill>
                    <w14:schemeClr w14:val="tx1"/>
                  </w14:solidFill>
                </w14:textFill>
              </w:rPr>
              <w:t>，自行承诺</w:t>
            </w:r>
          </w:p>
        </w:tc>
      </w:tr>
      <w:tr w14:paraId="47AF3456">
        <w:tblPrEx>
          <w:tblCellMar>
            <w:top w:w="0" w:type="dxa"/>
            <w:left w:w="108" w:type="dxa"/>
            <w:bottom w:w="0" w:type="dxa"/>
            <w:right w:w="108" w:type="dxa"/>
          </w:tblCellMar>
        </w:tblPrEx>
        <w:trPr>
          <w:trHeight w:val="646" w:hRule="atLeast"/>
        </w:trPr>
        <w:tc>
          <w:tcPr>
            <w:tcW w:w="508" w:type="dxa"/>
            <w:vMerge w:val="continue"/>
            <w:tcBorders>
              <w:left w:val="single" w:color="auto" w:sz="4" w:space="0"/>
              <w:right w:val="single" w:color="auto" w:sz="4" w:space="0"/>
            </w:tcBorders>
            <w:vAlign w:val="center"/>
          </w:tcPr>
          <w:p w14:paraId="4D6ACC45">
            <w:pPr>
              <w:spacing w:line="600" w:lineRule="exact"/>
              <w:rPr>
                <w:rFonts w:ascii="宋体" w:hAnsi="宋体" w:cs="宋体"/>
                <w:sz w:val="22"/>
                <w:szCs w:val="22"/>
              </w:rPr>
            </w:pPr>
          </w:p>
        </w:tc>
        <w:tc>
          <w:tcPr>
            <w:tcW w:w="868" w:type="dxa"/>
            <w:vMerge w:val="continue"/>
            <w:tcBorders>
              <w:left w:val="nil"/>
              <w:right w:val="single" w:color="auto" w:sz="4" w:space="0"/>
            </w:tcBorders>
            <w:vAlign w:val="center"/>
          </w:tcPr>
          <w:p w14:paraId="1A2F9A55">
            <w:pPr>
              <w:spacing w:line="600" w:lineRule="exact"/>
              <w:rPr>
                <w:rFonts w:ascii="宋体" w:hAnsi="宋体" w:cs="宋体"/>
                <w:sz w:val="22"/>
                <w:szCs w:val="22"/>
              </w:rPr>
            </w:pPr>
          </w:p>
        </w:tc>
        <w:tc>
          <w:tcPr>
            <w:tcW w:w="2271" w:type="dxa"/>
            <w:tcBorders>
              <w:top w:val="single" w:color="auto" w:sz="4" w:space="0"/>
              <w:left w:val="nil"/>
              <w:right w:val="single" w:color="auto" w:sz="4" w:space="0"/>
            </w:tcBorders>
            <w:shd w:val="clear" w:color="auto" w:fill="auto"/>
            <w:vAlign w:val="center"/>
          </w:tcPr>
          <w:p w14:paraId="69AD6EA3">
            <w:pPr>
              <w:spacing w:line="240" w:lineRule="atLeast"/>
              <w:jc w:val="center"/>
              <w:rPr>
                <w:rFonts w:ascii="宋体" w:hAnsi="宋体" w:eastAsia="宋体" w:cs="Times New Roman"/>
                <w:color w:val="000000" w:themeColor="text1"/>
                <w:sz w:val="22"/>
                <w:szCs w:val="22"/>
                <w14:textFill>
                  <w14:solidFill>
                    <w14:schemeClr w14:val="tx1"/>
                  </w14:solidFill>
                </w14:textFill>
              </w:rPr>
            </w:pPr>
            <w:r>
              <w:rPr>
                <w:rFonts w:hint="eastAsia" w:ascii="宋体" w:hAnsi="宋体" w:cs="宋体"/>
                <w:sz w:val="22"/>
                <w:szCs w:val="22"/>
              </w:rPr>
              <w:t>中小企业声明函</w:t>
            </w:r>
          </w:p>
        </w:tc>
        <w:tc>
          <w:tcPr>
            <w:tcW w:w="5798" w:type="dxa"/>
            <w:tcBorders>
              <w:top w:val="single" w:color="auto" w:sz="4" w:space="0"/>
              <w:left w:val="nil"/>
              <w:right w:val="single" w:color="auto" w:sz="4" w:space="0"/>
            </w:tcBorders>
            <w:shd w:val="clear" w:color="auto" w:fill="auto"/>
            <w:vAlign w:val="center"/>
          </w:tcPr>
          <w:p w14:paraId="74B3A029">
            <w:pPr>
              <w:spacing w:line="240" w:lineRule="atLeast"/>
              <w:jc w:val="left"/>
              <w:rPr>
                <w:rFonts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14:textFill>
                  <w14:solidFill>
                    <w14:schemeClr w14:val="tx1"/>
                  </w14:solidFill>
                </w14:textFill>
              </w:rPr>
              <w:t>供应商须提供《中小企业声明函》</w:t>
            </w:r>
          </w:p>
        </w:tc>
      </w:tr>
      <w:tr w14:paraId="586E6763">
        <w:tblPrEx>
          <w:tblCellMar>
            <w:top w:w="0" w:type="dxa"/>
            <w:left w:w="108" w:type="dxa"/>
            <w:bottom w:w="0" w:type="dxa"/>
            <w:right w:w="108" w:type="dxa"/>
          </w:tblCellMar>
        </w:tblPrEx>
        <w:trPr>
          <w:trHeight w:val="661" w:hRule="atLeast"/>
        </w:trPr>
        <w:tc>
          <w:tcPr>
            <w:tcW w:w="508" w:type="dxa"/>
            <w:vMerge w:val="continue"/>
            <w:tcBorders>
              <w:left w:val="single" w:color="auto" w:sz="4" w:space="0"/>
              <w:right w:val="single" w:color="auto" w:sz="4" w:space="0"/>
            </w:tcBorders>
            <w:vAlign w:val="center"/>
          </w:tcPr>
          <w:p w14:paraId="691C60F3">
            <w:pPr>
              <w:spacing w:line="600" w:lineRule="exact"/>
              <w:rPr>
                <w:rFonts w:ascii="宋体" w:hAnsi="宋体" w:cs="宋体"/>
                <w:sz w:val="22"/>
                <w:szCs w:val="22"/>
              </w:rPr>
            </w:pPr>
          </w:p>
        </w:tc>
        <w:tc>
          <w:tcPr>
            <w:tcW w:w="868" w:type="dxa"/>
            <w:vMerge w:val="continue"/>
            <w:tcBorders>
              <w:left w:val="nil"/>
              <w:right w:val="single" w:color="auto" w:sz="4" w:space="0"/>
            </w:tcBorders>
            <w:vAlign w:val="center"/>
          </w:tcPr>
          <w:p w14:paraId="7729D22D">
            <w:pPr>
              <w:spacing w:line="600" w:lineRule="exact"/>
              <w:rPr>
                <w:rFonts w:ascii="宋体" w:hAnsi="宋体" w:cs="宋体"/>
                <w:sz w:val="22"/>
                <w:szCs w:val="22"/>
              </w:rPr>
            </w:pPr>
          </w:p>
        </w:tc>
        <w:tc>
          <w:tcPr>
            <w:tcW w:w="2271" w:type="dxa"/>
            <w:tcBorders>
              <w:top w:val="single" w:color="auto" w:sz="4" w:space="0"/>
              <w:left w:val="nil"/>
              <w:right w:val="single" w:color="auto" w:sz="4" w:space="0"/>
            </w:tcBorders>
            <w:shd w:val="clear" w:color="auto" w:fill="auto"/>
            <w:vAlign w:val="center"/>
          </w:tcPr>
          <w:p w14:paraId="46D5ABDB">
            <w:pPr>
              <w:spacing w:line="240" w:lineRule="atLeast"/>
              <w:jc w:val="center"/>
              <w:rPr>
                <w:rFonts w:ascii="宋体" w:hAnsi="宋体" w:eastAsia="宋体" w:cs="MingLiU"/>
                <w:color w:val="000000" w:themeColor="text1"/>
                <w:sz w:val="22"/>
                <w:szCs w:val="22"/>
                <w14:textFill>
                  <w14:solidFill>
                    <w14:schemeClr w14:val="tx1"/>
                  </w14:solidFill>
                </w14:textFill>
              </w:rPr>
            </w:pPr>
            <w:bookmarkStart w:id="75" w:name="_Toc13189"/>
            <w:bookmarkEnd w:id="75"/>
            <w:bookmarkStart w:id="76" w:name="_Toc144801283"/>
            <w:bookmarkEnd w:id="76"/>
            <w:bookmarkStart w:id="77" w:name="_Toc116401579"/>
            <w:bookmarkEnd w:id="77"/>
            <w:bookmarkStart w:id="78" w:name="_Toc15384"/>
            <w:bookmarkEnd w:id="78"/>
            <w:bookmarkStart w:id="79" w:name="_Toc13685"/>
            <w:bookmarkEnd w:id="79"/>
            <w:bookmarkStart w:id="80" w:name="_Toc19917"/>
            <w:bookmarkEnd w:id="80"/>
            <w:bookmarkStart w:id="81" w:name="_Toc26175"/>
            <w:bookmarkEnd w:id="81"/>
            <w:r>
              <w:rPr>
                <w:rFonts w:hint="eastAsia" w:ascii="宋体" w:hAnsi="宋体" w:eastAsia="宋体" w:cs="Times New Roman"/>
                <w:color w:val="000000" w:themeColor="text1"/>
                <w:sz w:val="22"/>
                <w:szCs w:val="22"/>
                <w14:textFill>
                  <w14:solidFill>
                    <w14:schemeClr w14:val="tx1"/>
                  </w14:solidFill>
                </w14:textFill>
              </w:rPr>
              <w:t>营业执照</w:t>
            </w:r>
          </w:p>
        </w:tc>
        <w:tc>
          <w:tcPr>
            <w:tcW w:w="5798" w:type="dxa"/>
            <w:tcBorders>
              <w:top w:val="single" w:color="auto" w:sz="4" w:space="0"/>
              <w:left w:val="nil"/>
              <w:right w:val="single" w:color="auto" w:sz="4" w:space="0"/>
            </w:tcBorders>
            <w:shd w:val="clear" w:color="auto" w:fill="auto"/>
            <w:vAlign w:val="center"/>
          </w:tcPr>
          <w:p w14:paraId="054E5FA8">
            <w:pPr>
              <w:spacing w:line="240" w:lineRule="atLeast"/>
              <w:jc w:val="left"/>
              <w:rPr>
                <w:rFonts w:ascii="宋体" w:hAnsi="宋体" w:eastAsia="宋体" w:cs="Times New Roman"/>
                <w:color w:val="000000" w:themeColor="text1"/>
                <w:sz w:val="22"/>
                <w:szCs w:val="22"/>
                <w14:textFill>
                  <w14:solidFill>
                    <w14:schemeClr w14:val="tx1"/>
                  </w14:solidFill>
                </w14:textFill>
              </w:rPr>
            </w:pPr>
            <w:bookmarkStart w:id="82" w:name="_Toc173946420"/>
            <w:bookmarkEnd w:id="82"/>
            <w:bookmarkStart w:id="83" w:name="_Toc173946085"/>
            <w:bookmarkEnd w:id="83"/>
            <w:bookmarkStart w:id="84" w:name="_Toc174034453"/>
            <w:bookmarkEnd w:id="84"/>
            <w:bookmarkStart w:id="85" w:name="_Toc17985"/>
            <w:bookmarkEnd w:id="85"/>
            <w:r>
              <w:rPr>
                <w:rFonts w:hint="eastAsia" w:ascii="宋体" w:hAnsi="宋体" w:eastAsia="宋体" w:cs="Times New Roman"/>
                <w:color w:val="000000" w:themeColor="text1"/>
                <w:sz w:val="22"/>
                <w:szCs w:val="22"/>
                <w14:textFill>
                  <w14:solidFill>
                    <w14:schemeClr w14:val="tx1"/>
                  </w14:solidFill>
                </w14:textFill>
              </w:rPr>
              <w:t>供应商具有独立法人资格，并具有有效的营业执照</w:t>
            </w:r>
          </w:p>
        </w:tc>
      </w:tr>
      <w:tr w14:paraId="4F4CDC51">
        <w:tblPrEx>
          <w:tblCellMar>
            <w:top w:w="0" w:type="dxa"/>
            <w:left w:w="108" w:type="dxa"/>
            <w:bottom w:w="0" w:type="dxa"/>
            <w:right w:w="108" w:type="dxa"/>
          </w:tblCellMar>
        </w:tblPrEx>
        <w:trPr>
          <w:trHeight w:val="642" w:hRule="atLeast"/>
        </w:trPr>
        <w:tc>
          <w:tcPr>
            <w:tcW w:w="508" w:type="dxa"/>
            <w:vMerge w:val="continue"/>
            <w:tcBorders>
              <w:left w:val="single" w:color="auto" w:sz="4" w:space="0"/>
              <w:right w:val="single" w:color="auto" w:sz="4" w:space="0"/>
            </w:tcBorders>
            <w:vAlign w:val="center"/>
          </w:tcPr>
          <w:p w14:paraId="1C663FA3">
            <w:pPr>
              <w:spacing w:line="600" w:lineRule="exact"/>
              <w:rPr>
                <w:rFonts w:ascii="宋体" w:hAnsi="宋体" w:cs="宋体"/>
                <w:sz w:val="22"/>
                <w:szCs w:val="22"/>
              </w:rPr>
            </w:pPr>
          </w:p>
        </w:tc>
        <w:tc>
          <w:tcPr>
            <w:tcW w:w="868" w:type="dxa"/>
            <w:vMerge w:val="continue"/>
            <w:tcBorders>
              <w:left w:val="nil"/>
              <w:right w:val="single" w:color="auto" w:sz="4" w:space="0"/>
            </w:tcBorders>
            <w:vAlign w:val="center"/>
          </w:tcPr>
          <w:p w14:paraId="59B795D0">
            <w:pPr>
              <w:spacing w:line="600" w:lineRule="exact"/>
              <w:rPr>
                <w:rFonts w:ascii="宋体" w:hAnsi="宋体" w:cs="宋体"/>
                <w:sz w:val="22"/>
                <w:szCs w:val="22"/>
              </w:rPr>
            </w:pPr>
          </w:p>
        </w:tc>
        <w:tc>
          <w:tcPr>
            <w:tcW w:w="2271" w:type="dxa"/>
            <w:tcBorders>
              <w:top w:val="single" w:color="auto" w:sz="4" w:space="0"/>
              <w:left w:val="nil"/>
              <w:right w:val="single" w:color="auto" w:sz="4" w:space="0"/>
            </w:tcBorders>
            <w:vAlign w:val="center"/>
          </w:tcPr>
          <w:p w14:paraId="732A6C73">
            <w:pPr>
              <w:jc w:val="center"/>
              <w:rPr>
                <w:rFonts w:ascii="宋体" w:hAnsi="宋体" w:eastAsia="宋体" w:cs="宋体"/>
                <w:sz w:val="22"/>
                <w:szCs w:val="22"/>
              </w:rPr>
            </w:pPr>
            <w:r>
              <w:rPr>
                <w:rFonts w:hint="eastAsia" w:ascii="宋体" w:hAnsi="宋体" w:cs="宋体"/>
                <w:sz w:val="22"/>
                <w:szCs w:val="22"/>
              </w:rPr>
              <w:t>资质证书</w:t>
            </w:r>
          </w:p>
        </w:tc>
        <w:tc>
          <w:tcPr>
            <w:tcW w:w="5798" w:type="dxa"/>
            <w:tcBorders>
              <w:top w:val="single" w:color="auto" w:sz="4" w:space="0"/>
              <w:left w:val="nil"/>
              <w:right w:val="single" w:color="auto" w:sz="4" w:space="0"/>
            </w:tcBorders>
            <w:vAlign w:val="center"/>
          </w:tcPr>
          <w:p w14:paraId="6FC4832D">
            <w:pPr>
              <w:adjustRightInd w:val="0"/>
              <w:snapToGrid w:val="0"/>
              <w:spacing w:line="360" w:lineRule="exact"/>
              <w:outlineLvl w:val="0"/>
              <w:rPr>
                <w:rFonts w:ascii="宋体" w:hAnsi="宋体" w:cs="宋体"/>
                <w:sz w:val="22"/>
                <w:szCs w:val="22"/>
              </w:rPr>
            </w:pPr>
            <w:r>
              <w:rPr>
                <w:rFonts w:hint="eastAsia" w:ascii="宋体" w:hAnsi="宋体" w:cs="宋体"/>
                <w:sz w:val="22"/>
                <w:szCs w:val="22"/>
              </w:rPr>
              <w:t>供应商为生产企业的须具有食品生产许可证；</w:t>
            </w:r>
            <w:r>
              <w:rPr>
                <w:rFonts w:hint="eastAsia" w:ascii="宋体" w:hAnsi="宋体" w:cs="宋体"/>
                <w:sz w:val="22"/>
                <w:szCs w:val="22"/>
                <w:lang w:val="en-US" w:eastAsia="zh-CN"/>
              </w:rPr>
              <w:t>供应商</w:t>
            </w:r>
            <w:r>
              <w:rPr>
                <w:rFonts w:hint="eastAsia" w:ascii="宋体" w:hAnsi="宋体" w:cs="宋体"/>
                <w:sz w:val="22"/>
                <w:szCs w:val="22"/>
              </w:rPr>
              <w:t>为经销商的须具有国家相关部门批准的食品经营许可证</w:t>
            </w:r>
          </w:p>
        </w:tc>
      </w:tr>
      <w:tr w14:paraId="2B0FA21C">
        <w:tblPrEx>
          <w:tblCellMar>
            <w:top w:w="0" w:type="dxa"/>
            <w:left w:w="108" w:type="dxa"/>
            <w:bottom w:w="0" w:type="dxa"/>
            <w:right w:w="108" w:type="dxa"/>
          </w:tblCellMar>
        </w:tblPrEx>
        <w:trPr>
          <w:trHeight w:val="1037" w:hRule="atLeast"/>
        </w:trPr>
        <w:tc>
          <w:tcPr>
            <w:tcW w:w="508" w:type="dxa"/>
            <w:vMerge w:val="continue"/>
            <w:tcBorders>
              <w:left w:val="single" w:color="auto" w:sz="4" w:space="0"/>
              <w:right w:val="single" w:color="auto" w:sz="4" w:space="0"/>
            </w:tcBorders>
            <w:vAlign w:val="center"/>
          </w:tcPr>
          <w:p w14:paraId="272AA7C1">
            <w:pPr>
              <w:spacing w:line="600" w:lineRule="exact"/>
              <w:rPr>
                <w:rFonts w:ascii="宋体" w:hAnsi="宋体" w:cs="宋体"/>
                <w:sz w:val="22"/>
                <w:szCs w:val="22"/>
              </w:rPr>
            </w:pPr>
          </w:p>
        </w:tc>
        <w:tc>
          <w:tcPr>
            <w:tcW w:w="868" w:type="dxa"/>
            <w:vMerge w:val="continue"/>
            <w:tcBorders>
              <w:left w:val="nil"/>
              <w:right w:val="single" w:color="auto" w:sz="4" w:space="0"/>
            </w:tcBorders>
            <w:vAlign w:val="center"/>
          </w:tcPr>
          <w:p w14:paraId="79D389C0">
            <w:pPr>
              <w:spacing w:line="600" w:lineRule="exact"/>
              <w:rPr>
                <w:rFonts w:ascii="宋体" w:hAnsi="宋体" w:cs="宋体"/>
                <w:sz w:val="22"/>
                <w:szCs w:val="22"/>
              </w:rPr>
            </w:pPr>
          </w:p>
        </w:tc>
        <w:tc>
          <w:tcPr>
            <w:tcW w:w="2271" w:type="dxa"/>
            <w:tcBorders>
              <w:top w:val="single" w:color="auto" w:sz="4" w:space="0"/>
              <w:left w:val="nil"/>
              <w:right w:val="single" w:color="auto" w:sz="4" w:space="0"/>
            </w:tcBorders>
            <w:vAlign w:val="center"/>
          </w:tcPr>
          <w:p w14:paraId="166F0322">
            <w:pPr>
              <w:jc w:val="center"/>
              <w:rPr>
                <w:rFonts w:ascii="宋体" w:hAnsi="宋体" w:cs="宋体"/>
                <w:sz w:val="22"/>
                <w:szCs w:val="22"/>
              </w:rPr>
            </w:pPr>
            <w:r>
              <w:rPr>
                <w:rFonts w:hint="eastAsia" w:ascii="宋体" w:hAnsi="宋体" w:cs="宋体"/>
                <w:sz w:val="22"/>
                <w:szCs w:val="22"/>
              </w:rPr>
              <w:t>服务能力</w:t>
            </w:r>
          </w:p>
        </w:tc>
        <w:tc>
          <w:tcPr>
            <w:tcW w:w="5798" w:type="dxa"/>
            <w:tcBorders>
              <w:top w:val="single" w:color="auto" w:sz="4" w:space="0"/>
              <w:left w:val="nil"/>
              <w:right w:val="single" w:color="auto" w:sz="4" w:space="0"/>
            </w:tcBorders>
            <w:vAlign w:val="center"/>
          </w:tcPr>
          <w:p w14:paraId="21581278">
            <w:pPr>
              <w:jc w:val="left"/>
              <w:rPr>
                <w:rFonts w:ascii="宋体" w:hAnsi="宋体" w:cs="宋体"/>
                <w:sz w:val="22"/>
                <w:szCs w:val="22"/>
              </w:rPr>
            </w:pPr>
            <w:r>
              <w:rPr>
                <w:rFonts w:hint="eastAsia" w:ascii="宋体" w:hAnsi="宋体" w:cs="宋体"/>
                <w:sz w:val="22"/>
                <w:szCs w:val="22"/>
              </w:rPr>
              <w:t>1、供应商具有良好的商业信誉和健全的财务会计制度（提供承诺书，格式自拟）</w:t>
            </w:r>
          </w:p>
          <w:p w14:paraId="71670105">
            <w:pPr>
              <w:jc w:val="left"/>
              <w:rPr>
                <w:rFonts w:ascii="宋体" w:hAnsi="宋体" w:cs="宋体"/>
                <w:sz w:val="22"/>
                <w:szCs w:val="22"/>
              </w:rPr>
            </w:pPr>
            <w:r>
              <w:rPr>
                <w:rFonts w:hint="eastAsia" w:ascii="宋体" w:hAnsi="宋体" w:cs="宋体"/>
                <w:sz w:val="22"/>
                <w:szCs w:val="22"/>
              </w:rPr>
              <w:t>2、供应商具有履行合同所必需的设备和专业技术能力（提供承诺书，格式自拟）</w:t>
            </w:r>
          </w:p>
          <w:p w14:paraId="3D4A4A8E">
            <w:pPr>
              <w:jc w:val="left"/>
              <w:rPr>
                <w:rFonts w:ascii="宋体" w:hAnsi="宋体" w:cs="宋体"/>
                <w:sz w:val="22"/>
                <w:szCs w:val="22"/>
              </w:rPr>
            </w:pPr>
            <w:r>
              <w:rPr>
                <w:rFonts w:hint="eastAsia" w:ascii="宋体" w:hAnsi="宋体" w:cs="宋体"/>
                <w:sz w:val="22"/>
                <w:szCs w:val="22"/>
              </w:rPr>
              <w:t>3、供应商有依法缴纳税收和社会保障资金的良好记录（提供承诺书，格式自拟）</w:t>
            </w:r>
          </w:p>
        </w:tc>
      </w:tr>
      <w:tr w14:paraId="0DC6F5B3">
        <w:tblPrEx>
          <w:tblCellMar>
            <w:top w:w="0" w:type="dxa"/>
            <w:left w:w="108" w:type="dxa"/>
            <w:bottom w:w="0" w:type="dxa"/>
            <w:right w:w="108" w:type="dxa"/>
          </w:tblCellMar>
        </w:tblPrEx>
        <w:trPr>
          <w:trHeight w:val="535" w:hRule="atLeast"/>
        </w:trPr>
        <w:tc>
          <w:tcPr>
            <w:tcW w:w="508" w:type="dxa"/>
            <w:vMerge w:val="continue"/>
            <w:tcBorders>
              <w:left w:val="single" w:color="auto" w:sz="4" w:space="0"/>
              <w:right w:val="single" w:color="auto" w:sz="4" w:space="0"/>
            </w:tcBorders>
            <w:vAlign w:val="center"/>
          </w:tcPr>
          <w:p w14:paraId="1994D020">
            <w:pPr>
              <w:spacing w:line="600" w:lineRule="exact"/>
              <w:rPr>
                <w:rFonts w:ascii="宋体" w:hAnsi="宋体" w:cs="宋体"/>
                <w:sz w:val="22"/>
                <w:szCs w:val="22"/>
              </w:rPr>
            </w:pPr>
          </w:p>
        </w:tc>
        <w:tc>
          <w:tcPr>
            <w:tcW w:w="868" w:type="dxa"/>
            <w:vMerge w:val="continue"/>
            <w:tcBorders>
              <w:left w:val="nil"/>
              <w:right w:val="single" w:color="auto" w:sz="4" w:space="0"/>
            </w:tcBorders>
            <w:vAlign w:val="center"/>
          </w:tcPr>
          <w:p w14:paraId="078635BA">
            <w:pPr>
              <w:spacing w:line="600" w:lineRule="exact"/>
              <w:rPr>
                <w:rFonts w:ascii="宋体" w:hAnsi="宋体" w:cs="宋体"/>
                <w:sz w:val="22"/>
                <w:szCs w:val="22"/>
              </w:rPr>
            </w:pPr>
          </w:p>
        </w:tc>
        <w:tc>
          <w:tcPr>
            <w:tcW w:w="2271" w:type="dxa"/>
            <w:tcBorders>
              <w:top w:val="single" w:color="auto" w:sz="4" w:space="0"/>
              <w:left w:val="nil"/>
              <w:right w:val="single" w:color="auto" w:sz="4" w:space="0"/>
            </w:tcBorders>
            <w:vAlign w:val="center"/>
          </w:tcPr>
          <w:p w14:paraId="3E641770">
            <w:pPr>
              <w:jc w:val="center"/>
              <w:rPr>
                <w:rFonts w:ascii="宋体" w:hAnsi="宋体" w:cs="宋体"/>
                <w:bCs/>
                <w:sz w:val="22"/>
                <w:szCs w:val="22"/>
              </w:rPr>
            </w:pPr>
            <w:bookmarkStart w:id="86" w:name="_Toc17162"/>
            <w:bookmarkEnd w:id="86"/>
            <w:bookmarkStart w:id="87" w:name="_Toc16025"/>
            <w:bookmarkEnd w:id="87"/>
            <w:r>
              <w:rPr>
                <w:rFonts w:hint="eastAsia" w:ascii="宋体" w:hAnsi="宋体" w:cs="宋体"/>
                <w:bCs/>
                <w:sz w:val="22"/>
                <w:szCs w:val="22"/>
              </w:rPr>
              <w:t>在经营活动中没有重大违法记录</w:t>
            </w:r>
          </w:p>
        </w:tc>
        <w:tc>
          <w:tcPr>
            <w:tcW w:w="5798" w:type="dxa"/>
            <w:tcBorders>
              <w:top w:val="single" w:color="auto" w:sz="4" w:space="0"/>
              <w:left w:val="nil"/>
              <w:bottom w:val="single" w:color="auto" w:sz="4" w:space="0"/>
              <w:right w:val="single" w:color="auto" w:sz="4" w:space="0"/>
            </w:tcBorders>
            <w:vAlign w:val="center"/>
          </w:tcPr>
          <w:p w14:paraId="0940625F">
            <w:pPr>
              <w:pStyle w:val="12"/>
              <w:spacing w:line="360" w:lineRule="exact"/>
              <w:ind w:firstLine="0" w:firstLineChars="0"/>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供应商参加政府采购活动前三年内，在经营活动中没有重大违法记录（提供承诺书，格式自拟）</w:t>
            </w:r>
          </w:p>
        </w:tc>
      </w:tr>
      <w:tr w14:paraId="57DB9486">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27F9F02E">
            <w:pPr>
              <w:spacing w:line="600" w:lineRule="exact"/>
              <w:rPr>
                <w:rFonts w:ascii="宋体" w:hAnsi="宋体" w:cs="宋体"/>
                <w:sz w:val="22"/>
                <w:szCs w:val="22"/>
              </w:rPr>
            </w:pPr>
          </w:p>
        </w:tc>
        <w:tc>
          <w:tcPr>
            <w:tcW w:w="868" w:type="dxa"/>
            <w:vMerge w:val="continue"/>
            <w:tcBorders>
              <w:left w:val="nil"/>
              <w:right w:val="single" w:color="auto" w:sz="4" w:space="0"/>
            </w:tcBorders>
            <w:vAlign w:val="center"/>
          </w:tcPr>
          <w:p w14:paraId="4B38A5A1">
            <w:pPr>
              <w:spacing w:line="600" w:lineRule="exact"/>
              <w:rPr>
                <w:rFonts w:ascii="宋体" w:hAnsi="宋体" w:cs="宋体"/>
                <w:sz w:val="22"/>
                <w:szCs w:val="22"/>
              </w:rPr>
            </w:pPr>
          </w:p>
        </w:tc>
        <w:tc>
          <w:tcPr>
            <w:tcW w:w="2271" w:type="dxa"/>
            <w:tcBorders>
              <w:top w:val="single" w:color="auto" w:sz="4" w:space="0"/>
              <w:left w:val="nil"/>
              <w:bottom w:val="single" w:color="auto" w:sz="4" w:space="0"/>
              <w:right w:val="single" w:color="auto" w:sz="4" w:space="0"/>
            </w:tcBorders>
            <w:vAlign w:val="center"/>
          </w:tcPr>
          <w:p w14:paraId="1F11AE2A">
            <w:pPr>
              <w:jc w:val="center"/>
              <w:rPr>
                <w:rFonts w:ascii="宋体" w:hAnsi="宋体" w:cs="宋体"/>
                <w:bCs/>
                <w:color w:val="000000"/>
                <w:kern w:val="44"/>
                <w:sz w:val="22"/>
                <w:szCs w:val="22"/>
              </w:rPr>
            </w:pPr>
            <w:r>
              <w:rPr>
                <w:rFonts w:hint="eastAsia" w:ascii="宋体" w:hAnsi="宋体" w:cs="宋体"/>
                <w:color w:val="000000"/>
                <w:kern w:val="0"/>
                <w:sz w:val="22"/>
                <w:szCs w:val="22"/>
              </w:rPr>
              <w:t>无行贿犯罪记录</w:t>
            </w:r>
          </w:p>
        </w:tc>
        <w:tc>
          <w:tcPr>
            <w:tcW w:w="5798" w:type="dxa"/>
            <w:tcBorders>
              <w:top w:val="single" w:color="auto" w:sz="4" w:space="0"/>
              <w:left w:val="nil"/>
              <w:bottom w:val="single" w:color="auto" w:sz="4" w:space="0"/>
              <w:right w:val="single" w:color="auto" w:sz="4" w:space="0"/>
            </w:tcBorders>
          </w:tcPr>
          <w:p w14:paraId="11B4CC53">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供应商无行贿犯罪记录行为，在中国裁判文书网自行查询结果或自行承诺（查询/承诺对象：企业、法定代表人）</w:t>
            </w:r>
          </w:p>
        </w:tc>
      </w:tr>
      <w:tr w14:paraId="1F608A6D">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13AEDFF7">
            <w:pPr>
              <w:spacing w:line="600" w:lineRule="exact"/>
              <w:rPr>
                <w:rFonts w:ascii="宋体" w:hAnsi="宋体" w:cs="宋体"/>
                <w:sz w:val="22"/>
                <w:szCs w:val="22"/>
              </w:rPr>
            </w:pPr>
          </w:p>
        </w:tc>
        <w:tc>
          <w:tcPr>
            <w:tcW w:w="868" w:type="dxa"/>
            <w:vMerge w:val="continue"/>
            <w:tcBorders>
              <w:left w:val="nil"/>
              <w:right w:val="single" w:color="auto" w:sz="4" w:space="0"/>
            </w:tcBorders>
            <w:vAlign w:val="center"/>
          </w:tcPr>
          <w:p w14:paraId="429CD8E3">
            <w:pPr>
              <w:spacing w:line="600" w:lineRule="exact"/>
              <w:rPr>
                <w:rFonts w:ascii="宋体" w:hAnsi="宋体" w:cs="宋体"/>
                <w:sz w:val="22"/>
                <w:szCs w:val="22"/>
              </w:rPr>
            </w:pPr>
          </w:p>
        </w:tc>
        <w:tc>
          <w:tcPr>
            <w:tcW w:w="2271" w:type="dxa"/>
            <w:tcBorders>
              <w:top w:val="single" w:color="auto" w:sz="4" w:space="0"/>
              <w:left w:val="nil"/>
              <w:bottom w:val="single" w:color="auto" w:sz="4" w:space="0"/>
              <w:right w:val="single" w:color="auto" w:sz="4" w:space="0"/>
            </w:tcBorders>
            <w:vAlign w:val="center"/>
          </w:tcPr>
          <w:p w14:paraId="4B8477F4">
            <w:pPr>
              <w:jc w:val="center"/>
              <w:rPr>
                <w:rFonts w:hAnsi="宋体" w:cs="Courier New"/>
                <w:sz w:val="22"/>
                <w:szCs w:val="22"/>
              </w:rPr>
            </w:pPr>
            <w:bookmarkStart w:id="88" w:name="_Toc9108"/>
            <w:bookmarkEnd w:id="88"/>
            <w:bookmarkStart w:id="89" w:name="_Toc77596807"/>
            <w:bookmarkEnd w:id="89"/>
            <w:bookmarkStart w:id="90" w:name="_Toc109464609"/>
            <w:bookmarkEnd w:id="90"/>
            <w:bookmarkStart w:id="91" w:name="_Toc30444"/>
            <w:bookmarkEnd w:id="91"/>
            <w:bookmarkStart w:id="92" w:name="_Toc116401594"/>
            <w:bookmarkEnd w:id="92"/>
            <w:bookmarkStart w:id="93" w:name="_Toc109465607"/>
            <w:bookmarkEnd w:id="93"/>
            <w:bookmarkStart w:id="94" w:name="_Toc23510"/>
            <w:bookmarkEnd w:id="94"/>
            <w:bookmarkStart w:id="95" w:name="_Toc109033491"/>
            <w:bookmarkEnd w:id="95"/>
            <w:bookmarkStart w:id="96" w:name="_Toc144801297"/>
            <w:bookmarkEnd w:id="96"/>
            <w:bookmarkStart w:id="97" w:name="_Toc21447"/>
            <w:bookmarkEnd w:id="97"/>
            <w:bookmarkStart w:id="98" w:name="_Toc50397872"/>
            <w:bookmarkEnd w:id="98"/>
            <w:bookmarkStart w:id="99" w:name="_Toc50397332"/>
            <w:bookmarkEnd w:id="99"/>
            <w:bookmarkStart w:id="100" w:name="_Toc20453"/>
            <w:bookmarkEnd w:id="100"/>
            <w:r>
              <w:rPr>
                <w:rFonts w:hint="eastAsia" w:ascii="宋体" w:hAnsi="宋体" w:cs="宋体"/>
                <w:bCs/>
                <w:color w:val="000000"/>
                <w:kern w:val="44"/>
                <w:sz w:val="22"/>
                <w:szCs w:val="22"/>
              </w:rPr>
              <w:t>信誉要求</w:t>
            </w:r>
          </w:p>
        </w:tc>
        <w:tc>
          <w:tcPr>
            <w:tcW w:w="5798" w:type="dxa"/>
            <w:tcBorders>
              <w:top w:val="single" w:color="auto" w:sz="4" w:space="0"/>
              <w:left w:val="nil"/>
              <w:bottom w:val="single" w:color="auto" w:sz="4" w:space="0"/>
              <w:right w:val="single" w:color="auto" w:sz="4" w:space="0"/>
            </w:tcBorders>
          </w:tcPr>
          <w:p w14:paraId="401EE493">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tc>
      </w:tr>
      <w:tr w14:paraId="1FD46AC8">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7D63A0FE">
            <w:pPr>
              <w:spacing w:line="600" w:lineRule="exact"/>
              <w:rPr>
                <w:rFonts w:ascii="宋体" w:hAnsi="宋体" w:cs="宋体"/>
                <w:sz w:val="22"/>
                <w:szCs w:val="22"/>
              </w:rPr>
            </w:pPr>
          </w:p>
        </w:tc>
        <w:tc>
          <w:tcPr>
            <w:tcW w:w="868" w:type="dxa"/>
            <w:vMerge w:val="continue"/>
            <w:tcBorders>
              <w:left w:val="nil"/>
              <w:right w:val="single" w:color="auto" w:sz="4" w:space="0"/>
            </w:tcBorders>
            <w:vAlign w:val="center"/>
          </w:tcPr>
          <w:p w14:paraId="5547A79D">
            <w:pPr>
              <w:spacing w:line="600" w:lineRule="exact"/>
              <w:rPr>
                <w:rFonts w:ascii="宋体" w:hAnsi="宋体" w:cs="宋体"/>
                <w:sz w:val="22"/>
                <w:szCs w:val="22"/>
              </w:rPr>
            </w:pPr>
          </w:p>
        </w:tc>
        <w:tc>
          <w:tcPr>
            <w:tcW w:w="2271" w:type="dxa"/>
            <w:tcBorders>
              <w:top w:val="single" w:color="auto" w:sz="4" w:space="0"/>
              <w:left w:val="nil"/>
              <w:bottom w:val="single" w:color="auto" w:sz="4" w:space="0"/>
              <w:right w:val="single" w:color="auto" w:sz="4" w:space="0"/>
            </w:tcBorders>
            <w:vAlign w:val="center"/>
          </w:tcPr>
          <w:p w14:paraId="409EB567">
            <w:pPr>
              <w:adjustRightInd w:val="0"/>
              <w:snapToGrid w:val="0"/>
              <w:spacing w:line="360" w:lineRule="exact"/>
              <w:jc w:val="center"/>
              <w:outlineLvl w:val="0"/>
              <w:rPr>
                <w:rFonts w:ascii="宋体" w:hAnsi="宋体" w:cs="宋体"/>
                <w:bCs/>
                <w:color w:val="000000"/>
                <w:kern w:val="44"/>
                <w:sz w:val="22"/>
                <w:szCs w:val="22"/>
              </w:rPr>
            </w:pPr>
            <w:bookmarkStart w:id="101" w:name="_Toc174034454"/>
            <w:bookmarkEnd w:id="101"/>
            <w:bookmarkStart w:id="102" w:name="_Toc12452"/>
            <w:bookmarkEnd w:id="102"/>
            <w:bookmarkStart w:id="103" w:name="_Toc173946086"/>
            <w:bookmarkEnd w:id="103"/>
            <w:bookmarkStart w:id="104" w:name="_Toc173946421"/>
            <w:bookmarkEnd w:id="104"/>
            <w:bookmarkStart w:id="105" w:name="_Toc8218"/>
            <w:bookmarkStart w:id="106" w:name="_Toc10748"/>
            <w:bookmarkStart w:id="107" w:name="_Toc6308"/>
            <w:r>
              <w:rPr>
                <w:rFonts w:hint="eastAsia" w:ascii="宋体" w:hAnsi="宋体" w:cs="宋体"/>
                <w:color w:val="000000"/>
                <w:kern w:val="0"/>
                <w:sz w:val="22"/>
                <w:szCs w:val="22"/>
              </w:rPr>
              <w:t>负责人为同一人或者存在直接控股、管理关系的不同供应商，不得参加同一合同项</w:t>
            </w:r>
            <w:r>
              <w:rPr>
                <w:rFonts w:hint="eastAsia" w:ascii="宋体" w:hAnsi="宋体" w:cs="宋体"/>
                <w:color w:val="000000"/>
                <w:kern w:val="0"/>
                <w:sz w:val="22"/>
                <w:szCs w:val="22"/>
                <w:lang w:val="en-US" w:eastAsia="zh-CN"/>
              </w:rPr>
              <w:t>目</w:t>
            </w:r>
            <w:r>
              <w:rPr>
                <w:rFonts w:hint="eastAsia" w:ascii="宋体" w:hAnsi="宋体" w:cs="宋体"/>
                <w:color w:val="000000"/>
                <w:kern w:val="0"/>
                <w:sz w:val="22"/>
                <w:szCs w:val="22"/>
              </w:rPr>
              <w:t>下的采购活动</w:t>
            </w:r>
            <w:bookmarkEnd w:id="105"/>
            <w:bookmarkEnd w:id="106"/>
            <w:bookmarkEnd w:id="107"/>
          </w:p>
        </w:tc>
        <w:tc>
          <w:tcPr>
            <w:tcW w:w="5798" w:type="dxa"/>
            <w:tcBorders>
              <w:top w:val="single" w:color="auto" w:sz="4" w:space="0"/>
              <w:left w:val="nil"/>
              <w:bottom w:val="single" w:color="auto" w:sz="4" w:space="0"/>
              <w:right w:val="single" w:color="auto" w:sz="4" w:space="0"/>
            </w:tcBorders>
          </w:tcPr>
          <w:p w14:paraId="34248F10">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单位负责人为同一人或者存在直接控股、管理关系的不同供应商，不得参加同一合同项下的政府采购活动（提供“国家企业信用信息公示系统”http://www.gsxt.gov.cn/index.htm</w:t>
            </w:r>
            <w:r>
              <w:rPr>
                <w:rFonts w:hint="eastAsia" w:ascii="宋体" w:hAnsi="宋体" w:cs="宋体"/>
                <w:color w:val="000000"/>
                <w:sz w:val="22"/>
                <w:szCs w:val="22"/>
                <w:lang w:val="en-US" w:eastAsia="zh-CN"/>
              </w:rPr>
              <w:t>l</w:t>
            </w:r>
            <w:r>
              <w:rPr>
                <w:rFonts w:hint="eastAsia" w:ascii="宋体" w:hAnsi="宋体" w:cs="宋体"/>
                <w:color w:val="000000"/>
                <w:sz w:val="22"/>
                <w:szCs w:val="22"/>
              </w:rPr>
              <w:t xml:space="preserve">网页查询,需包含公司基本信息、股东信息及股权变更信息内容） </w:t>
            </w:r>
          </w:p>
        </w:tc>
      </w:tr>
      <w:tr w14:paraId="13D65182">
        <w:tblPrEx>
          <w:tblCellMar>
            <w:top w:w="0" w:type="dxa"/>
            <w:left w:w="108" w:type="dxa"/>
            <w:bottom w:w="0" w:type="dxa"/>
            <w:right w:w="108" w:type="dxa"/>
          </w:tblCellMar>
        </w:tblPrEx>
        <w:trPr>
          <w:trHeight w:val="692" w:hRule="atLeast"/>
        </w:trPr>
        <w:tc>
          <w:tcPr>
            <w:tcW w:w="508" w:type="dxa"/>
            <w:vMerge w:val="continue"/>
            <w:tcBorders>
              <w:left w:val="single" w:color="auto" w:sz="4" w:space="0"/>
              <w:bottom w:val="single" w:color="auto" w:sz="4" w:space="0"/>
              <w:right w:val="single" w:color="auto" w:sz="4" w:space="0"/>
            </w:tcBorders>
            <w:vAlign w:val="center"/>
          </w:tcPr>
          <w:p w14:paraId="3F7F93B3">
            <w:pPr>
              <w:spacing w:line="600" w:lineRule="exact"/>
              <w:rPr>
                <w:rFonts w:ascii="宋体" w:hAnsi="宋体" w:cs="宋体"/>
                <w:sz w:val="22"/>
                <w:szCs w:val="22"/>
              </w:rPr>
            </w:pPr>
          </w:p>
        </w:tc>
        <w:tc>
          <w:tcPr>
            <w:tcW w:w="868" w:type="dxa"/>
            <w:vMerge w:val="continue"/>
            <w:tcBorders>
              <w:left w:val="nil"/>
              <w:bottom w:val="single" w:color="auto" w:sz="4" w:space="0"/>
              <w:right w:val="single" w:color="auto" w:sz="4" w:space="0"/>
            </w:tcBorders>
            <w:vAlign w:val="center"/>
          </w:tcPr>
          <w:p w14:paraId="1C1449FB">
            <w:pPr>
              <w:spacing w:line="600" w:lineRule="exact"/>
              <w:rPr>
                <w:rFonts w:ascii="宋体" w:hAnsi="宋体" w:cs="宋体"/>
                <w:sz w:val="22"/>
                <w:szCs w:val="22"/>
              </w:rPr>
            </w:pPr>
          </w:p>
        </w:tc>
        <w:tc>
          <w:tcPr>
            <w:tcW w:w="2271" w:type="dxa"/>
            <w:tcBorders>
              <w:top w:val="single" w:color="auto" w:sz="4" w:space="0"/>
              <w:left w:val="nil"/>
              <w:bottom w:val="single" w:color="auto" w:sz="4" w:space="0"/>
              <w:right w:val="single" w:color="auto" w:sz="4" w:space="0"/>
            </w:tcBorders>
            <w:vAlign w:val="center"/>
          </w:tcPr>
          <w:p w14:paraId="2D75300E">
            <w:pPr>
              <w:adjustRightInd w:val="0"/>
              <w:snapToGrid w:val="0"/>
              <w:spacing w:line="360" w:lineRule="exact"/>
              <w:jc w:val="center"/>
              <w:outlineLvl w:val="0"/>
              <w:rPr>
                <w:rFonts w:hint="eastAsia" w:ascii="宋体" w:hAnsi="宋体" w:cs="宋体" w:eastAsiaTheme="minorEastAsia"/>
                <w:color w:val="000000"/>
                <w:kern w:val="0"/>
                <w:sz w:val="22"/>
                <w:szCs w:val="22"/>
                <w:lang w:eastAsia="zh-CN"/>
              </w:rPr>
            </w:pPr>
            <w:bookmarkStart w:id="108" w:name="_Toc173946422"/>
            <w:bookmarkEnd w:id="108"/>
            <w:bookmarkStart w:id="109" w:name="_Toc174034455"/>
            <w:bookmarkEnd w:id="109"/>
            <w:bookmarkStart w:id="110" w:name="_Toc173946087"/>
            <w:bookmarkEnd w:id="110"/>
            <w:bookmarkStart w:id="111" w:name="_Toc7643"/>
            <w:bookmarkEnd w:id="111"/>
            <w:r>
              <w:rPr>
                <w:rFonts w:hint="eastAsia" w:ascii="宋体" w:hAnsi="宋体" w:cs="宋体"/>
                <w:color w:val="000000"/>
                <w:kern w:val="0"/>
                <w:sz w:val="22"/>
                <w:szCs w:val="22"/>
                <w:lang w:val="en-US" w:eastAsia="zh-CN"/>
              </w:rPr>
              <w:t>其他</w:t>
            </w:r>
          </w:p>
        </w:tc>
        <w:tc>
          <w:tcPr>
            <w:tcW w:w="5798" w:type="dxa"/>
            <w:tcBorders>
              <w:top w:val="single" w:color="auto" w:sz="4" w:space="0"/>
              <w:left w:val="nil"/>
              <w:bottom w:val="single" w:color="auto" w:sz="4" w:space="0"/>
              <w:right w:val="single" w:color="auto" w:sz="4" w:space="0"/>
            </w:tcBorders>
          </w:tcPr>
          <w:p w14:paraId="031E974A">
            <w:pPr>
              <w:numPr>
                <w:ilvl w:val="0"/>
                <w:numId w:val="5"/>
              </w:numPr>
              <w:adjustRightInd w:val="0"/>
              <w:snapToGrid w:val="0"/>
              <w:spacing w:line="360" w:lineRule="exact"/>
              <w:jc w:val="left"/>
              <w:rPr>
                <w:rFonts w:hint="eastAsia" w:ascii="宋体" w:hAnsi="宋体" w:cs="宋体"/>
                <w:color w:val="000000"/>
                <w:kern w:val="0"/>
                <w:sz w:val="22"/>
                <w:szCs w:val="22"/>
              </w:rPr>
            </w:pPr>
            <w:r>
              <w:rPr>
                <w:rFonts w:hint="eastAsia" w:ascii="宋体" w:hAnsi="宋体" w:cs="宋体"/>
                <w:sz w:val="22"/>
                <w:szCs w:val="22"/>
              </w:rPr>
              <w:t>本项目不接受联合体磋商（提供非联合体承诺书，格式自拟）</w:t>
            </w:r>
          </w:p>
          <w:p w14:paraId="5DC2D334">
            <w:pPr>
              <w:numPr>
                <w:ilvl w:val="0"/>
                <w:numId w:val="0"/>
              </w:numPr>
              <w:adjustRightInd w:val="0"/>
              <w:snapToGrid w:val="0"/>
              <w:spacing w:line="360" w:lineRule="exact"/>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2、本项目实行资格后审，（提供资格后审承诺书格式自拟）</w:t>
            </w:r>
          </w:p>
        </w:tc>
      </w:tr>
      <w:tr w14:paraId="32B4DE47">
        <w:tblPrEx>
          <w:tblCellMar>
            <w:top w:w="0" w:type="dxa"/>
            <w:left w:w="108" w:type="dxa"/>
            <w:bottom w:w="0" w:type="dxa"/>
            <w:right w:w="108" w:type="dxa"/>
          </w:tblCellMar>
        </w:tblPrEx>
        <w:trPr>
          <w:trHeight w:val="429" w:hRule="atLeast"/>
        </w:trPr>
        <w:tc>
          <w:tcPr>
            <w:tcW w:w="508" w:type="dxa"/>
            <w:vMerge w:val="restart"/>
            <w:tcBorders>
              <w:top w:val="single" w:color="auto" w:sz="4" w:space="0"/>
              <w:left w:val="single" w:color="auto" w:sz="4" w:space="0"/>
              <w:bottom w:val="single" w:color="auto" w:sz="4" w:space="0"/>
              <w:right w:val="single" w:color="auto" w:sz="4" w:space="0"/>
            </w:tcBorders>
            <w:vAlign w:val="center"/>
          </w:tcPr>
          <w:p w14:paraId="4B137433">
            <w:pPr>
              <w:spacing w:line="600" w:lineRule="exact"/>
              <w:jc w:val="center"/>
              <w:rPr>
                <w:rFonts w:ascii="宋体" w:hAnsi="宋体" w:cs="宋体"/>
                <w:sz w:val="22"/>
                <w:szCs w:val="22"/>
              </w:rPr>
            </w:pPr>
            <w:r>
              <w:rPr>
                <w:rFonts w:hint="eastAsia" w:ascii="宋体" w:hAnsi="宋体" w:cs="宋体"/>
                <w:sz w:val="22"/>
                <w:szCs w:val="22"/>
              </w:rPr>
              <w:t>3</w:t>
            </w:r>
          </w:p>
        </w:tc>
        <w:tc>
          <w:tcPr>
            <w:tcW w:w="868" w:type="dxa"/>
            <w:vMerge w:val="restart"/>
            <w:tcBorders>
              <w:top w:val="single" w:color="auto" w:sz="4" w:space="0"/>
              <w:left w:val="nil"/>
              <w:right w:val="single" w:color="auto" w:sz="4" w:space="0"/>
            </w:tcBorders>
            <w:vAlign w:val="center"/>
          </w:tcPr>
          <w:p w14:paraId="0690F54B">
            <w:pPr>
              <w:spacing w:line="600" w:lineRule="exact"/>
              <w:rPr>
                <w:rFonts w:ascii="宋体" w:hAnsi="宋体" w:cs="宋体"/>
                <w:sz w:val="22"/>
                <w:szCs w:val="22"/>
              </w:rPr>
            </w:pPr>
            <w:r>
              <w:rPr>
                <w:rFonts w:hint="eastAsia" w:ascii="宋体" w:hAnsi="宋体" w:cs="宋体"/>
                <w:sz w:val="22"/>
                <w:szCs w:val="22"/>
              </w:rPr>
              <w:t>响应</w:t>
            </w:r>
            <w:r>
              <w:rPr>
                <w:rFonts w:ascii="宋体" w:hAnsi="宋体" w:cs="宋体"/>
                <w:sz w:val="22"/>
                <w:szCs w:val="22"/>
              </w:rPr>
              <w:t>性</w:t>
            </w:r>
            <w:r>
              <w:rPr>
                <w:rFonts w:hint="eastAsia" w:ascii="宋体" w:hAnsi="宋体" w:cs="宋体"/>
                <w:sz w:val="22"/>
                <w:szCs w:val="22"/>
              </w:rPr>
              <w:t>评审标准</w:t>
            </w:r>
          </w:p>
        </w:tc>
        <w:tc>
          <w:tcPr>
            <w:tcW w:w="2271" w:type="dxa"/>
            <w:tcBorders>
              <w:top w:val="single" w:color="auto" w:sz="4" w:space="0"/>
              <w:left w:val="nil"/>
              <w:bottom w:val="single" w:color="auto" w:sz="4" w:space="0"/>
              <w:right w:val="single" w:color="auto" w:sz="4" w:space="0"/>
            </w:tcBorders>
            <w:vAlign w:val="center"/>
          </w:tcPr>
          <w:p w14:paraId="679F4381">
            <w:pPr>
              <w:adjustRightInd w:val="0"/>
              <w:snapToGrid w:val="0"/>
              <w:spacing w:line="360" w:lineRule="auto"/>
              <w:jc w:val="center"/>
              <w:rPr>
                <w:rFonts w:ascii="宋体" w:hAnsi="宋体"/>
                <w:sz w:val="22"/>
                <w:szCs w:val="20"/>
              </w:rPr>
            </w:pPr>
            <w:r>
              <w:rPr>
                <w:rFonts w:hint="eastAsia" w:ascii="宋体" w:hAnsi="宋体" w:cs="宋体"/>
                <w:color w:val="000000"/>
                <w:kern w:val="0"/>
                <w:sz w:val="22"/>
                <w:szCs w:val="22"/>
              </w:rPr>
              <w:t>服务周期</w:t>
            </w:r>
          </w:p>
        </w:tc>
        <w:tc>
          <w:tcPr>
            <w:tcW w:w="5798" w:type="dxa"/>
            <w:tcBorders>
              <w:top w:val="single" w:color="auto" w:sz="4" w:space="0"/>
              <w:left w:val="nil"/>
              <w:bottom w:val="single" w:color="auto" w:sz="4" w:space="0"/>
              <w:right w:val="single" w:color="auto" w:sz="4" w:space="0"/>
            </w:tcBorders>
            <w:vAlign w:val="center"/>
          </w:tcPr>
          <w:p w14:paraId="5A12BF4D">
            <w:pPr>
              <w:adjustRightInd w:val="0"/>
              <w:snapToGrid w:val="0"/>
              <w:spacing w:line="360" w:lineRule="auto"/>
              <w:jc w:val="left"/>
              <w:rPr>
                <w:rFonts w:ascii="宋体" w:hAnsi="宋体"/>
                <w:sz w:val="22"/>
                <w:szCs w:val="20"/>
              </w:rPr>
            </w:pPr>
            <w:r>
              <w:rPr>
                <w:rFonts w:hint="eastAsia" w:ascii="宋体" w:hAnsi="宋体"/>
                <w:sz w:val="22"/>
                <w:szCs w:val="20"/>
              </w:rPr>
              <w:t>一年</w:t>
            </w:r>
          </w:p>
        </w:tc>
      </w:tr>
      <w:tr w14:paraId="5147A06E">
        <w:tblPrEx>
          <w:tblCellMar>
            <w:top w:w="0" w:type="dxa"/>
            <w:left w:w="108" w:type="dxa"/>
            <w:bottom w:w="0" w:type="dxa"/>
            <w:right w:w="108" w:type="dxa"/>
          </w:tblCellMar>
        </w:tblPrEx>
        <w:trPr>
          <w:trHeight w:val="429"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5731F0A3">
            <w:pPr>
              <w:spacing w:line="600" w:lineRule="exact"/>
              <w:jc w:val="center"/>
              <w:rPr>
                <w:rFonts w:ascii="宋体" w:hAnsi="宋体" w:cs="宋体"/>
                <w:sz w:val="22"/>
                <w:szCs w:val="22"/>
              </w:rPr>
            </w:pPr>
          </w:p>
        </w:tc>
        <w:tc>
          <w:tcPr>
            <w:tcW w:w="868" w:type="dxa"/>
            <w:vMerge w:val="continue"/>
            <w:tcBorders>
              <w:top w:val="single" w:color="auto" w:sz="4" w:space="0"/>
              <w:left w:val="nil"/>
              <w:right w:val="single" w:color="auto" w:sz="4" w:space="0"/>
            </w:tcBorders>
            <w:vAlign w:val="center"/>
          </w:tcPr>
          <w:p w14:paraId="1F6AA7FB">
            <w:pPr>
              <w:spacing w:line="600" w:lineRule="exact"/>
              <w:rPr>
                <w:rFonts w:ascii="宋体" w:hAnsi="宋体" w:cs="宋体"/>
                <w:sz w:val="22"/>
                <w:szCs w:val="22"/>
              </w:rPr>
            </w:pPr>
          </w:p>
        </w:tc>
        <w:tc>
          <w:tcPr>
            <w:tcW w:w="2271" w:type="dxa"/>
            <w:tcBorders>
              <w:top w:val="single" w:color="auto" w:sz="4" w:space="0"/>
              <w:left w:val="nil"/>
              <w:bottom w:val="single" w:color="auto" w:sz="4" w:space="0"/>
              <w:right w:val="single" w:color="auto" w:sz="4" w:space="0"/>
            </w:tcBorders>
            <w:vAlign w:val="center"/>
          </w:tcPr>
          <w:p w14:paraId="199DAA02">
            <w:pPr>
              <w:adjustRightInd w:val="0"/>
              <w:snapToGrid w:val="0"/>
              <w:spacing w:line="360" w:lineRule="auto"/>
              <w:jc w:val="center"/>
              <w:rPr>
                <w:rFonts w:ascii="宋体" w:hAnsi="宋体"/>
                <w:sz w:val="22"/>
                <w:szCs w:val="20"/>
              </w:rPr>
            </w:pPr>
            <w:r>
              <w:rPr>
                <w:rFonts w:hint="eastAsia" w:ascii="宋体" w:hAnsi="宋体"/>
                <w:sz w:val="22"/>
                <w:szCs w:val="20"/>
              </w:rPr>
              <w:t>质量</w:t>
            </w:r>
            <w:r>
              <w:rPr>
                <w:rFonts w:hint="eastAsia" w:ascii="宋体" w:hAnsi="宋体" w:cs="宋体"/>
                <w:color w:val="000000"/>
                <w:kern w:val="0"/>
                <w:sz w:val="22"/>
                <w:szCs w:val="22"/>
              </w:rPr>
              <w:t>要求</w:t>
            </w:r>
          </w:p>
        </w:tc>
        <w:tc>
          <w:tcPr>
            <w:tcW w:w="5798" w:type="dxa"/>
            <w:tcBorders>
              <w:top w:val="single" w:color="auto" w:sz="4" w:space="0"/>
              <w:left w:val="nil"/>
              <w:bottom w:val="single" w:color="auto" w:sz="4" w:space="0"/>
              <w:right w:val="single" w:color="auto" w:sz="4" w:space="0"/>
            </w:tcBorders>
            <w:vAlign w:val="center"/>
          </w:tcPr>
          <w:p w14:paraId="3923AC41">
            <w:pPr>
              <w:adjustRightInd w:val="0"/>
              <w:snapToGrid w:val="0"/>
              <w:spacing w:line="360" w:lineRule="auto"/>
              <w:jc w:val="left"/>
              <w:rPr>
                <w:rFonts w:ascii="宋体" w:hAnsi="宋体"/>
                <w:sz w:val="22"/>
                <w:szCs w:val="20"/>
              </w:rPr>
            </w:pPr>
            <w:r>
              <w:rPr>
                <w:rFonts w:hint="eastAsia" w:ascii="宋体" w:hAnsi="宋体"/>
                <w:sz w:val="22"/>
                <w:szCs w:val="20"/>
              </w:rPr>
              <w:t>符合相关法律法规及行业标准</w:t>
            </w:r>
          </w:p>
        </w:tc>
      </w:tr>
      <w:tr w14:paraId="592970A6">
        <w:tblPrEx>
          <w:tblCellMar>
            <w:top w:w="0" w:type="dxa"/>
            <w:left w:w="108" w:type="dxa"/>
            <w:bottom w:w="0" w:type="dxa"/>
            <w:right w:w="108" w:type="dxa"/>
          </w:tblCellMar>
        </w:tblPrEx>
        <w:trPr>
          <w:trHeight w:val="500" w:hRule="atLeast"/>
        </w:trPr>
        <w:tc>
          <w:tcPr>
            <w:tcW w:w="508" w:type="dxa"/>
            <w:vMerge w:val="continue"/>
            <w:tcBorders>
              <w:top w:val="nil"/>
              <w:left w:val="single" w:color="auto" w:sz="4" w:space="0"/>
              <w:bottom w:val="single" w:color="auto" w:sz="4" w:space="0"/>
              <w:right w:val="single" w:color="auto" w:sz="4" w:space="0"/>
            </w:tcBorders>
            <w:vAlign w:val="center"/>
          </w:tcPr>
          <w:p w14:paraId="2D1DBD95">
            <w:pPr>
              <w:spacing w:line="600" w:lineRule="exact"/>
              <w:rPr>
                <w:rFonts w:ascii="宋体" w:hAnsi="宋体" w:cs="宋体"/>
                <w:sz w:val="22"/>
                <w:szCs w:val="22"/>
              </w:rPr>
            </w:pPr>
          </w:p>
        </w:tc>
        <w:tc>
          <w:tcPr>
            <w:tcW w:w="868" w:type="dxa"/>
            <w:vMerge w:val="continue"/>
            <w:tcBorders>
              <w:left w:val="nil"/>
              <w:right w:val="single" w:color="auto" w:sz="4" w:space="0"/>
            </w:tcBorders>
            <w:vAlign w:val="center"/>
          </w:tcPr>
          <w:p w14:paraId="65B67B75">
            <w:pPr>
              <w:spacing w:line="600" w:lineRule="exact"/>
              <w:rPr>
                <w:rFonts w:ascii="宋体" w:hAnsi="宋体" w:cs="宋体"/>
                <w:sz w:val="22"/>
                <w:szCs w:val="22"/>
              </w:rPr>
            </w:pPr>
          </w:p>
        </w:tc>
        <w:tc>
          <w:tcPr>
            <w:tcW w:w="2271" w:type="dxa"/>
            <w:tcBorders>
              <w:top w:val="single" w:color="auto" w:sz="4" w:space="0"/>
              <w:left w:val="nil"/>
              <w:bottom w:val="single" w:color="auto" w:sz="4" w:space="0"/>
              <w:right w:val="single" w:color="auto" w:sz="4" w:space="0"/>
            </w:tcBorders>
            <w:vAlign w:val="center"/>
          </w:tcPr>
          <w:p w14:paraId="1F643BF3">
            <w:pPr>
              <w:adjustRightInd w:val="0"/>
              <w:snapToGrid w:val="0"/>
              <w:spacing w:line="360" w:lineRule="auto"/>
              <w:jc w:val="center"/>
              <w:rPr>
                <w:rFonts w:ascii="宋体" w:hAnsi="宋体"/>
                <w:sz w:val="22"/>
                <w:szCs w:val="20"/>
              </w:rPr>
            </w:pPr>
            <w:r>
              <w:rPr>
                <w:rFonts w:hint="eastAsia" w:ascii="宋体" w:hAnsi="宋体"/>
                <w:sz w:val="22"/>
                <w:szCs w:val="20"/>
              </w:rPr>
              <w:t>磋商有效期</w:t>
            </w:r>
          </w:p>
        </w:tc>
        <w:tc>
          <w:tcPr>
            <w:tcW w:w="5798" w:type="dxa"/>
            <w:tcBorders>
              <w:top w:val="single" w:color="auto" w:sz="4" w:space="0"/>
              <w:left w:val="nil"/>
              <w:bottom w:val="single" w:color="auto" w:sz="4" w:space="0"/>
              <w:right w:val="single" w:color="auto" w:sz="4" w:space="0"/>
            </w:tcBorders>
            <w:vAlign w:val="center"/>
          </w:tcPr>
          <w:p w14:paraId="239D0B86">
            <w:pPr>
              <w:adjustRightInd w:val="0"/>
              <w:snapToGrid w:val="0"/>
              <w:spacing w:line="360" w:lineRule="auto"/>
              <w:rPr>
                <w:rFonts w:ascii="宋体" w:hAnsi="宋体"/>
                <w:sz w:val="22"/>
                <w:szCs w:val="20"/>
              </w:rPr>
            </w:pPr>
            <w:r>
              <w:rPr>
                <w:rFonts w:ascii="宋体" w:hAnsi="宋体"/>
                <w:sz w:val="22"/>
                <w:szCs w:val="20"/>
              </w:rPr>
              <w:t>60日历天(</w:t>
            </w:r>
            <w:r>
              <w:rPr>
                <w:rFonts w:hint="eastAsia" w:ascii="宋体" w:hAnsi="宋体"/>
                <w:sz w:val="22"/>
                <w:szCs w:val="20"/>
              </w:rPr>
              <w:t>指本次采购项目递交响应性文件截止之日起</w:t>
            </w:r>
            <w:r>
              <w:rPr>
                <w:rFonts w:ascii="宋体" w:hAnsi="宋体"/>
                <w:sz w:val="22"/>
                <w:szCs w:val="20"/>
              </w:rPr>
              <w:t>)</w:t>
            </w:r>
          </w:p>
        </w:tc>
      </w:tr>
      <w:tr w14:paraId="6501E0AF">
        <w:tblPrEx>
          <w:tblCellMar>
            <w:top w:w="0" w:type="dxa"/>
            <w:left w:w="108" w:type="dxa"/>
            <w:bottom w:w="0" w:type="dxa"/>
            <w:right w:w="108" w:type="dxa"/>
          </w:tblCellMar>
        </w:tblPrEx>
        <w:trPr>
          <w:trHeight w:val="373" w:hRule="atLeast"/>
        </w:trPr>
        <w:tc>
          <w:tcPr>
            <w:tcW w:w="508" w:type="dxa"/>
            <w:vMerge w:val="continue"/>
            <w:tcBorders>
              <w:top w:val="nil"/>
              <w:left w:val="single" w:color="auto" w:sz="4" w:space="0"/>
              <w:bottom w:val="single" w:color="auto" w:sz="4" w:space="0"/>
              <w:right w:val="single" w:color="auto" w:sz="4" w:space="0"/>
            </w:tcBorders>
            <w:vAlign w:val="center"/>
          </w:tcPr>
          <w:p w14:paraId="5B4D88FD">
            <w:pPr>
              <w:spacing w:line="600" w:lineRule="exact"/>
              <w:rPr>
                <w:rFonts w:ascii="宋体" w:hAnsi="宋体" w:cs="宋体"/>
                <w:sz w:val="22"/>
                <w:szCs w:val="22"/>
              </w:rPr>
            </w:pPr>
          </w:p>
        </w:tc>
        <w:tc>
          <w:tcPr>
            <w:tcW w:w="868" w:type="dxa"/>
            <w:vMerge w:val="continue"/>
            <w:tcBorders>
              <w:left w:val="nil"/>
              <w:bottom w:val="single" w:color="auto" w:sz="4" w:space="0"/>
              <w:right w:val="single" w:color="auto" w:sz="4" w:space="0"/>
            </w:tcBorders>
            <w:vAlign w:val="center"/>
          </w:tcPr>
          <w:p w14:paraId="3976E0C9">
            <w:pPr>
              <w:spacing w:line="600" w:lineRule="exact"/>
              <w:rPr>
                <w:rFonts w:ascii="宋体" w:hAnsi="宋体" w:cs="宋体"/>
                <w:sz w:val="22"/>
                <w:szCs w:val="22"/>
              </w:rPr>
            </w:pPr>
          </w:p>
        </w:tc>
        <w:tc>
          <w:tcPr>
            <w:tcW w:w="2271" w:type="dxa"/>
            <w:tcBorders>
              <w:top w:val="single" w:color="auto" w:sz="4" w:space="0"/>
              <w:left w:val="nil"/>
              <w:bottom w:val="single" w:color="auto" w:sz="4" w:space="0"/>
              <w:right w:val="single" w:color="auto" w:sz="4" w:space="0"/>
            </w:tcBorders>
            <w:vAlign w:val="center"/>
          </w:tcPr>
          <w:p w14:paraId="3036B311">
            <w:pPr>
              <w:adjustRightInd w:val="0"/>
              <w:snapToGrid w:val="0"/>
              <w:spacing w:line="360" w:lineRule="auto"/>
              <w:jc w:val="center"/>
              <w:rPr>
                <w:rFonts w:ascii="宋体" w:hAnsi="宋体"/>
                <w:sz w:val="22"/>
                <w:szCs w:val="20"/>
              </w:rPr>
            </w:pPr>
            <w:r>
              <w:rPr>
                <w:rFonts w:hint="eastAsia" w:ascii="宋体" w:hAnsi="宋体"/>
                <w:sz w:val="22"/>
                <w:szCs w:val="20"/>
              </w:rPr>
              <w:t>磋商报价</w:t>
            </w:r>
          </w:p>
        </w:tc>
        <w:tc>
          <w:tcPr>
            <w:tcW w:w="5798" w:type="dxa"/>
            <w:tcBorders>
              <w:top w:val="single" w:color="auto" w:sz="4" w:space="0"/>
              <w:left w:val="nil"/>
              <w:bottom w:val="single" w:color="auto" w:sz="4" w:space="0"/>
              <w:right w:val="single" w:color="auto" w:sz="4" w:space="0"/>
            </w:tcBorders>
            <w:vAlign w:val="center"/>
          </w:tcPr>
          <w:p w14:paraId="44FDDDF7">
            <w:pPr>
              <w:adjustRightInd w:val="0"/>
              <w:snapToGrid w:val="0"/>
              <w:spacing w:line="360" w:lineRule="auto"/>
              <w:rPr>
                <w:rFonts w:ascii="宋体" w:hAnsi="宋体"/>
                <w:sz w:val="22"/>
                <w:szCs w:val="20"/>
              </w:rPr>
            </w:pPr>
            <w:r>
              <w:rPr>
                <w:rFonts w:hint="eastAsia" w:ascii="宋体" w:hAnsi="宋体"/>
                <w:sz w:val="22"/>
                <w:szCs w:val="22"/>
              </w:rPr>
              <w:t>供应商磋商报价不得高于采购人公布的预算价（最高限价），否则其磋商将被否决</w:t>
            </w:r>
          </w:p>
        </w:tc>
      </w:tr>
    </w:tbl>
    <w:p w14:paraId="47CB34DB">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685ABE9B">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79F32FAB">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1ABE4827">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34052EA0">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45FF52F4">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02ADB8E0">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329539AD">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6D80A5EC">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132DE46D">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0D59C78B">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271AB84E">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42DA0652">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7F1F9C7F">
      <w:pPr>
        <w:spacing w:line="60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59C1F0DC">
      <w:pPr>
        <w:spacing w:line="600" w:lineRule="exact"/>
        <w:ind w:firstLine="482" w:firstLineChars="200"/>
        <w:rPr>
          <w:rFonts w:ascii="Calibri" w:hAnsi="Calibri" w:eastAsia="宋体" w:cs="Times New Roman"/>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 磋商文件的评审、比较和否决</w:t>
      </w:r>
    </w:p>
    <w:p w14:paraId="61B8C5F6">
      <w:pPr>
        <w:spacing w:line="600" w:lineRule="exact"/>
        <w:ind w:firstLine="482" w:firstLineChars="200"/>
        <w:rPr>
          <w:rFonts w:ascii="Calibri" w:hAnsi="Calibri" w:eastAsia="宋体" w:cs="Times New Roman"/>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磋商小组将按照竞争性磋商文件的规定，仅对在实质上响应竞争性磋商文件要求的响应文件进行评估和比较。</w:t>
      </w:r>
    </w:p>
    <w:p w14:paraId="44371A4E">
      <w:pPr>
        <w:spacing w:line="600" w:lineRule="exact"/>
        <w:ind w:firstLine="482" w:firstLineChars="200"/>
        <w:rPr>
          <w:rFonts w:ascii="Calibri" w:hAnsi="Calibri" w:eastAsia="宋体" w:cs="Times New Roman"/>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3ACC1885">
      <w:pPr>
        <w:spacing w:line="600" w:lineRule="exact"/>
        <w:ind w:firstLine="482" w:firstLineChars="200"/>
        <w:rPr>
          <w:rFonts w:ascii="Calibri" w:hAnsi="Calibri" w:eastAsia="宋体" w:cs="Times New Roman"/>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在磋商过程中，磋商小组可以以书面形式要求供应商就响应文件中含义不明确的内容进行书面说明并提供相关材料；凡遇到响应文件中无界定或界定不清、前后不一致使磋商小组意见有分歧且又难于协商一致的问题，均由磋商小组予以表决，获半数以上同意的即为通过，未获半数同意的即为否决。</w:t>
      </w:r>
    </w:p>
    <w:p w14:paraId="386DD9B6">
      <w:pPr>
        <w:spacing w:line="600" w:lineRule="exact"/>
        <w:ind w:firstLine="482" w:firstLineChars="200"/>
        <w:rPr>
          <w:rFonts w:ascii="Calibri" w:hAnsi="Calibri" w:eastAsia="宋体" w:cs="Times New Roman"/>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1.4</w:t>
      </w:r>
      <w:r>
        <w:rPr>
          <w:rFonts w:hint="eastAsia" w:ascii="宋体" w:hAnsi="宋体" w:eastAsia="宋体" w:cs="宋体"/>
          <w:color w:val="000000" w:themeColor="text1"/>
          <w:sz w:val="24"/>
          <w14:textFill>
            <w14:solidFill>
              <w14:schemeClr w14:val="tx1"/>
            </w14:solidFill>
          </w14:textFill>
        </w:rPr>
        <w:t>磋商时，磋商报价是磋商的重要依据，但不是唯一依据，采购人不承诺将合同授予报价最低或最高的供应商。</w:t>
      </w:r>
    </w:p>
    <w:p w14:paraId="05D3B97E">
      <w:pPr>
        <w:spacing w:line="600" w:lineRule="exact"/>
        <w:ind w:firstLine="482" w:firstLineChars="200"/>
        <w:rPr>
          <w:rFonts w:ascii="Calibri" w:hAnsi="Calibri" w:eastAsia="宋体" w:cs="Times New Roman"/>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磋商小组依据竞争性磋商文件中规定的磋商标准和方法，对响应文件进行评审和比较，向采购人提出书面评标报告，并推荐合格的成交候选人。采购人根据磋商小组提出的书面评标报告和推荐的成交候选人按序确定成交人。</w:t>
      </w:r>
    </w:p>
    <w:p w14:paraId="5977A30B">
      <w:pPr>
        <w:spacing w:line="600" w:lineRule="exact"/>
        <w:ind w:firstLine="482" w:firstLineChars="200"/>
        <w:rPr>
          <w:rFonts w:ascii="Calibri" w:hAnsi="Calibri" w:eastAsia="宋体" w:cs="Times New Roman"/>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 磋商程序</w:t>
      </w:r>
    </w:p>
    <w:p w14:paraId="5E2AE4A7">
      <w:pPr>
        <w:spacing w:line="600" w:lineRule="exact"/>
        <w:ind w:firstLine="480" w:firstLineChars="200"/>
        <w:rPr>
          <w:rFonts w:ascii="Calibri" w:hAnsi="Calibri"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资格审查</w:t>
      </w:r>
    </w:p>
    <w:p w14:paraId="1E7ED4C9">
      <w:pPr>
        <w:spacing w:line="600" w:lineRule="exact"/>
        <w:ind w:firstLine="480" w:firstLineChars="200"/>
        <w:rPr>
          <w:rFonts w:ascii="Calibri" w:hAnsi="Calibri"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本项目采用资格后审</w:t>
      </w:r>
    </w:p>
    <w:p w14:paraId="5FF4BAF9">
      <w:pPr>
        <w:spacing w:line="6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磋商小组按照竞争性磋商文件供应商资格要求，对供应商的响应文件进行形式</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资格和响应性审查，有一项不符合的，按废标处理，符合的进入下一磋商程序。</w:t>
      </w:r>
    </w:p>
    <w:p w14:paraId="004254EF">
      <w:pPr>
        <w:spacing w:line="600" w:lineRule="exact"/>
        <w:ind w:firstLine="482" w:firstLineChars="20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3.磋商具体方法和标准</w:t>
      </w:r>
    </w:p>
    <w:p w14:paraId="69360F95">
      <w:pPr>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磋商小组根据磋商原则和办法对所有响应文件进行集中审核，分别评价。</w:t>
      </w:r>
    </w:p>
    <w:p w14:paraId="2814CB91">
      <w:pPr>
        <w:pStyle w:val="40"/>
        <w:ind w:firstLine="281"/>
        <w:jc w:val="center"/>
        <w:rPr>
          <w:rFonts w:hint="eastAsia" w:ascii="宋体" w:hAnsi="宋体" w:eastAsia="宋体" w:cs="宋体-18030"/>
          <w:b/>
          <w:color w:val="000000"/>
          <w:sz w:val="28"/>
        </w:rPr>
      </w:pPr>
    </w:p>
    <w:p w14:paraId="6ACB45BB">
      <w:pPr>
        <w:pStyle w:val="40"/>
        <w:ind w:firstLine="281"/>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18030"/>
          <w:b/>
          <w:color w:val="000000"/>
          <w:sz w:val="28"/>
        </w:rPr>
        <w:t>详细评审表</w:t>
      </w:r>
    </w:p>
    <w:tbl>
      <w:tblPr>
        <w:tblStyle w:val="21"/>
        <w:tblW w:w="900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208"/>
        <w:gridCol w:w="5695"/>
        <w:gridCol w:w="840"/>
      </w:tblGrid>
      <w:tr w14:paraId="4878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58" w:type="dxa"/>
            <w:vAlign w:val="center"/>
          </w:tcPr>
          <w:p w14:paraId="4BE2E219">
            <w:pPr>
              <w:spacing w:line="360" w:lineRule="auto"/>
              <w:jc w:val="center"/>
              <w:rPr>
                <w:rFonts w:ascii="宋体" w:hAnsi="宋体" w:eastAsia="宋体" w:cs="宋体"/>
                <w:b/>
                <w:bCs/>
                <w:sz w:val="24"/>
              </w:rPr>
            </w:pPr>
            <w:r>
              <w:rPr>
                <w:rFonts w:hint="eastAsia" w:ascii="宋体" w:hAnsi="宋体" w:eastAsia="宋体" w:cs="宋体"/>
                <w:b/>
                <w:bCs/>
                <w:sz w:val="24"/>
              </w:rPr>
              <w:t>评分因素</w:t>
            </w:r>
          </w:p>
        </w:tc>
        <w:tc>
          <w:tcPr>
            <w:tcW w:w="1208" w:type="dxa"/>
            <w:vAlign w:val="center"/>
          </w:tcPr>
          <w:p w14:paraId="1E269D08">
            <w:pPr>
              <w:spacing w:line="360" w:lineRule="auto"/>
              <w:jc w:val="center"/>
              <w:rPr>
                <w:rFonts w:ascii="宋体" w:hAnsi="宋体" w:eastAsia="宋体" w:cs="宋体"/>
                <w:b/>
                <w:bCs/>
                <w:sz w:val="24"/>
              </w:rPr>
            </w:pPr>
            <w:r>
              <w:rPr>
                <w:rFonts w:hint="eastAsia" w:ascii="宋体" w:hAnsi="宋体" w:eastAsia="宋体" w:cs="宋体"/>
                <w:b/>
                <w:bCs/>
                <w:sz w:val="24"/>
              </w:rPr>
              <w:t>评分内容</w:t>
            </w:r>
          </w:p>
        </w:tc>
        <w:tc>
          <w:tcPr>
            <w:tcW w:w="5695" w:type="dxa"/>
            <w:vAlign w:val="center"/>
          </w:tcPr>
          <w:p w14:paraId="7C6C359D">
            <w:pPr>
              <w:spacing w:line="360" w:lineRule="auto"/>
              <w:jc w:val="center"/>
              <w:rPr>
                <w:rFonts w:ascii="宋体" w:hAnsi="宋体" w:eastAsia="宋体" w:cs="宋体"/>
                <w:b/>
                <w:bCs/>
                <w:sz w:val="24"/>
              </w:rPr>
            </w:pPr>
            <w:r>
              <w:rPr>
                <w:rFonts w:hint="eastAsia" w:ascii="宋体" w:hAnsi="宋体" w:eastAsia="宋体" w:cs="宋体"/>
                <w:b/>
                <w:bCs/>
                <w:sz w:val="24"/>
              </w:rPr>
              <w:t>评分标准</w:t>
            </w:r>
          </w:p>
        </w:tc>
        <w:tc>
          <w:tcPr>
            <w:tcW w:w="840" w:type="dxa"/>
            <w:vAlign w:val="center"/>
          </w:tcPr>
          <w:p w14:paraId="5F2C2A71">
            <w:pPr>
              <w:spacing w:line="360" w:lineRule="auto"/>
              <w:jc w:val="center"/>
              <w:rPr>
                <w:rFonts w:ascii="宋体" w:hAnsi="宋体" w:eastAsia="宋体" w:cs="宋体"/>
                <w:b/>
                <w:bCs/>
                <w:sz w:val="24"/>
              </w:rPr>
            </w:pPr>
            <w:r>
              <w:rPr>
                <w:rFonts w:hint="eastAsia" w:ascii="宋体" w:hAnsi="宋体" w:eastAsia="宋体" w:cs="宋体"/>
                <w:b/>
                <w:bCs/>
                <w:sz w:val="24"/>
              </w:rPr>
              <w:t>分值</w:t>
            </w:r>
          </w:p>
        </w:tc>
      </w:tr>
      <w:tr w14:paraId="085D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1258" w:type="dxa"/>
            <w:vAlign w:val="center"/>
          </w:tcPr>
          <w:p w14:paraId="1CD94C5F">
            <w:pPr>
              <w:spacing w:line="360" w:lineRule="auto"/>
              <w:jc w:val="center"/>
              <w:rPr>
                <w:rFonts w:ascii="宋体" w:hAnsi="宋体" w:eastAsia="宋体" w:cs="宋体"/>
                <w:b/>
                <w:bCs/>
                <w:sz w:val="24"/>
              </w:rPr>
            </w:pPr>
            <w:r>
              <w:rPr>
                <w:rFonts w:hint="eastAsia" w:ascii="宋体" w:hAnsi="宋体" w:cs="宋体"/>
                <w:b/>
                <w:bCs/>
                <w:sz w:val="24"/>
              </w:rPr>
              <w:t>磋商报价（30分）</w:t>
            </w:r>
          </w:p>
        </w:tc>
        <w:tc>
          <w:tcPr>
            <w:tcW w:w="1208" w:type="dxa"/>
            <w:vAlign w:val="center"/>
          </w:tcPr>
          <w:p w14:paraId="5143FF90">
            <w:pPr>
              <w:spacing w:line="360" w:lineRule="auto"/>
              <w:jc w:val="center"/>
              <w:rPr>
                <w:rFonts w:ascii="宋体" w:hAnsi="宋体" w:eastAsia="宋体" w:cs="宋体"/>
                <w:b/>
                <w:bCs/>
                <w:sz w:val="24"/>
              </w:rPr>
            </w:pPr>
            <w:r>
              <w:rPr>
                <w:rFonts w:hint="eastAsia" w:ascii="宋体" w:hAnsi="宋体" w:cs="宋体"/>
                <w:sz w:val="24"/>
              </w:rPr>
              <w:t>磋商报价</w:t>
            </w:r>
          </w:p>
        </w:tc>
        <w:tc>
          <w:tcPr>
            <w:tcW w:w="5695" w:type="dxa"/>
            <w:vAlign w:val="center"/>
          </w:tcPr>
          <w:p w14:paraId="6154F36C">
            <w:pPr>
              <w:spacing w:line="360" w:lineRule="auto"/>
              <w:rPr>
                <w:rFonts w:ascii="宋体" w:hAnsi="宋体" w:cs="宋体"/>
                <w:sz w:val="22"/>
                <w:szCs w:val="22"/>
              </w:rPr>
            </w:pPr>
            <w:r>
              <w:rPr>
                <w:rFonts w:hint="eastAsia" w:ascii="宋体" w:hAnsi="宋体" w:cs="宋体"/>
                <w:sz w:val="22"/>
                <w:szCs w:val="22"/>
              </w:rPr>
              <w:t>1、本次竞争性磋商分为两轮报价，响应文件中的报价作为第一次报价，不得高于</w:t>
            </w:r>
            <w:r>
              <w:rPr>
                <w:rFonts w:hint="eastAsia" w:ascii="宋体" w:hAnsi="宋体" w:cs="宋体"/>
                <w:sz w:val="22"/>
                <w:szCs w:val="22"/>
                <w:highlight w:val="none"/>
              </w:rPr>
              <w:t>磋商控制价</w:t>
            </w:r>
            <w:r>
              <w:rPr>
                <w:rFonts w:hint="eastAsia" w:ascii="宋体" w:hAnsi="宋体" w:cs="宋体"/>
                <w:sz w:val="22"/>
                <w:szCs w:val="22"/>
              </w:rPr>
              <w:t>。所有未进入详细评审的磋商为无效磋商，其报价不作为评分依据。</w:t>
            </w:r>
          </w:p>
          <w:p w14:paraId="4338B770">
            <w:pPr>
              <w:spacing w:line="360" w:lineRule="auto"/>
              <w:rPr>
                <w:rFonts w:ascii="宋体" w:hAnsi="宋体" w:cs="宋体"/>
                <w:sz w:val="22"/>
                <w:szCs w:val="22"/>
                <w:highlight w:val="none"/>
              </w:rPr>
            </w:pPr>
            <w:r>
              <w:rPr>
                <w:rFonts w:hint="eastAsia" w:ascii="宋体" w:hAnsi="宋体" w:cs="宋体"/>
                <w:sz w:val="22"/>
                <w:szCs w:val="22"/>
              </w:rPr>
              <w:t>2、</w:t>
            </w:r>
            <w:r>
              <w:rPr>
                <w:rFonts w:hint="eastAsia" w:ascii="宋体" w:hAnsi="宋体" w:cs="宋体"/>
                <w:sz w:val="22"/>
                <w:szCs w:val="22"/>
                <w:highlight w:val="none"/>
              </w:rPr>
              <w:t>价格分采用低价优先法计算，即满足竞争性磋商文件要求且最后报价最低的供应商的价格为磋商基准价，其价格分为满分，其他供应商的价格分统一按照下列公式计算：</w:t>
            </w:r>
          </w:p>
          <w:p w14:paraId="13FABA69">
            <w:pPr>
              <w:spacing w:line="360" w:lineRule="auto"/>
              <w:rPr>
                <w:rFonts w:ascii="宋体" w:hAnsi="宋体" w:cs="宋体"/>
                <w:bCs/>
                <w:kern w:val="0"/>
                <w:sz w:val="22"/>
                <w:szCs w:val="22"/>
                <w:highlight w:val="none"/>
              </w:rPr>
            </w:pPr>
            <w:r>
              <w:rPr>
                <w:rFonts w:hint="eastAsia" w:ascii="宋体" w:hAnsi="宋体" w:cs="宋体"/>
                <w:bCs/>
                <w:kern w:val="0"/>
                <w:sz w:val="22"/>
                <w:szCs w:val="22"/>
                <w:highlight w:val="none"/>
              </w:rPr>
              <w:t>其他供应商磋商报价得分=</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磋商基准价/磋商报价</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×30%×100</w:t>
            </w:r>
          </w:p>
          <w:p w14:paraId="7ED670E7">
            <w:pPr>
              <w:spacing w:line="360" w:lineRule="auto"/>
              <w:ind w:firstLine="442" w:firstLineChars="200"/>
              <w:rPr>
                <w:rFonts w:hint="default" w:ascii="宋体" w:hAnsi="宋体" w:cs="宋体"/>
                <w:b/>
                <w:bCs/>
                <w:sz w:val="22"/>
                <w:szCs w:val="22"/>
                <w:lang w:val="en-US" w:eastAsia="zh-CN"/>
              </w:rPr>
            </w:pPr>
            <w:r>
              <w:rPr>
                <w:rFonts w:hint="eastAsia" w:ascii="宋体" w:hAnsi="宋体" w:cs="宋体"/>
                <w:b/>
                <w:bCs/>
                <w:sz w:val="22"/>
                <w:szCs w:val="22"/>
                <w:lang w:val="en-US" w:eastAsia="zh-CN"/>
              </w:rPr>
              <w:t>注：1.得分四舍五入后保留两位小数。</w:t>
            </w:r>
          </w:p>
          <w:p w14:paraId="1E56AE92">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lang w:val="en-US" w:eastAsia="zh-CN"/>
              </w:rPr>
              <w:t>2.</w:t>
            </w:r>
            <w:r>
              <w:rPr>
                <w:rFonts w:hint="eastAsia" w:ascii="宋体" w:hAnsi="宋体" w:cs="宋体"/>
                <w:b/>
                <w:bCs/>
                <w:sz w:val="22"/>
                <w:szCs w:val="22"/>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6A2BDAD8">
            <w:pPr>
              <w:spacing w:line="360" w:lineRule="auto"/>
              <w:ind w:firstLine="442" w:firstLineChars="200"/>
            </w:pPr>
            <w:r>
              <w:rPr>
                <w:rFonts w:hint="eastAsia" w:ascii="宋体" w:hAnsi="宋体" w:cs="宋体"/>
                <w:b/>
                <w:bCs/>
                <w:sz w:val="22"/>
                <w:szCs w:val="22"/>
                <w:lang w:val="en-US" w:eastAsia="zh-CN"/>
              </w:rPr>
              <w:t>3.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tc>
        <w:tc>
          <w:tcPr>
            <w:tcW w:w="840" w:type="dxa"/>
            <w:vAlign w:val="center"/>
          </w:tcPr>
          <w:p w14:paraId="6EDC4BC1">
            <w:pPr>
              <w:snapToGrid w:val="0"/>
              <w:spacing w:line="440" w:lineRule="exact"/>
              <w:jc w:val="center"/>
              <w:rPr>
                <w:rFonts w:ascii="宋体" w:hAnsi="宋体" w:eastAsia="宋体" w:cs="宋体"/>
                <w:b/>
                <w:bCs/>
                <w:sz w:val="24"/>
              </w:rPr>
            </w:pPr>
            <w:r>
              <w:rPr>
                <w:rFonts w:hint="eastAsia" w:ascii="宋体" w:hAnsi="宋体" w:eastAsia="宋体" w:cs="宋体"/>
                <w:kern w:val="0"/>
                <w:sz w:val="24"/>
              </w:rPr>
              <w:t>30分</w:t>
            </w:r>
          </w:p>
        </w:tc>
      </w:tr>
      <w:tr w14:paraId="35BB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58" w:type="dxa"/>
            <w:vMerge w:val="restart"/>
            <w:vAlign w:val="center"/>
          </w:tcPr>
          <w:p w14:paraId="74CF32C6">
            <w:pPr>
              <w:spacing w:line="360" w:lineRule="auto"/>
              <w:jc w:val="both"/>
              <w:rPr>
                <w:rFonts w:ascii="宋体" w:hAnsi="宋体" w:eastAsia="宋体" w:cs="宋体"/>
                <w:b/>
                <w:bCs/>
                <w:sz w:val="24"/>
              </w:rPr>
            </w:pPr>
            <w:r>
              <w:rPr>
                <w:rFonts w:hint="eastAsia" w:ascii="宋体" w:hAnsi="宋体" w:eastAsia="宋体" w:cs="宋体"/>
                <w:b/>
                <w:bCs/>
                <w:color w:val="auto"/>
                <w:sz w:val="22"/>
                <w:szCs w:val="22"/>
                <w:u w:val="none"/>
                <w:lang w:bidi="ar-SA"/>
              </w:rPr>
              <w:t>技术部分(</w:t>
            </w:r>
            <w:r>
              <w:rPr>
                <w:rFonts w:hint="eastAsia" w:ascii="宋体" w:hAnsi="宋体" w:eastAsia="宋体" w:cs="宋体"/>
                <w:b/>
                <w:bCs/>
                <w:color w:val="auto"/>
                <w:sz w:val="22"/>
                <w:szCs w:val="22"/>
                <w:u w:val="none"/>
                <w:lang w:val="en-US" w:eastAsia="zh-CN" w:bidi="ar-SA"/>
              </w:rPr>
              <w:t>35</w:t>
            </w:r>
            <w:r>
              <w:rPr>
                <w:rFonts w:hint="eastAsia" w:ascii="宋体" w:hAnsi="宋体" w:eastAsia="宋体" w:cs="宋体"/>
                <w:b/>
                <w:bCs/>
                <w:color w:val="auto"/>
                <w:sz w:val="22"/>
                <w:szCs w:val="22"/>
                <w:u w:val="none"/>
                <w:lang w:bidi="ar-SA"/>
              </w:rPr>
              <w:t>分)</w:t>
            </w:r>
          </w:p>
        </w:tc>
        <w:tc>
          <w:tcPr>
            <w:tcW w:w="1208" w:type="dxa"/>
            <w:shd w:val="clear" w:color="auto" w:fill="auto"/>
            <w:vAlign w:val="top"/>
          </w:tcPr>
          <w:p w14:paraId="19F1FDD5">
            <w:pPr>
              <w:pStyle w:val="41"/>
              <w:spacing w:before="91" w:line="333" w:lineRule="auto"/>
              <w:ind w:left="114" w:leftChars="0" w:right="107" w:rightChars="0" w:hanging="2" w:firstLineChars="0"/>
              <w:jc w:val="center"/>
              <w:rPr>
                <w:sz w:val="24"/>
                <w:szCs w:val="24"/>
              </w:rPr>
            </w:pPr>
            <w:r>
              <w:rPr>
                <w:rFonts w:hint="eastAsia" w:ascii="宋体" w:hAnsi="宋体" w:eastAsia="宋体" w:cs="宋体"/>
                <w:kern w:val="2"/>
                <w:sz w:val="22"/>
                <w:szCs w:val="22"/>
                <w:lang w:val="en-US" w:eastAsia="en-US" w:bidi="ar-SA"/>
              </w:rPr>
              <w:t>总体服务方案</w:t>
            </w:r>
          </w:p>
        </w:tc>
        <w:tc>
          <w:tcPr>
            <w:tcW w:w="5695" w:type="dxa"/>
            <w:shd w:val="clear" w:color="auto" w:fill="auto"/>
            <w:vAlign w:val="top"/>
          </w:tcPr>
          <w:p w14:paraId="3D97A3DB">
            <w:pPr>
              <w:spacing w:line="360" w:lineRule="auto"/>
              <w:rPr>
                <w:rFonts w:hint="eastAsia"/>
                <w:spacing w:val="5"/>
                <w:sz w:val="22"/>
                <w:szCs w:val="22"/>
                <w:highlight w:val="none"/>
                <w:lang w:val="en-US" w:eastAsia="zh-CN"/>
              </w:rPr>
            </w:pPr>
            <w:r>
              <w:rPr>
                <w:rFonts w:hint="eastAsia"/>
                <w:spacing w:val="5"/>
                <w:sz w:val="22"/>
                <w:szCs w:val="22"/>
                <w:highlight w:val="none"/>
                <w:lang w:val="en-US" w:eastAsia="en-US"/>
              </w:rPr>
              <w:t>配送保障方案完整、合理，配送的及时性、安全性、车辆及所需设施设备，按要求出入库</w:t>
            </w:r>
            <w:r>
              <w:rPr>
                <w:rFonts w:hint="eastAsia"/>
                <w:spacing w:val="5"/>
                <w:sz w:val="22"/>
                <w:szCs w:val="22"/>
                <w:highlight w:val="none"/>
                <w:lang w:val="en-US" w:eastAsia="zh-CN"/>
              </w:rPr>
              <w:t>；</w:t>
            </w:r>
            <w:r>
              <w:rPr>
                <w:rFonts w:hint="eastAsia"/>
                <w:spacing w:val="5"/>
                <w:sz w:val="22"/>
                <w:szCs w:val="22"/>
                <w:highlight w:val="none"/>
                <w:lang w:val="en-US" w:eastAsia="en-US"/>
              </w:rPr>
              <w:t>台帐健全、人员安排合理、职责明确、流程合理规范</w:t>
            </w:r>
            <w:r>
              <w:rPr>
                <w:rFonts w:hint="eastAsia"/>
                <w:spacing w:val="5"/>
                <w:sz w:val="22"/>
                <w:szCs w:val="22"/>
                <w:highlight w:val="none"/>
                <w:lang w:val="en-US" w:eastAsia="zh-CN"/>
              </w:rPr>
              <w:t>；</w:t>
            </w:r>
          </w:p>
          <w:p w14:paraId="12D3905A">
            <w:pPr>
              <w:spacing w:line="360" w:lineRule="auto"/>
              <w:rPr>
                <w:rFonts w:hint="eastAsia" w:eastAsiaTheme="minorEastAsia"/>
                <w:spacing w:val="5"/>
                <w:sz w:val="22"/>
                <w:szCs w:val="22"/>
                <w:highlight w:val="none"/>
                <w:lang w:val="en-US" w:eastAsia="zh-CN"/>
              </w:rPr>
            </w:pPr>
            <w:r>
              <w:rPr>
                <w:rFonts w:hint="eastAsia"/>
                <w:spacing w:val="5"/>
                <w:sz w:val="22"/>
                <w:szCs w:val="22"/>
                <w:highlight w:val="none"/>
                <w:lang w:val="en-US" w:eastAsia="en-US"/>
              </w:rPr>
              <w:t>明确食材运输有专车、严禁一车多用或与非食材混运，运输中使用的容器、工具专用，有专人负责运输工具的清洗、消毒等卫生工作</w:t>
            </w:r>
            <w:r>
              <w:rPr>
                <w:rFonts w:hint="eastAsia"/>
                <w:spacing w:val="5"/>
                <w:sz w:val="22"/>
                <w:szCs w:val="22"/>
                <w:highlight w:val="none"/>
                <w:lang w:val="en-US" w:eastAsia="zh-CN"/>
              </w:rPr>
              <w:t>；</w:t>
            </w:r>
          </w:p>
          <w:p w14:paraId="23D74886">
            <w:pPr>
              <w:numPr>
                <w:ilvl w:val="0"/>
                <w:numId w:val="6"/>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全面深刻</w:t>
            </w:r>
            <w:r>
              <w:rPr>
                <w:rFonts w:hint="eastAsia" w:ascii="宋体" w:hAnsi="宋体" w:eastAsia="宋体" w:cs="宋体"/>
                <w:kern w:val="2"/>
                <w:sz w:val="22"/>
                <w:szCs w:val="22"/>
                <w:lang w:val="en-US" w:eastAsia="en-US" w:bidi="ar-SA"/>
              </w:rPr>
              <w:t>，表述全面，总体服务方案</w:t>
            </w:r>
            <w:r>
              <w:rPr>
                <w:rFonts w:hint="eastAsia" w:ascii="宋体" w:hAnsi="宋体" w:eastAsia="宋体" w:cs="宋体"/>
                <w:kern w:val="2"/>
                <w:sz w:val="22"/>
                <w:szCs w:val="22"/>
                <w:lang w:val="en-US" w:eastAsia="zh-CN" w:bidi="ar-SA"/>
              </w:rPr>
              <w:t>优于</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8</w:t>
            </w:r>
            <w:r>
              <w:rPr>
                <w:rFonts w:hint="eastAsia" w:ascii="宋体" w:hAnsi="宋体" w:eastAsia="宋体" w:cs="宋体"/>
                <w:kern w:val="2"/>
                <w:sz w:val="22"/>
                <w:szCs w:val="22"/>
                <w:lang w:val="en-US" w:eastAsia="en-US" w:bidi="ar-SA"/>
              </w:rPr>
              <w:t>分；</w:t>
            </w:r>
          </w:p>
          <w:p w14:paraId="349661C2">
            <w:pPr>
              <w:numPr>
                <w:ilvl w:val="0"/>
                <w:numId w:val="6"/>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较全面深刻</w:t>
            </w:r>
            <w:r>
              <w:rPr>
                <w:rFonts w:hint="eastAsia" w:ascii="宋体" w:hAnsi="宋体" w:eastAsia="宋体" w:cs="宋体"/>
                <w:kern w:val="2"/>
                <w:sz w:val="22"/>
                <w:szCs w:val="22"/>
                <w:lang w:val="en-US" w:eastAsia="en-US" w:bidi="ar-SA"/>
              </w:rPr>
              <w:t>，表述</w:t>
            </w:r>
            <w:r>
              <w:rPr>
                <w:rFonts w:hint="eastAsia" w:ascii="宋体" w:hAnsi="宋体" w:eastAsia="宋体" w:cs="宋体"/>
                <w:kern w:val="2"/>
                <w:sz w:val="22"/>
                <w:szCs w:val="22"/>
                <w:lang w:val="en-US" w:eastAsia="zh-CN" w:bidi="ar-SA"/>
              </w:rPr>
              <w:t>较</w:t>
            </w:r>
            <w:r>
              <w:rPr>
                <w:rFonts w:hint="eastAsia" w:ascii="宋体" w:hAnsi="宋体" w:eastAsia="宋体" w:cs="宋体"/>
                <w:kern w:val="2"/>
                <w:sz w:val="22"/>
                <w:szCs w:val="22"/>
                <w:lang w:val="en-US" w:eastAsia="en-US" w:bidi="ar-SA"/>
              </w:rPr>
              <w:t>全面，总体服务方案</w:t>
            </w:r>
            <w:r>
              <w:rPr>
                <w:rFonts w:hint="eastAsia" w:ascii="宋体" w:hAnsi="宋体" w:eastAsia="宋体" w:cs="宋体"/>
                <w:kern w:val="2"/>
                <w:sz w:val="22"/>
                <w:szCs w:val="22"/>
                <w:lang w:val="en-US" w:eastAsia="zh-CN" w:bidi="ar-SA"/>
              </w:rPr>
              <w:t>满足</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5</w:t>
            </w:r>
            <w:r>
              <w:rPr>
                <w:rFonts w:hint="eastAsia" w:ascii="宋体" w:hAnsi="宋体" w:eastAsia="宋体" w:cs="宋体"/>
                <w:kern w:val="2"/>
                <w:sz w:val="22"/>
                <w:szCs w:val="22"/>
                <w:lang w:val="en-US" w:eastAsia="en-US" w:bidi="ar-SA"/>
              </w:rPr>
              <w:t>分</w:t>
            </w:r>
          </w:p>
          <w:p w14:paraId="518C102B">
            <w:pPr>
              <w:numPr>
                <w:ilvl w:val="0"/>
                <w:numId w:val="6"/>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对项目总体认识不全面，简单考虑了针对本项目所采取的措施；对项目实施过程中重点、难点认识不全面的得</w:t>
            </w:r>
            <w:r>
              <w:rPr>
                <w:rFonts w:hint="eastAsia" w:ascii="宋体" w:hAnsi="宋体" w:eastAsia="宋体" w:cs="宋体"/>
                <w:kern w:val="2"/>
                <w:sz w:val="22"/>
                <w:szCs w:val="22"/>
                <w:lang w:val="en-US" w:eastAsia="zh-CN" w:bidi="ar-SA"/>
              </w:rPr>
              <w:t>3</w:t>
            </w:r>
            <w:r>
              <w:rPr>
                <w:rFonts w:hint="eastAsia" w:ascii="宋体" w:hAnsi="宋体" w:eastAsia="宋体" w:cs="宋体"/>
                <w:kern w:val="2"/>
                <w:sz w:val="22"/>
                <w:szCs w:val="22"/>
                <w:lang w:val="en-US" w:eastAsia="en-US" w:bidi="ar-SA"/>
              </w:rPr>
              <w:t>分。</w:t>
            </w:r>
          </w:p>
          <w:p w14:paraId="5B5F0261">
            <w:pPr>
              <w:spacing w:line="360" w:lineRule="auto"/>
              <w:rPr>
                <w:rFonts w:ascii="宋体" w:hAnsi="宋体" w:eastAsia="宋体" w:cs="宋体"/>
                <w:sz w:val="24"/>
              </w:rPr>
            </w:pPr>
            <w:r>
              <w:rPr>
                <w:rFonts w:hint="eastAsia" w:ascii="宋体" w:hAnsi="宋体" w:eastAsia="宋体" w:cs="宋体"/>
                <w:kern w:val="2"/>
                <w:sz w:val="22"/>
                <w:szCs w:val="22"/>
                <w:lang w:val="en-US" w:eastAsia="en-US" w:bidi="ar-SA"/>
              </w:rPr>
              <w:t>4.缺项或不提供的得0分</w:t>
            </w:r>
          </w:p>
        </w:tc>
        <w:tc>
          <w:tcPr>
            <w:tcW w:w="840" w:type="dxa"/>
            <w:vAlign w:val="center"/>
          </w:tcPr>
          <w:p w14:paraId="041C6961">
            <w:pPr>
              <w:spacing w:line="360" w:lineRule="auto"/>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7BF2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258" w:type="dxa"/>
            <w:vMerge w:val="continue"/>
            <w:vAlign w:val="center"/>
          </w:tcPr>
          <w:p w14:paraId="23E881CC">
            <w:pPr>
              <w:rPr>
                <w:rFonts w:ascii="宋体" w:hAnsi="宋体" w:eastAsia="宋体" w:cs="宋体"/>
                <w:sz w:val="24"/>
              </w:rPr>
            </w:pPr>
          </w:p>
        </w:tc>
        <w:tc>
          <w:tcPr>
            <w:tcW w:w="1208" w:type="dxa"/>
            <w:shd w:val="clear" w:color="auto" w:fill="auto"/>
            <w:vAlign w:val="top"/>
          </w:tcPr>
          <w:p w14:paraId="3AE4D9CE">
            <w:pPr>
              <w:pStyle w:val="41"/>
              <w:spacing w:before="91" w:line="333" w:lineRule="auto"/>
              <w:ind w:right="107" w:rightChars="0"/>
              <w:rPr>
                <w:sz w:val="24"/>
                <w:szCs w:val="24"/>
              </w:rPr>
            </w:pPr>
            <w:r>
              <w:rPr>
                <w:rFonts w:hint="eastAsia" w:ascii="宋体" w:hAnsi="宋体" w:eastAsia="宋体" w:cs="宋体"/>
                <w:kern w:val="2"/>
                <w:sz w:val="22"/>
                <w:szCs w:val="22"/>
                <w:lang w:val="en-US" w:eastAsia="zh-CN" w:bidi="ar-SA"/>
              </w:rPr>
              <w:t>原材料管理方案</w:t>
            </w:r>
          </w:p>
        </w:tc>
        <w:tc>
          <w:tcPr>
            <w:tcW w:w="5695" w:type="dxa"/>
            <w:shd w:val="clear" w:color="auto" w:fill="auto"/>
            <w:vAlign w:val="top"/>
          </w:tcPr>
          <w:p w14:paraId="0597BA14">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根据供应商对食品原材料的采购、检测检验、储存管理、来源可追溯等方面建立切实可行的管理制度和工作流程，保证采购使用的原材料符合国家食品卫生标准的管理措施进行打分</w:t>
            </w:r>
            <w:r>
              <w:rPr>
                <w:rFonts w:hint="eastAsia" w:ascii="宋体" w:hAnsi="宋体" w:eastAsia="宋体" w:cs="宋体"/>
                <w:kern w:val="2"/>
                <w:sz w:val="22"/>
                <w:szCs w:val="22"/>
                <w:lang w:val="en-US" w:eastAsia="zh-CN" w:bidi="ar-SA"/>
              </w:rPr>
              <w:t>。</w:t>
            </w:r>
          </w:p>
          <w:p w14:paraId="2F5DB656">
            <w:pPr>
              <w:numPr>
                <w:ilvl w:val="0"/>
                <w:numId w:val="7"/>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供应商原材料管理措施合理全面，内容具体详细，优于采购文件要求的得5分；</w:t>
            </w:r>
          </w:p>
          <w:p w14:paraId="23A4C1CE">
            <w:pPr>
              <w:numPr>
                <w:ilvl w:val="0"/>
                <w:numId w:val="7"/>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供应商原材料管理措施合理可行，满足采购文件要求的得3分；</w:t>
            </w:r>
          </w:p>
          <w:p w14:paraId="2C87ACAD">
            <w:pPr>
              <w:numPr>
                <w:ilvl w:val="0"/>
                <w:numId w:val="7"/>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供应商原材料管理措施内容有瑕疵的得1分</w:t>
            </w:r>
            <w:r>
              <w:rPr>
                <w:rFonts w:hint="eastAsia" w:ascii="宋体" w:hAnsi="宋体" w:eastAsia="宋体" w:cs="宋体"/>
                <w:kern w:val="2"/>
                <w:sz w:val="22"/>
                <w:szCs w:val="22"/>
                <w:lang w:val="en-US" w:eastAsia="zh-CN" w:bidi="ar-SA"/>
              </w:rPr>
              <w:t>；</w:t>
            </w:r>
          </w:p>
          <w:p w14:paraId="1E4C8C14">
            <w:pPr>
              <w:spacing w:line="360" w:lineRule="auto"/>
              <w:rPr>
                <w:rFonts w:ascii="宋体" w:hAnsi="宋体" w:eastAsia="宋体" w:cs="宋体"/>
                <w:sz w:val="24"/>
                <w:lang w:eastAsia="en-US"/>
              </w:rPr>
            </w:pPr>
            <w:r>
              <w:rPr>
                <w:rFonts w:hint="eastAsia" w:ascii="宋体" w:hAnsi="宋体" w:eastAsia="宋体" w:cs="宋体"/>
                <w:kern w:val="2"/>
                <w:sz w:val="22"/>
                <w:szCs w:val="22"/>
                <w:lang w:val="en-US" w:eastAsia="en-US" w:bidi="ar-SA"/>
              </w:rPr>
              <w:t>4.缺项或不提供的得0分。</w:t>
            </w:r>
          </w:p>
        </w:tc>
        <w:tc>
          <w:tcPr>
            <w:tcW w:w="840" w:type="dxa"/>
            <w:vAlign w:val="center"/>
          </w:tcPr>
          <w:p w14:paraId="518EC0B0">
            <w:pPr>
              <w:spacing w:line="360" w:lineRule="auto"/>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6AB7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258" w:type="dxa"/>
            <w:vMerge w:val="continue"/>
            <w:vAlign w:val="center"/>
          </w:tcPr>
          <w:p w14:paraId="1AE05B80">
            <w:pPr>
              <w:rPr>
                <w:rFonts w:ascii="宋体" w:hAnsi="宋体" w:eastAsia="宋体" w:cs="宋体"/>
                <w:sz w:val="24"/>
              </w:rPr>
            </w:pPr>
          </w:p>
        </w:tc>
        <w:tc>
          <w:tcPr>
            <w:tcW w:w="1208" w:type="dxa"/>
            <w:shd w:val="clear" w:color="auto" w:fill="auto"/>
            <w:vAlign w:val="top"/>
          </w:tcPr>
          <w:p w14:paraId="5EF96386">
            <w:pPr>
              <w:pStyle w:val="41"/>
              <w:spacing w:before="91" w:line="332" w:lineRule="auto"/>
              <w:ind w:left="114" w:leftChars="0" w:right="107" w:rightChars="0" w:hanging="2" w:firstLineChars="0"/>
              <w:rPr>
                <w:sz w:val="24"/>
                <w:szCs w:val="24"/>
              </w:rPr>
            </w:pPr>
            <w:r>
              <w:rPr>
                <w:rFonts w:hint="eastAsia" w:ascii="宋体" w:hAnsi="宋体"/>
                <w:bCs/>
                <w:sz w:val="22"/>
                <w:szCs w:val="22"/>
              </w:rPr>
              <w:t>供货货源措施</w:t>
            </w:r>
          </w:p>
        </w:tc>
        <w:tc>
          <w:tcPr>
            <w:tcW w:w="5695" w:type="dxa"/>
            <w:shd w:val="clear" w:color="auto" w:fill="auto"/>
            <w:vAlign w:val="top"/>
          </w:tcPr>
          <w:p w14:paraId="0115D00A">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供应商针对本项目的供货货源地及渠道，能切实保障供应渠道的畅通且具有充足储备，积极做好调配，确保</w:t>
            </w:r>
            <w:r>
              <w:rPr>
                <w:rFonts w:hint="eastAsia" w:ascii="宋体" w:hAnsi="宋体" w:eastAsia="宋体" w:cs="宋体"/>
                <w:kern w:val="2"/>
                <w:sz w:val="22"/>
                <w:szCs w:val="22"/>
                <w:lang w:val="en-US" w:eastAsia="zh-CN" w:bidi="ar-SA"/>
              </w:rPr>
              <w:t>所需货物</w:t>
            </w:r>
            <w:r>
              <w:rPr>
                <w:rFonts w:hint="eastAsia" w:ascii="宋体" w:hAnsi="宋体" w:eastAsia="宋体" w:cs="宋体"/>
                <w:kern w:val="2"/>
                <w:sz w:val="22"/>
                <w:szCs w:val="22"/>
                <w:lang w:val="en-US" w:eastAsia="en-US" w:bidi="ar-SA"/>
              </w:rPr>
              <w:t>储备充足且质量符合国家有关标准的措施。</w:t>
            </w:r>
          </w:p>
          <w:p w14:paraId="617745DA">
            <w:pPr>
              <w:numPr>
                <w:ilvl w:val="0"/>
                <w:numId w:val="8"/>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供货方案完整且合理的得6分；</w:t>
            </w:r>
          </w:p>
          <w:p w14:paraId="7C7F456B">
            <w:pPr>
              <w:numPr>
                <w:ilvl w:val="0"/>
                <w:numId w:val="8"/>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供货方案较完整且较合理的得3分；</w:t>
            </w:r>
          </w:p>
          <w:p w14:paraId="6B048661">
            <w:pPr>
              <w:numPr>
                <w:ilvl w:val="0"/>
                <w:numId w:val="8"/>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供货方案不完整且不太合理的得1分；</w:t>
            </w:r>
          </w:p>
          <w:p w14:paraId="4CE2EF86">
            <w:pPr>
              <w:spacing w:line="360" w:lineRule="auto"/>
              <w:rPr>
                <w:rFonts w:ascii="宋体" w:hAnsi="宋体" w:eastAsia="宋体" w:cs="宋体"/>
                <w:sz w:val="24"/>
              </w:rPr>
            </w:pPr>
            <w:r>
              <w:rPr>
                <w:rFonts w:hint="eastAsia" w:ascii="宋体" w:hAnsi="宋体" w:eastAsia="宋体" w:cs="宋体"/>
                <w:kern w:val="2"/>
                <w:sz w:val="22"/>
                <w:szCs w:val="22"/>
                <w:lang w:val="en-US" w:eastAsia="en-US" w:bidi="ar-SA"/>
              </w:rPr>
              <w:t>缺项或不提供的得0分。</w:t>
            </w:r>
          </w:p>
        </w:tc>
        <w:tc>
          <w:tcPr>
            <w:tcW w:w="840" w:type="dxa"/>
            <w:vAlign w:val="center"/>
          </w:tcPr>
          <w:p w14:paraId="1DCCF6D2">
            <w:pPr>
              <w:spacing w:line="360" w:lineRule="auto"/>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0B52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58" w:type="dxa"/>
            <w:vMerge w:val="continue"/>
            <w:vAlign w:val="center"/>
          </w:tcPr>
          <w:p w14:paraId="50112CD4">
            <w:pPr>
              <w:rPr>
                <w:rFonts w:ascii="宋体" w:hAnsi="宋体" w:eastAsia="宋体" w:cs="宋体"/>
                <w:sz w:val="24"/>
              </w:rPr>
            </w:pPr>
          </w:p>
        </w:tc>
        <w:tc>
          <w:tcPr>
            <w:tcW w:w="1208" w:type="dxa"/>
            <w:shd w:val="clear" w:color="auto" w:fill="auto"/>
            <w:vAlign w:val="top"/>
          </w:tcPr>
          <w:p w14:paraId="15BFBDC6">
            <w:pPr>
              <w:pStyle w:val="41"/>
              <w:spacing w:before="91" w:line="219" w:lineRule="auto"/>
              <w:rPr>
                <w:sz w:val="24"/>
                <w:szCs w:val="24"/>
              </w:rPr>
            </w:pPr>
            <w:r>
              <w:rPr>
                <w:rFonts w:hint="eastAsia" w:ascii="宋体" w:hAnsi="宋体" w:eastAsia="宋体" w:cs="宋体"/>
                <w:kern w:val="2"/>
                <w:sz w:val="22"/>
                <w:szCs w:val="22"/>
                <w:lang w:val="en-US" w:eastAsia="en-US" w:bidi="ar-SA"/>
              </w:rPr>
              <w:t>食品安全管理水平</w:t>
            </w:r>
          </w:p>
        </w:tc>
        <w:tc>
          <w:tcPr>
            <w:tcW w:w="5695" w:type="dxa"/>
            <w:shd w:val="clear" w:color="auto" w:fill="auto"/>
            <w:vAlign w:val="top"/>
          </w:tcPr>
          <w:p w14:paraId="4D6F86A0">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针对本项目提供合理的食品质量保障及控制措施方案，明确阐述针对本项目的食品质量保障技术服务工作方法和项目管理制度，方法中明确成立专门项目组、抽样实施管理细则、检验实施细则、结果专报机制、客户回访、档案管理机制及应急处置机制进行打分：</w:t>
            </w:r>
          </w:p>
          <w:p w14:paraId="7D3CD1A7">
            <w:pPr>
              <w:numPr>
                <w:ilvl w:val="0"/>
                <w:numId w:val="9"/>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w:t>
            </w:r>
            <w:r>
              <w:rPr>
                <w:rFonts w:hint="eastAsia" w:ascii="宋体" w:hAnsi="宋体" w:eastAsia="宋体" w:cs="宋体"/>
                <w:kern w:val="2"/>
                <w:sz w:val="22"/>
                <w:szCs w:val="22"/>
                <w:lang w:val="en-US" w:eastAsia="zh-CN" w:bidi="ar-SA"/>
              </w:rPr>
              <w:t>6</w:t>
            </w:r>
            <w:r>
              <w:rPr>
                <w:rFonts w:hint="eastAsia" w:ascii="宋体" w:hAnsi="宋体" w:eastAsia="宋体" w:cs="宋体"/>
                <w:kern w:val="2"/>
                <w:sz w:val="22"/>
                <w:szCs w:val="22"/>
                <w:lang w:val="en-US" w:eastAsia="en-US" w:bidi="ar-SA"/>
              </w:rPr>
              <w:t>分；</w:t>
            </w:r>
          </w:p>
          <w:p w14:paraId="4E64A655">
            <w:pPr>
              <w:numPr>
                <w:ilvl w:val="0"/>
                <w:numId w:val="0"/>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2.质量保障及控制措施方案合理可行，满足采购需求的得3分；</w:t>
            </w:r>
          </w:p>
          <w:p w14:paraId="7CDA81EB">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3.质量保障及控制措施方案不详细的得</w:t>
            </w:r>
            <w:r>
              <w:rPr>
                <w:rFonts w:hint="eastAsia" w:ascii="宋体" w:hAnsi="宋体" w:eastAsia="宋体" w:cs="宋体"/>
                <w:kern w:val="2"/>
                <w:sz w:val="22"/>
                <w:szCs w:val="22"/>
                <w:lang w:val="en-US" w:eastAsia="zh-CN" w:bidi="ar-SA"/>
              </w:rPr>
              <w:t>1分；</w:t>
            </w:r>
          </w:p>
          <w:p w14:paraId="6CFE8C51">
            <w:pPr>
              <w:spacing w:line="360" w:lineRule="auto"/>
              <w:rPr>
                <w:rFonts w:ascii="宋体" w:hAnsi="宋体" w:eastAsia="宋体" w:cs="宋体"/>
                <w:sz w:val="24"/>
              </w:rPr>
            </w:pPr>
            <w:r>
              <w:rPr>
                <w:rFonts w:hint="eastAsia" w:ascii="宋体" w:hAnsi="宋体" w:eastAsia="宋体" w:cs="宋体"/>
                <w:kern w:val="2"/>
                <w:sz w:val="22"/>
                <w:szCs w:val="22"/>
                <w:lang w:val="en-US" w:eastAsia="zh-CN" w:bidi="ar-SA"/>
              </w:rPr>
              <w:t>4.</w:t>
            </w: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840" w:type="dxa"/>
            <w:vAlign w:val="center"/>
          </w:tcPr>
          <w:p w14:paraId="4431E066">
            <w:pPr>
              <w:spacing w:line="360" w:lineRule="auto"/>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4D5A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58" w:type="dxa"/>
            <w:vMerge w:val="continue"/>
            <w:vAlign w:val="center"/>
          </w:tcPr>
          <w:p w14:paraId="293F1A06">
            <w:pPr>
              <w:rPr>
                <w:rFonts w:ascii="宋体" w:hAnsi="宋体" w:eastAsia="宋体" w:cs="宋体"/>
                <w:sz w:val="24"/>
              </w:rPr>
            </w:pPr>
          </w:p>
        </w:tc>
        <w:tc>
          <w:tcPr>
            <w:tcW w:w="1208" w:type="dxa"/>
            <w:shd w:val="clear" w:color="auto" w:fill="auto"/>
            <w:vAlign w:val="top"/>
          </w:tcPr>
          <w:p w14:paraId="45BC08F1">
            <w:pPr>
              <w:pStyle w:val="41"/>
              <w:spacing w:before="91" w:line="333" w:lineRule="auto"/>
              <w:ind w:left="116" w:leftChars="0" w:right="107" w:rightChars="0"/>
              <w:rPr>
                <w:sz w:val="24"/>
                <w:szCs w:val="24"/>
              </w:rPr>
            </w:pPr>
            <w:r>
              <w:rPr>
                <w:rFonts w:hint="eastAsia" w:ascii="宋体" w:hAnsi="宋体" w:cs="宋体"/>
                <w:kern w:val="0"/>
                <w:sz w:val="22"/>
                <w:szCs w:val="22"/>
              </w:rPr>
              <w:t>质量保证措施</w:t>
            </w:r>
          </w:p>
        </w:tc>
        <w:tc>
          <w:tcPr>
            <w:tcW w:w="5695" w:type="dxa"/>
            <w:shd w:val="clear" w:color="auto" w:fill="auto"/>
            <w:vAlign w:val="top"/>
          </w:tcPr>
          <w:p w14:paraId="5B44EAC7">
            <w:pPr>
              <w:spacing w:line="360" w:lineRule="auto"/>
              <w:rPr>
                <w:rFonts w:hint="eastAsia" w:ascii="宋体" w:hAnsi="宋体" w:eastAsia="宋体" w:cs="宋体"/>
                <w:color w:val="auto"/>
                <w:sz w:val="22"/>
                <w:szCs w:val="22"/>
                <w:u w:val="none"/>
                <w:lang w:val="en-US" w:eastAsia="en-US" w:bidi="ar-SA"/>
              </w:rPr>
            </w:pPr>
            <w:r>
              <w:rPr>
                <w:rFonts w:hint="eastAsia" w:ascii="宋体" w:hAnsi="宋体" w:eastAsia="宋体" w:cs="宋体"/>
                <w:color w:val="auto"/>
                <w:sz w:val="22"/>
                <w:szCs w:val="22"/>
                <w:u w:val="none"/>
                <w:lang w:val="en-US" w:eastAsia="en-US" w:bidi="ar-SA"/>
              </w:rPr>
              <w:t>能够提出针对本项目的产品特点，提出详细的质量保证措施及保证食品安全措施，依据措施的合理性、可行性酌情打分。</w:t>
            </w:r>
          </w:p>
          <w:p w14:paraId="2069258D">
            <w:pPr>
              <w:numPr>
                <w:ilvl w:val="0"/>
                <w:numId w:val="10"/>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质量保障及控制措施方案合理全面，内容具体详细，优于采购需求的得5分；</w:t>
            </w:r>
          </w:p>
          <w:p w14:paraId="4912C162">
            <w:pPr>
              <w:numPr>
                <w:ilvl w:val="0"/>
                <w:numId w:val="10"/>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质量保障及控制措施方案合理可行，满足采购需求的得3分；</w:t>
            </w:r>
          </w:p>
          <w:p w14:paraId="649582FF">
            <w:pPr>
              <w:numPr>
                <w:ilvl w:val="0"/>
                <w:numId w:val="10"/>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质量保障及控制措施方案不详细的得1分；</w:t>
            </w:r>
          </w:p>
          <w:p w14:paraId="7541ECC1">
            <w:pPr>
              <w:spacing w:line="360" w:lineRule="auto"/>
              <w:rPr>
                <w:rFonts w:ascii="宋体" w:hAnsi="宋体" w:eastAsia="宋体" w:cs="宋体"/>
                <w:sz w:val="24"/>
                <w:lang w:eastAsia="en-US"/>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840" w:type="dxa"/>
            <w:vAlign w:val="center"/>
          </w:tcPr>
          <w:p w14:paraId="431094BE">
            <w:pPr>
              <w:spacing w:line="360" w:lineRule="auto"/>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0407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58" w:type="dxa"/>
            <w:vMerge w:val="continue"/>
            <w:vAlign w:val="center"/>
          </w:tcPr>
          <w:p w14:paraId="0177D8CD">
            <w:pPr>
              <w:rPr>
                <w:rFonts w:ascii="宋体" w:hAnsi="宋体" w:eastAsia="宋体" w:cs="宋体"/>
                <w:sz w:val="24"/>
              </w:rPr>
            </w:pPr>
          </w:p>
        </w:tc>
        <w:tc>
          <w:tcPr>
            <w:tcW w:w="1208" w:type="dxa"/>
            <w:shd w:val="clear" w:color="auto" w:fill="auto"/>
            <w:vAlign w:val="center"/>
          </w:tcPr>
          <w:p w14:paraId="3D14BC24">
            <w:pPr>
              <w:spacing w:line="360" w:lineRule="auto"/>
              <w:rPr>
                <w:rFonts w:hint="eastAsia" w:ascii="宋体" w:hAnsi="宋体" w:eastAsia="宋体" w:cs="宋体"/>
                <w:color w:val="auto"/>
                <w:kern w:val="2"/>
                <w:sz w:val="22"/>
                <w:szCs w:val="22"/>
                <w:u w:val="none"/>
                <w:lang w:val="en-US" w:eastAsia="zh-CN" w:bidi="ar-SA"/>
              </w:rPr>
            </w:pPr>
            <w:r>
              <w:rPr>
                <w:rFonts w:hint="eastAsia" w:ascii="宋体" w:hAnsi="宋体" w:cs="宋体"/>
                <w:kern w:val="0"/>
                <w:sz w:val="22"/>
                <w:szCs w:val="22"/>
              </w:rPr>
              <w:t>应急预案</w:t>
            </w:r>
          </w:p>
        </w:tc>
        <w:tc>
          <w:tcPr>
            <w:tcW w:w="5695" w:type="dxa"/>
            <w:shd w:val="clear" w:color="auto" w:fill="auto"/>
            <w:vAlign w:val="top"/>
          </w:tcPr>
          <w:p w14:paraId="6CDC5FA0">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应急保障及措施包括但不限于供应商具有建立健全的安全保障及应急制度、食品安全突发事件应急预案、配送过程中副食品已被污染或可能造成严重后果的物品的处理、紧急预案完善，处理措施切实可行、能够妥善规避食品风险，食品安全事故应急预案、制定和完善安全生产管理制度和安全应急预案，面对突发情况应急供货方案，包括应急配送、极端天气</w:t>
            </w:r>
            <w:r>
              <w:rPr>
                <w:rFonts w:hint="eastAsia" w:ascii="宋体" w:hAnsi="宋体" w:eastAsia="宋体" w:cs="宋体"/>
                <w:color w:val="auto"/>
                <w:sz w:val="22"/>
                <w:szCs w:val="22"/>
                <w:u w:val="none"/>
                <w:lang w:eastAsia="zh-CN" w:bidi="ar-SA"/>
              </w:rPr>
              <w:t>。</w:t>
            </w:r>
          </w:p>
          <w:p w14:paraId="6CA3F40A">
            <w:pPr>
              <w:numPr>
                <w:ilvl w:val="0"/>
                <w:numId w:val="11"/>
              </w:numPr>
              <w:spacing w:line="360" w:lineRule="auto"/>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内容完整、符合且优于采购文件要求的得5分；</w:t>
            </w:r>
          </w:p>
          <w:p w14:paraId="489D8593">
            <w:pPr>
              <w:numPr>
                <w:ilvl w:val="0"/>
                <w:numId w:val="11"/>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内容完整、符合采购文件要求的得3分；</w:t>
            </w:r>
          </w:p>
          <w:p w14:paraId="64CE110B">
            <w:pPr>
              <w:numPr>
                <w:ilvl w:val="0"/>
                <w:numId w:val="11"/>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内容描述不完整的得1分</w:t>
            </w:r>
          </w:p>
          <w:p w14:paraId="7C3C339B">
            <w:pPr>
              <w:spacing w:line="360" w:lineRule="auto"/>
              <w:rPr>
                <w:rFonts w:hint="eastAsia" w:ascii="宋体" w:hAnsi="宋体" w:eastAsia="宋体" w:cs="宋体"/>
                <w:color w:val="auto"/>
                <w:kern w:val="2"/>
                <w:sz w:val="22"/>
                <w:szCs w:val="22"/>
                <w:u w:val="none"/>
                <w:lang w:val="en-US" w:eastAsia="zh-CN"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840" w:type="dxa"/>
            <w:shd w:val="clear" w:color="auto" w:fill="auto"/>
            <w:vAlign w:val="center"/>
          </w:tcPr>
          <w:p w14:paraId="3595788C">
            <w:pPr>
              <w:spacing w:line="360" w:lineRule="auto"/>
              <w:jc w:val="center"/>
              <w:rPr>
                <w:rFonts w:hint="eastAsia" w:ascii="宋体" w:hAnsi="宋体" w:eastAsia="宋体" w:cs="宋体"/>
                <w:color w:val="auto"/>
                <w:kern w:val="2"/>
                <w:sz w:val="22"/>
                <w:szCs w:val="22"/>
                <w:u w:val="none"/>
                <w:lang w:val="en-US" w:eastAsia="zh-CN"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1455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vMerge w:val="restart"/>
            <w:vAlign w:val="center"/>
          </w:tcPr>
          <w:p w14:paraId="4D274C2C">
            <w:pPr>
              <w:snapToGrid w:val="0"/>
              <w:spacing w:line="440" w:lineRule="exact"/>
              <w:jc w:val="center"/>
              <w:rPr>
                <w:rFonts w:ascii="宋体" w:hAnsi="宋体" w:eastAsia="宋体" w:cs="宋体"/>
                <w:b/>
                <w:bCs/>
                <w:sz w:val="24"/>
              </w:rPr>
            </w:pPr>
            <w:r>
              <w:rPr>
                <w:rFonts w:hint="eastAsia" w:ascii="宋体" w:hAnsi="宋体" w:eastAsia="宋体" w:cs="宋体"/>
                <w:b/>
                <w:bCs/>
                <w:color w:val="auto"/>
                <w:kern w:val="0"/>
                <w:sz w:val="22"/>
                <w:szCs w:val="22"/>
                <w:u w:val="none"/>
                <w:lang w:bidi="ar-SA"/>
              </w:rPr>
              <w:t>商务部分（</w:t>
            </w:r>
            <w:r>
              <w:rPr>
                <w:rFonts w:hint="eastAsia" w:ascii="宋体" w:hAnsi="宋体" w:eastAsia="宋体" w:cs="宋体"/>
                <w:b/>
                <w:bCs/>
                <w:color w:val="auto"/>
                <w:kern w:val="0"/>
                <w:sz w:val="22"/>
                <w:szCs w:val="22"/>
                <w:u w:val="none"/>
                <w:lang w:val="en-US" w:eastAsia="zh-CN" w:bidi="ar-SA"/>
              </w:rPr>
              <w:t>35</w:t>
            </w:r>
            <w:r>
              <w:rPr>
                <w:rFonts w:hint="eastAsia" w:ascii="宋体" w:hAnsi="宋体" w:eastAsia="宋体" w:cs="宋体"/>
                <w:b/>
                <w:bCs/>
                <w:color w:val="auto"/>
                <w:kern w:val="0"/>
                <w:sz w:val="22"/>
                <w:szCs w:val="22"/>
                <w:u w:val="none"/>
                <w:lang w:bidi="ar-SA"/>
              </w:rPr>
              <w:t>分）</w:t>
            </w:r>
          </w:p>
        </w:tc>
        <w:tc>
          <w:tcPr>
            <w:tcW w:w="1208" w:type="dxa"/>
            <w:vAlign w:val="center"/>
          </w:tcPr>
          <w:p w14:paraId="6F7F53F1">
            <w:pPr>
              <w:widowControl/>
              <w:shd w:val="clear" w:color="auto" w:fill="FFFFFF"/>
              <w:spacing w:line="360" w:lineRule="auto"/>
              <w:jc w:val="center"/>
              <w:rPr>
                <w:rFonts w:ascii="宋体" w:hAnsi="宋体" w:eastAsia="宋体" w:cs="宋体"/>
                <w:sz w:val="24"/>
              </w:rPr>
            </w:pPr>
            <w:r>
              <w:rPr>
                <w:rFonts w:hint="eastAsia" w:ascii="宋体" w:hAnsi="宋体" w:eastAsia="宋体" w:cs="宋体"/>
                <w:bCs/>
                <w:color w:val="auto"/>
                <w:kern w:val="0"/>
                <w:sz w:val="22"/>
                <w:szCs w:val="22"/>
                <w:u w:val="none"/>
                <w:lang w:bidi="ar-SA"/>
              </w:rPr>
              <w:t>企业业绩</w:t>
            </w:r>
          </w:p>
        </w:tc>
        <w:tc>
          <w:tcPr>
            <w:tcW w:w="5695" w:type="dxa"/>
            <w:vAlign w:val="top"/>
          </w:tcPr>
          <w:p w14:paraId="227F6EF5">
            <w:pPr>
              <w:spacing w:line="360" w:lineRule="auto"/>
              <w:rPr>
                <w:rFonts w:hint="eastAsia" w:ascii="宋体" w:hAnsi="宋体" w:eastAsia="宋体" w:cs="宋体"/>
                <w:color w:val="auto"/>
                <w:kern w:val="0"/>
                <w:sz w:val="22"/>
                <w:szCs w:val="22"/>
                <w:u w:val="none"/>
                <w:lang w:bidi="ar-SA"/>
              </w:rPr>
            </w:pPr>
            <w:r>
              <w:rPr>
                <w:rFonts w:hint="eastAsia" w:ascii="宋体" w:hAnsi="宋体" w:eastAsia="宋体" w:cs="宋体"/>
                <w:color w:val="auto"/>
                <w:kern w:val="0"/>
                <w:sz w:val="22"/>
                <w:szCs w:val="22"/>
                <w:u w:val="none"/>
                <w:lang w:bidi="ar-SA"/>
              </w:rPr>
              <w:t>自202</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年1月1日至今完成的</w:t>
            </w:r>
            <w:r>
              <w:rPr>
                <w:rFonts w:hint="eastAsia" w:ascii="宋体" w:hAnsi="宋体" w:eastAsia="宋体" w:cs="宋体"/>
                <w:color w:val="auto"/>
                <w:kern w:val="0"/>
                <w:sz w:val="22"/>
                <w:szCs w:val="22"/>
                <w:u w:val="none"/>
                <w:lang w:eastAsia="zh-CN" w:bidi="ar-SA"/>
              </w:rPr>
              <w:t>类似项目</w:t>
            </w:r>
            <w:r>
              <w:rPr>
                <w:rFonts w:hint="eastAsia" w:ascii="宋体" w:hAnsi="宋体" w:eastAsia="宋体" w:cs="宋体"/>
                <w:color w:val="auto"/>
                <w:kern w:val="0"/>
                <w:sz w:val="22"/>
                <w:szCs w:val="22"/>
                <w:u w:val="none"/>
                <w:lang w:val="en-US" w:eastAsia="zh-CN" w:bidi="ar-SA"/>
              </w:rPr>
              <w:t>业绩，</w:t>
            </w:r>
            <w:r>
              <w:rPr>
                <w:rFonts w:hint="eastAsia" w:ascii="宋体" w:hAnsi="宋体" w:eastAsia="宋体" w:cs="宋体"/>
                <w:color w:val="auto"/>
                <w:kern w:val="0"/>
                <w:sz w:val="22"/>
                <w:szCs w:val="22"/>
                <w:u w:val="none"/>
                <w:lang w:bidi="ar-SA"/>
              </w:rPr>
              <w:t>每提供一份得</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分，最多得</w:t>
            </w:r>
            <w:r>
              <w:rPr>
                <w:rFonts w:hint="eastAsia" w:ascii="宋体" w:hAnsi="宋体" w:eastAsia="宋体" w:cs="宋体"/>
                <w:color w:val="auto"/>
                <w:kern w:val="0"/>
                <w:sz w:val="22"/>
                <w:szCs w:val="22"/>
                <w:u w:val="none"/>
                <w:lang w:val="en-US" w:eastAsia="zh-CN" w:bidi="ar-SA"/>
              </w:rPr>
              <w:t>6</w:t>
            </w:r>
            <w:r>
              <w:rPr>
                <w:rFonts w:hint="eastAsia" w:ascii="宋体" w:hAnsi="宋体" w:eastAsia="宋体" w:cs="宋体"/>
                <w:color w:val="auto"/>
                <w:kern w:val="0"/>
                <w:sz w:val="22"/>
                <w:szCs w:val="22"/>
                <w:u w:val="none"/>
                <w:lang w:bidi="ar-SA"/>
              </w:rPr>
              <w:t>分。</w:t>
            </w:r>
          </w:p>
          <w:p w14:paraId="6C0DE489">
            <w:pPr>
              <w:spacing w:line="360" w:lineRule="auto"/>
              <w:rPr>
                <w:rFonts w:ascii="宋体" w:hAnsi="宋体" w:eastAsia="宋体" w:cs="宋体"/>
                <w:sz w:val="24"/>
              </w:rPr>
            </w:pPr>
            <w:r>
              <w:rPr>
                <w:rFonts w:hint="eastAsia" w:ascii="宋体" w:hAnsi="宋体" w:eastAsia="宋体" w:cs="宋体"/>
                <w:color w:val="auto"/>
                <w:kern w:val="0"/>
                <w:sz w:val="22"/>
                <w:szCs w:val="22"/>
                <w:u w:val="none"/>
                <w:lang w:bidi="ar-SA"/>
              </w:rPr>
              <w:t>注：</w:t>
            </w:r>
            <w:r>
              <w:rPr>
                <w:rFonts w:hint="eastAsia" w:ascii="宋体" w:hAnsi="宋体" w:eastAsia="宋体" w:cs="宋体"/>
                <w:color w:val="auto"/>
                <w:kern w:val="0"/>
                <w:sz w:val="22"/>
                <w:szCs w:val="22"/>
                <w:u w:val="none"/>
                <w:lang w:val="en-US" w:eastAsia="zh-CN" w:bidi="ar-SA"/>
              </w:rPr>
              <w:t>响应</w:t>
            </w:r>
            <w:r>
              <w:rPr>
                <w:rFonts w:hint="eastAsia" w:ascii="宋体" w:hAnsi="宋体" w:eastAsia="宋体" w:cs="宋体"/>
                <w:color w:val="auto"/>
                <w:kern w:val="0"/>
                <w:sz w:val="22"/>
                <w:szCs w:val="22"/>
                <w:u w:val="none"/>
                <w:lang w:eastAsia="zh-CN" w:bidi="ar-SA"/>
              </w:rPr>
              <w:t>文件</w:t>
            </w:r>
            <w:r>
              <w:rPr>
                <w:rFonts w:hint="eastAsia" w:ascii="宋体" w:hAnsi="宋体" w:eastAsia="宋体" w:cs="宋体"/>
                <w:color w:val="auto"/>
                <w:kern w:val="0"/>
                <w:sz w:val="22"/>
                <w:szCs w:val="22"/>
                <w:u w:val="none"/>
                <w:lang w:bidi="ar-SA"/>
              </w:rPr>
              <w:t>中须提供合同</w:t>
            </w:r>
            <w:r>
              <w:rPr>
                <w:rFonts w:hint="eastAsia" w:ascii="宋体" w:hAnsi="宋体" w:eastAsia="宋体" w:cs="宋体"/>
                <w:color w:val="auto"/>
                <w:kern w:val="0"/>
                <w:sz w:val="22"/>
                <w:szCs w:val="22"/>
                <w:u w:val="none"/>
                <w:lang w:val="en-US" w:eastAsia="zh-CN" w:bidi="ar-SA"/>
              </w:rPr>
              <w:t>复印件或</w:t>
            </w:r>
            <w:r>
              <w:rPr>
                <w:rFonts w:hint="eastAsia" w:ascii="宋体" w:hAnsi="宋体" w:eastAsia="宋体" w:cs="宋体"/>
                <w:color w:val="auto"/>
                <w:kern w:val="0"/>
                <w:sz w:val="22"/>
                <w:szCs w:val="22"/>
                <w:u w:val="none"/>
                <w:lang w:bidi="ar-SA"/>
              </w:rPr>
              <w:t>扫描件</w:t>
            </w:r>
          </w:p>
        </w:tc>
        <w:tc>
          <w:tcPr>
            <w:tcW w:w="840" w:type="dxa"/>
            <w:vAlign w:val="center"/>
          </w:tcPr>
          <w:p w14:paraId="525B7ED5">
            <w:pPr>
              <w:snapToGrid w:val="0"/>
              <w:spacing w:line="440" w:lineRule="exact"/>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6FC8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8" w:type="dxa"/>
            <w:vMerge w:val="continue"/>
            <w:vAlign w:val="center"/>
          </w:tcPr>
          <w:p w14:paraId="782FE72B">
            <w:pPr>
              <w:rPr>
                <w:rFonts w:ascii="宋体" w:hAnsi="宋体" w:eastAsia="宋体" w:cs="宋体"/>
                <w:sz w:val="24"/>
              </w:rPr>
            </w:pPr>
          </w:p>
        </w:tc>
        <w:tc>
          <w:tcPr>
            <w:tcW w:w="1208" w:type="dxa"/>
            <w:vAlign w:val="center"/>
          </w:tcPr>
          <w:p w14:paraId="75A3ABA6">
            <w:pPr>
              <w:spacing w:before="57" w:line="360" w:lineRule="auto"/>
              <w:jc w:val="center"/>
              <w:rPr>
                <w:rFonts w:ascii="宋体" w:hAnsi="宋体" w:eastAsia="宋体" w:cs="宋体"/>
                <w:sz w:val="24"/>
              </w:rPr>
            </w:pPr>
            <w:r>
              <w:rPr>
                <w:rFonts w:hint="eastAsia" w:ascii="宋体" w:hAnsi="宋体" w:cs="宋体"/>
                <w:kern w:val="0"/>
                <w:sz w:val="22"/>
                <w:szCs w:val="22"/>
              </w:rPr>
              <w:t>营业场所</w:t>
            </w:r>
          </w:p>
        </w:tc>
        <w:tc>
          <w:tcPr>
            <w:tcW w:w="5695" w:type="dxa"/>
            <w:vAlign w:val="center"/>
          </w:tcPr>
          <w:p w14:paraId="69CB5AE8">
            <w:pPr>
              <w:numPr>
                <w:ilvl w:val="0"/>
                <w:numId w:val="12"/>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供应商有固定的</w:t>
            </w:r>
            <w:r>
              <w:rPr>
                <w:rFonts w:hint="eastAsia" w:ascii="宋体" w:hAnsi="宋体" w:cs="宋体"/>
                <w:kern w:val="0"/>
                <w:sz w:val="22"/>
                <w:szCs w:val="22"/>
                <w:lang w:val="en-US" w:eastAsia="zh-CN"/>
              </w:rPr>
              <w:t>仓储或</w:t>
            </w:r>
            <w:r>
              <w:rPr>
                <w:rFonts w:hint="eastAsia" w:ascii="宋体" w:hAnsi="宋体" w:cs="宋体"/>
                <w:kern w:val="0"/>
                <w:sz w:val="22"/>
                <w:szCs w:val="22"/>
              </w:rPr>
              <w:t>配送场所，如营业门面或超市</w:t>
            </w:r>
            <w:r>
              <w:rPr>
                <w:rFonts w:hint="eastAsia" w:ascii="宋体" w:hAnsi="宋体" w:cs="宋体"/>
                <w:kern w:val="0"/>
                <w:sz w:val="22"/>
                <w:szCs w:val="22"/>
                <w:lang w:val="en-US" w:eastAsia="zh-CN"/>
              </w:rPr>
              <w:t>的，得3分，未提供不得分；</w:t>
            </w:r>
          </w:p>
          <w:p w14:paraId="4EFA3C2B">
            <w:pPr>
              <w:numPr>
                <w:ilvl w:val="0"/>
                <w:numId w:val="12"/>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供应商具有冷冻冷藏仓库</w:t>
            </w:r>
            <w:r>
              <w:rPr>
                <w:rFonts w:hint="eastAsia" w:ascii="宋体" w:hAnsi="宋体" w:cs="宋体"/>
                <w:kern w:val="0"/>
                <w:sz w:val="22"/>
                <w:szCs w:val="22"/>
                <w:lang w:val="en-US" w:eastAsia="zh-CN"/>
              </w:rPr>
              <w:t>的，得3分，未提供不得分；</w:t>
            </w:r>
          </w:p>
          <w:p w14:paraId="125275B1">
            <w:pPr>
              <w:spacing w:before="57" w:line="360" w:lineRule="auto"/>
              <w:jc w:val="left"/>
              <w:rPr>
                <w:rFonts w:ascii="宋体" w:hAnsi="宋体" w:cs="宋体"/>
                <w:kern w:val="0"/>
                <w:sz w:val="24"/>
              </w:rPr>
            </w:pPr>
            <w:r>
              <w:rPr>
                <w:rFonts w:hint="eastAsia" w:ascii="宋体" w:hAnsi="宋体" w:cs="宋体"/>
                <w:kern w:val="0"/>
                <w:sz w:val="22"/>
                <w:szCs w:val="22"/>
              </w:rPr>
              <w:t>注：</w:t>
            </w:r>
            <w:r>
              <w:rPr>
                <w:rFonts w:hint="eastAsia" w:ascii="宋体" w:hAnsi="宋体" w:cs="宋体"/>
                <w:kern w:val="0"/>
                <w:sz w:val="22"/>
                <w:szCs w:val="22"/>
                <w:lang w:val="en-US" w:eastAsia="zh-CN"/>
              </w:rPr>
              <w:t>响应</w:t>
            </w:r>
            <w:r>
              <w:rPr>
                <w:rFonts w:hint="eastAsia" w:ascii="宋体" w:hAnsi="宋体" w:cs="宋体"/>
                <w:kern w:val="0"/>
                <w:sz w:val="22"/>
                <w:szCs w:val="22"/>
              </w:rPr>
              <w:t>文件</w:t>
            </w:r>
            <w:r>
              <w:rPr>
                <w:rFonts w:ascii="宋体" w:hAnsi="宋体" w:cs="宋体"/>
                <w:kern w:val="0"/>
                <w:sz w:val="22"/>
                <w:szCs w:val="22"/>
              </w:rPr>
              <w:t>中应附房产证</w:t>
            </w:r>
            <w:r>
              <w:rPr>
                <w:rFonts w:hint="eastAsia" w:ascii="宋体" w:hAnsi="宋体" w:cs="宋体"/>
                <w:kern w:val="0"/>
                <w:sz w:val="22"/>
                <w:szCs w:val="22"/>
                <w:lang w:val="en-US" w:eastAsia="zh-CN"/>
              </w:rPr>
              <w:t>明</w:t>
            </w:r>
            <w:r>
              <w:rPr>
                <w:rFonts w:ascii="宋体" w:hAnsi="宋体" w:cs="宋体"/>
                <w:kern w:val="0"/>
                <w:sz w:val="22"/>
                <w:szCs w:val="22"/>
              </w:rPr>
              <w:t>或租赁</w:t>
            </w:r>
            <w:r>
              <w:rPr>
                <w:rFonts w:hint="eastAsia" w:ascii="宋体" w:hAnsi="宋体" w:cs="宋体"/>
                <w:kern w:val="0"/>
                <w:sz w:val="22"/>
                <w:szCs w:val="22"/>
                <w:lang w:val="en-US" w:eastAsia="zh-CN"/>
              </w:rPr>
              <w:t>合同复印件或扫描件（有效期内）</w:t>
            </w:r>
          </w:p>
        </w:tc>
        <w:tc>
          <w:tcPr>
            <w:tcW w:w="840" w:type="dxa"/>
            <w:vAlign w:val="center"/>
          </w:tcPr>
          <w:p w14:paraId="1F2B94BA">
            <w:pPr>
              <w:snapToGrid w:val="0"/>
              <w:spacing w:line="440" w:lineRule="exact"/>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260A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8" w:type="dxa"/>
            <w:vMerge w:val="continue"/>
            <w:vAlign w:val="center"/>
          </w:tcPr>
          <w:p w14:paraId="2A4036A1">
            <w:pPr>
              <w:rPr>
                <w:rFonts w:ascii="宋体" w:hAnsi="宋体" w:eastAsia="宋体" w:cs="宋体"/>
                <w:sz w:val="24"/>
              </w:rPr>
            </w:pPr>
          </w:p>
        </w:tc>
        <w:tc>
          <w:tcPr>
            <w:tcW w:w="1208" w:type="dxa"/>
            <w:vAlign w:val="center"/>
          </w:tcPr>
          <w:p w14:paraId="6A039F41">
            <w:pPr>
              <w:pStyle w:val="37"/>
              <w:spacing w:line="360" w:lineRule="auto"/>
              <w:jc w:val="center"/>
              <w:rPr>
                <w:rFonts w:hAnsi="宋体"/>
                <w:color w:val="auto"/>
              </w:rPr>
            </w:pPr>
            <w:r>
              <w:rPr>
                <w:rFonts w:hint="eastAsia" w:ascii="宋体" w:hAnsi="宋体" w:cs="宋体"/>
                <w:kern w:val="0"/>
                <w:sz w:val="22"/>
                <w:szCs w:val="22"/>
                <w:lang w:val="en-US" w:eastAsia="zh-CN"/>
              </w:rPr>
              <w:t>车辆配备</w:t>
            </w:r>
          </w:p>
        </w:tc>
        <w:tc>
          <w:tcPr>
            <w:tcW w:w="5695" w:type="dxa"/>
            <w:vAlign w:val="top"/>
          </w:tcPr>
          <w:p w14:paraId="16FAADDA">
            <w:pPr>
              <w:numPr>
                <w:ilvl w:val="0"/>
                <w:numId w:val="13"/>
              </w:numPr>
              <w:spacing w:before="57" w:line="360" w:lineRule="auto"/>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供应商具备厢式运输车辆的，每具备1台得2分，最多得4分，缺项或不提供不得分；</w:t>
            </w:r>
          </w:p>
          <w:p w14:paraId="01A4D18E">
            <w:pPr>
              <w:numPr>
                <w:ilvl w:val="0"/>
                <w:numId w:val="13"/>
              </w:numPr>
              <w:spacing w:before="57" w:line="360" w:lineRule="auto"/>
              <w:ind w:left="0" w:leftChars="0" w:firstLine="0" w:firstLineChars="0"/>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供应商具备冷链车的，每具备1台得4分，最多得4分，缺项或不提供不得分</w:t>
            </w:r>
          </w:p>
          <w:p w14:paraId="74E13FFC">
            <w:pPr>
              <w:pStyle w:val="37"/>
              <w:spacing w:line="360" w:lineRule="auto"/>
              <w:jc w:val="both"/>
            </w:pPr>
            <w:r>
              <w:rPr>
                <w:rFonts w:hint="eastAsia" w:ascii="宋体" w:hAnsi="宋体" w:cs="宋体"/>
                <w:kern w:val="0"/>
                <w:sz w:val="22"/>
                <w:szCs w:val="22"/>
                <w:lang w:val="en-US" w:eastAsia="zh-CN"/>
              </w:rPr>
              <w:t>注：</w:t>
            </w:r>
            <w:r>
              <w:rPr>
                <w:rFonts w:hint="eastAsia" w:hAnsi="宋体" w:cs="宋体"/>
                <w:kern w:val="0"/>
                <w:sz w:val="22"/>
                <w:szCs w:val="22"/>
                <w:lang w:val="en-US" w:eastAsia="zh-CN"/>
              </w:rPr>
              <w:t>磋商</w:t>
            </w:r>
            <w:r>
              <w:rPr>
                <w:rFonts w:hint="eastAsia" w:ascii="宋体" w:hAnsi="宋体" w:cs="宋体"/>
                <w:kern w:val="0"/>
                <w:sz w:val="22"/>
                <w:szCs w:val="22"/>
                <w:lang w:val="en-US" w:eastAsia="zh-CN"/>
              </w:rPr>
              <w:t>企业自有或法人名下的车辆机动车登记证书、行驶证、车辆照片做入响应文件；若车辆为租赁车辆，还需提供车辆租赁协议</w:t>
            </w:r>
          </w:p>
        </w:tc>
        <w:tc>
          <w:tcPr>
            <w:tcW w:w="840" w:type="dxa"/>
            <w:vAlign w:val="center"/>
          </w:tcPr>
          <w:p w14:paraId="32B42217">
            <w:pPr>
              <w:snapToGrid w:val="0"/>
              <w:spacing w:line="360" w:lineRule="auto"/>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3514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258" w:type="dxa"/>
            <w:vMerge w:val="continue"/>
            <w:vAlign w:val="center"/>
          </w:tcPr>
          <w:p w14:paraId="046FAED4">
            <w:pPr>
              <w:rPr>
                <w:rFonts w:ascii="宋体" w:hAnsi="宋体" w:eastAsia="宋体" w:cs="宋体"/>
                <w:sz w:val="24"/>
              </w:rPr>
            </w:pPr>
          </w:p>
        </w:tc>
        <w:tc>
          <w:tcPr>
            <w:tcW w:w="1208" w:type="dxa"/>
            <w:vAlign w:val="center"/>
          </w:tcPr>
          <w:p w14:paraId="706D327D">
            <w:pPr>
              <w:pStyle w:val="37"/>
              <w:spacing w:line="360" w:lineRule="auto"/>
              <w:jc w:val="center"/>
              <w:rPr>
                <w:rFonts w:ascii="宋体" w:hAnsi="宋体" w:eastAsia="宋体" w:cs="宋体"/>
                <w:sz w:val="24"/>
              </w:rPr>
            </w:pPr>
            <w:r>
              <w:rPr>
                <w:rFonts w:hint="eastAsia" w:ascii="宋体" w:hAnsi="宋体" w:eastAsia="宋体" w:cs="宋体"/>
                <w:color w:val="auto"/>
                <w:sz w:val="22"/>
                <w:szCs w:val="22"/>
                <w:u w:val="none"/>
                <w:lang w:bidi="ar-SA"/>
              </w:rPr>
              <w:t>配送人员</w:t>
            </w:r>
          </w:p>
        </w:tc>
        <w:tc>
          <w:tcPr>
            <w:tcW w:w="5695" w:type="dxa"/>
            <w:vAlign w:val="top"/>
          </w:tcPr>
          <w:p w14:paraId="20BFAAA1">
            <w:pPr>
              <w:pStyle w:val="37"/>
              <w:spacing w:line="360" w:lineRule="auto"/>
              <w:jc w:val="both"/>
              <w:rPr>
                <w:rFonts w:hAnsi="宋体"/>
                <w:color w:val="auto"/>
              </w:rPr>
            </w:pPr>
            <w:r>
              <w:rPr>
                <w:rFonts w:hint="default"/>
                <w:sz w:val="22"/>
                <w:szCs w:val="22"/>
                <w:lang w:val="en-US" w:eastAsia="zh-CN"/>
              </w:rPr>
              <w:t>供应商具备专职配送人员，每提供1人得1分，最多得</w:t>
            </w:r>
            <w:r>
              <w:rPr>
                <w:rFonts w:hint="eastAsia"/>
                <w:sz w:val="22"/>
                <w:szCs w:val="22"/>
                <w:lang w:val="en-US" w:eastAsia="zh-CN"/>
              </w:rPr>
              <w:t>5</w:t>
            </w:r>
            <w:r>
              <w:rPr>
                <w:rFonts w:hint="default"/>
                <w:sz w:val="22"/>
                <w:szCs w:val="22"/>
                <w:lang w:val="en-US" w:eastAsia="zh-CN"/>
              </w:rPr>
              <w:t>分（注：司机需提供驾驶证、健康证，其他配送人员需提供健康证，缺项或不提供不得分）；</w:t>
            </w:r>
          </w:p>
        </w:tc>
        <w:tc>
          <w:tcPr>
            <w:tcW w:w="840" w:type="dxa"/>
            <w:vAlign w:val="center"/>
          </w:tcPr>
          <w:p w14:paraId="404116A4">
            <w:pPr>
              <w:snapToGrid w:val="0"/>
              <w:spacing w:line="360" w:lineRule="auto"/>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2B17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258" w:type="dxa"/>
            <w:vMerge w:val="continue"/>
            <w:vAlign w:val="center"/>
          </w:tcPr>
          <w:p w14:paraId="79E396AF">
            <w:pPr>
              <w:rPr>
                <w:rFonts w:ascii="宋体" w:hAnsi="宋体" w:eastAsia="宋体" w:cs="宋体"/>
                <w:sz w:val="24"/>
              </w:rPr>
            </w:pPr>
          </w:p>
        </w:tc>
        <w:tc>
          <w:tcPr>
            <w:tcW w:w="1208" w:type="dxa"/>
            <w:vAlign w:val="center"/>
          </w:tcPr>
          <w:p w14:paraId="3C3BA8C4">
            <w:pPr>
              <w:widowControl/>
              <w:spacing w:line="360" w:lineRule="exact"/>
              <w:jc w:val="center"/>
              <w:rPr>
                <w:rFonts w:ascii="宋体" w:hAnsi="宋体" w:eastAsia="宋体" w:cs="宋体"/>
                <w:sz w:val="24"/>
              </w:rPr>
            </w:pPr>
            <w:r>
              <w:rPr>
                <w:rFonts w:hint="eastAsia" w:ascii="宋体" w:hAnsi="宋体" w:eastAsia="宋体" w:cs="宋体"/>
                <w:color w:val="auto"/>
                <w:sz w:val="22"/>
                <w:szCs w:val="22"/>
                <w:u w:val="none"/>
                <w:lang w:bidi="ar-SA"/>
              </w:rPr>
              <w:t>服务承诺</w:t>
            </w:r>
          </w:p>
        </w:tc>
        <w:tc>
          <w:tcPr>
            <w:tcW w:w="5695" w:type="dxa"/>
            <w:vAlign w:val="center"/>
          </w:tcPr>
          <w:p w14:paraId="3F1F9272">
            <w:pPr>
              <w:pStyle w:val="37"/>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根据供应商提供的服务承诺情况、服务响应情况、对货物出现质量问题的调换、退货等服务方案进行打分：</w:t>
            </w:r>
          </w:p>
          <w:p w14:paraId="45AB0D4D">
            <w:pPr>
              <w:pStyle w:val="37"/>
              <w:numPr>
                <w:ilvl w:val="0"/>
                <w:numId w:val="14"/>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服务承诺详细、完善、切实可行，优于采购要求的得5分；</w:t>
            </w:r>
          </w:p>
          <w:p w14:paraId="1757F0C0">
            <w:pPr>
              <w:pStyle w:val="37"/>
              <w:numPr>
                <w:ilvl w:val="0"/>
                <w:numId w:val="14"/>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服务承诺基本详细、完善、切实可行，基本满足采购要求的得3分；</w:t>
            </w:r>
          </w:p>
          <w:p w14:paraId="7D512C34">
            <w:pPr>
              <w:pStyle w:val="37"/>
              <w:numPr>
                <w:ilvl w:val="0"/>
                <w:numId w:val="14"/>
              </w:numPr>
              <w:spacing w:line="360" w:lineRule="auto"/>
              <w:ind w:left="0" w:leftChars="0" w:firstLine="0" w:firstLineChars="0"/>
              <w:jc w:val="both"/>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服务承诺不详细、不完善的得1分</w:t>
            </w:r>
            <w:r>
              <w:rPr>
                <w:rFonts w:hint="eastAsia" w:ascii="宋体" w:hAnsi="宋体" w:eastAsia="宋体" w:cs="宋体"/>
                <w:color w:val="auto"/>
                <w:sz w:val="22"/>
                <w:szCs w:val="22"/>
                <w:u w:val="none"/>
                <w:lang w:eastAsia="zh-CN" w:bidi="ar-SA"/>
              </w:rPr>
              <w:t>；</w:t>
            </w:r>
          </w:p>
          <w:p w14:paraId="09EFEF9C">
            <w:pPr>
              <w:pStyle w:val="37"/>
              <w:spacing w:line="360" w:lineRule="auto"/>
              <w:jc w:val="both"/>
              <w:rPr>
                <w:rFonts w:hAnsi="宋体"/>
                <w:color w:val="auto"/>
              </w:rPr>
            </w:pPr>
            <w:r>
              <w:rPr>
                <w:rFonts w:hint="eastAsia" w:ascii="宋体" w:hAnsi="宋体" w:eastAsia="宋体" w:cs="宋体"/>
                <w:color w:val="auto"/>
                <w:sz w:val="22"/>
                <w:szCs w:val="22"/>
                <w:u w:val="none"/>
                <w:lang w:val="en-US" w:eastAsia="zh-CN" w:bidi="ar-SA"/>
              </w:rPr>
              <w:t>4.缺项或未提供不得分</w:t>
            </w:r>
          </w:p>
        </w:tc>
        <w:tc>
          <w:tcPr>
            <w:tcW w:w="840" w:type="dxa"/>
            <w:vAlign w:val="center"/>
          </w:tcPr>
          <w:p w14:paraId="33C671A3">
            <w:pPr>
              <w:snapToGrid w:val="0"/>
              <w:spacing w:line="360" w:lineRule="auto"/>
              <w:jc w:val="center"/>
              <w:rPr>
                <w:rFonts w:ascii="宋体" w:hAnsi="宋体" w:eastAsia="宋体" w:cs="宋体"/>
                <w:sz w:val="24"/>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5B96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258" w:type="dxa"/>
            <w:vMerge w:val="continue"/>
            <w:vAlign w:val="center"/>
          </w:tcPr>
          <w:p w14:paraId="12AA7E99">
            <w:pPr>
              <w:rPr>
                <w:rFonts w:ascii="宋体" w:hAnsi="宋体" w:eastAsia="宋体" w:cs="宋体"/>
                <w:sz w:val="24"/>
              </w:rPr>
            </w:pPr>
          </w:p>
        </w:tc>
        <w:tc>
          <w:tcPr>
            <w:tcW w:w="1208" w:type="dxa"/>
            <w:shd w:val="clear" w:color="auto" w:fill="auto"/>
            <w:vAlign w:val="center"/>
          </w:tcPr>
          <w:p w14:paraId="6A3215CE">
            <w:pPr>
              <w:widowControl/>
              <w:spacing w:line="360" w:lineRule="exact"/>
              <w:jc w:val="center"/>
              <w:rPr>
                <w:rFonts w:hint="eastAsia" w:ascii="宋体" w:hAnsi="宋体" w:eastAsia="宋体" w:cs="宋体"/>
                <w:color w:val="auto"/>
                <w:kern w:val="2"/>
                <w:sz w:val="22"/>
                <w:szCs w:val="22"/>
                <w:u w:val="none"/>
                <w:lang w:val="en-US" w:eastAsia="zh-CN" w:bidi="ar-SA"/>
              </w:rPr>
            </w:pPr>
            <w:r>
              <w:rPr>
                <w:rFonts w:hint="eastAsia" w:ascii="宋体" w:hAnsi="宋体" w:eastAsia="宋体" w:cs="宋体"/>
                <w:kern w:val="0"/>
                <w:sz w:val="22"/>
                <w:szCs w:val="22"/>
                <w:lang w:val="en-US" w:eastAsia="zh-CN"/>
              </w:rPr>
              <w:t>优惠承诺</w:t>
            </w:r>
          </w:p>
        </w:tc>
        <w:tc>
          <w:tcPr>
            <w:tcW w:w="5695" w:type="dxa"/>
            <w:shd w:val="clear" w:color="auto" w:fill="auto"/>
            <w:vAlign w:val="center"/>
          </w:tcPr>
          <w:p w14:paraId="0DA31CDC">
            <w:pPr>
              <w:pStyle w:val="37"/>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针对本项目的实际需要提供优惠服务、延伸服务、便利服务等服务承诺或特色服务方案进行打分：</w:t>
            </w:r>
          </w:p>
          <w:p w14:paraId="190A1EC4">
            <w:pPr>
              <w:pStyle w:val="37"/>
              <w:numPr>
                <w:ilvl w:val="0"/>
                <w:numId w:val="15"/>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优惠承诺详细、完善、切实可行，优于采购要求的得5分；</w:t>
            </w:r>
          </w:p>
          <w:p w14:paraId="769B3296">
            <w:pPr>
              <w:pStyle w:val="37"/>
              <w:numPr>
                <w:ilvl w:val="0"/>
                <w:numId w:val="15"/>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优惠承诺基本详细、完善、切实可行，基本满足采购要求的得3分；</w:t>
            </w:r>
          </w:p>
          <w:p w14:paraId="2BBBE987">
            <w:pPr>
              <w:pStyle w:val="37"/>
              <w:numPr>
                <w:ilvl w:val="0"/>
                <w:numId w:val="15"/>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优惠承诺不详细、不完善的得1分。</w:t>
            </w:r>
          </w:p>
          <w:p w14:paraId="14392BDC">
            <w:pPr>
              <w:pStyle w:val="37"/>
              <w:spacing w:line="360" w:lineRule="auto"/>
              <w:jc w:val="both"/>
              <w:rPr>
                <w:rFonts w:hint="eastAsia" w:ascii="宋体" w:hAnsi="宋体" w:eastAsia="宋体" w:cs="宋体"/>
                <w:color w:val="auto"/>
                <w:kern w:val="2"/>
                <w:sz w:val="22"/>
                <w:szCs w:val="22"/>
                <w:u w:val="none"/>
                <w:lang w:val="en-US" w:eastAsia="zh-CN" w:bidi="ar-SA"/>
              </w:rPr>
            </w:pPr>
            <w:r>
              <w:rPr>
                <w:rFonts w:hint="eastAsia" w:ascii="宋体" w:hAnsi="宋体" w:eastAsia="宋体" w:cs="宋体"/>
                <w:color w:val="auto"/>
                <w:sz w:val="22"/>
                <w:szCs w:val="22"/>
                <w:u w:val="none"/>
                <w:lang w:bidi="ar-SA"/>
              </w:rPr>
              <w:t>4.缺项或不提供的得0分。</w:t>
            </w:r>
          </w:p>
        </w:tc>
        <w:tc>
          <w:tcPr>
            <w:tcW w:w="840" w:type="dxa"/>
            <w:shd w:val="clear" w:color="auto" w:fill="auto"/>
            <w:vAlign w:val="center"/>
          </w:tcPr>
          <w:p w14:paraId="4FB7623D">
            <w:pPr>
              <w:snapToGrid w:val="0"/>
              <w:spacing w:line="360" w:lineRule="auto"/>
              <w:jc w:val="center"/>
              <w:rPr>
                <w:rFonts w:hint="eastAsia" w:ascii="宋体" w:hAnsi="宋体" w:eastAsia="宋体" w:cs="宋体"/>
                <w:color w:val="auto"/>
                <w:kern w:val="2"/>
                <w:sz w:val="22"/>
                <w:szCs w:val="22"/>
                <w:u w:val="none"/>
                <w:lang w:val="en-US" w:eastAsia="zh-CN" w:bidi="ar-SA"/>
              </w:rPr>
            </w:pPr>
            <w:r>
              <w:rPr>
                <w:rFonts w:hint="eastAsia" w:ascii="宋体" w:hAnsi="宋体" w:eastAsia="宋体" w:cs="宋体"/>
                <w:color w:val="auto"/>
                <w:sz w:val="22"/>
                <w:szCs w:val="22"/>
                <w:u w:val="none"/>
                <w:lang w:val="en-US" w:eastAsia="zh-CN" w:bidi="ar-SA"/>
              </w:rPr>
              <w:t>5分</w:t>
            </w:r>
          </w:p>
        </w:tc>
      </w:tr>
    </w:tbl>
    <w:p w14:paraId="2E244461">
      <w:pPr>
        <w:tabs>
          <w:tab w:val="left" w:pos="312"/>
        </w:tabs>
        <w:spacing w:line="500" w:lineRule="exact"/>
        <w:ind w:firstLine="482" w:firstLineChars="200"/>
        <w:rPr>
          <w:rFonts w:hint="eastAsia" w:ascii="宋体" w:hAnsi="宋体" w:cs="宋体"/>
          <w:b/>
          <w:bCs/>
          <w:kern w:val="0"/>
          <w:sz w:val="24"/>
        </w:rPr>
      </w:pPr>
    </w:p>
    <w:p w14:paraId="7AF154C7">
      <w:pPr>
        <w:pStyle w:val="2"/>
        <w:rPr>
          <w:rFonts w:hint="eastAsia" w:ascii="宋体" w:hAnsi="宋体" w:cs="宋体"/>
          <w:b/>
          <w:bCs/>
          <w:kern w:val="0"/>
          <w:sz w:val="24"/>
        </w:rPr>
      </w:pPr>
    </w:p>
    <w:p w14:paraId="2F8D8DDF">
      <w:pPr>
        <w:rPr>
          <w:rFonts w:hint="eastAsia" w:ascii="宋体" w:hAnsi="宋体" w:cs="宋体"/>
          <w:b/>
          <w:bCs/>
          <w:kern w:val="0"/>
          <w:sz w:val="24"/>
        </w:rPr>
      </w:pPr>
    </w:p>
    <w:p w14:paraId="21350D00">
      <w:pPr>
        <w:tabs>
          <w:tab w:val="left" w:pos="312"/>
        </w:tabs>
        <w:spacing w:line="500" w:lineRule="exact"/>
        <w:ind w:firstLine="482" w:firstLineChars="200"/>
        <w:rPr>
          <w:rFonts w:hint="eastAsia" w:ascii="宋体" w:hAnsi="宋体" w:cs="宋体"/>
          <w:b/>
          <w:bCs/>
          <w:kern w:val="0"/>
          <w:sz w:val="24"/>
        </w:rPr>
      </w:pPr>
    </w:p>
    <w:p w14:paraId="7B5008B2">
      <w:pPr>
        <w:tabs>
          <w:tab w:val="left" w:pos="312"/>
        </w:tabs>
        <w:spacing w:line="500" w:lineRule="exact"/>
        <w:ind w:firstLine="482" w:firstLineChars="200"/>
        <w:rPr>
          <w:rFonts w:ascii="宋体" w:hAnsi="宋体" w:cs="宋体"/>
          <w:b/>
          <w:sz w:val="24"/>
        </w:rPr>
      </w:pPr>
      <w:r>
        <w:rPr>
          <w:rFonts w:hint="eastAsia" w:ascii="宋体" w:hAnsi="宋体" w:cs="宋体"/>
          <w:b/>
          <w:bCs/>
          <w:kern w:val="0"/>
          <w:sz w:val="24"/>
        </w:rPr>
        <w:t>1、本次磋商采用综合评分法：</w:t>
      </w:r>
      <w:r>
        <w:rPr>
          <w:rFonts w:hint="eastAsia" w:ascii="宋体" w:hAnsi="宋体" w:cs="宋体"/>
          <w:sz w:val="24"/>
        </w:rPr>
        <w:t>磋商小组对满足竞争性磋商文件实质性要求和提交最终报价的响应文件，按本章节规定的评分标准进行综合评分，并按得分由高到低顺序推荐3名成交候选人。</w:t>
      </w:r>
    </w:p>
    <w:p w14:paraId="72274557">
      <w:pPr>
        <w:spacing w:line="500" w:lineRule="exact"/>
        <w:ind w:firstLine="482" w:firstLineChars="200"/>
        <w:rPr>
          <w:rFonts w:ascii="宋体" w:hAnsi="宋体" w:cs="宋体"/>
          <w:b/>
          <w:bCs/>
          <w:sz w:val="24"/>
        </w:rPr>
      </w:pPr>
      <w:r>
        <w:rPr>
          <w:rFonts w:hint="eastAsia" w:ascii="宋体" w:hAnsi="宋体" w:cs="宋体"/>
          <w:b/>
          <w:bCs/>
          <w:sz w:val="24"/>
        </w:rPr>
        <w:t>2、 评审标准</w:t>
      </w:r>
    </w:p>
    <w:p w14:paraId="31A438BB">
      <w:pPr>
        <w:spacing w:line="500" w:lineRule="exact"/>
        <w:ind w:firstLine="420" w:firstLineChars="175"/>
        <w:rPr>
          <w:rFonts w:ascii="宋体" w:hAnsi="宋体" w:cs="宋体"/>
          <w:sz w:val="24"/>
        </w:rPr>
      </w:pPr>
      <w:bookmarkStart w:id="112" w:name="_Toc179632620"/>
      <w:bookmarkEnd w:id="112"/>
      <w:bookmarkStart w:id="113" w:name="_Toc31847"/>
      <w:bookmarkEnd w:id="113"/>
      <w:bookmarkStart w:id="114" w:name="_Toc23196"/>
      <w:bookmarkEnd w:id="114"/>
      <w:bookmarkStart w:id="115" w:name="_Toc12931"/>
      <w:bookmarkEnd w:id="115"/>
      <w:r>
        <w:rPr>
          <w:rFonts w:hint="eastAsia" w:ascii="宋体" w:hAnsi="宋体" w:cs="宋体"/>
          <w:sz w:val="24"/>
        </w:rPr>
        <w:t>2.1 初步评审标准</w:t>
      </w:r>
    </w:p>
    <w:p w14:paraId="46C23AFA">
      <w:pPr>
        <w:spacing w:line="500" w:lineRule="exact"/>
        <w:ind w:firstLine="420" w:firstLineChars="175"/>
        <w:rPr>
          <w:rFonts w:ascii="宋体" w:hAnsi="宋体" w:cs="宋体"/>
          <w:sz w:val="24"/>
        </w:rPr>
      </w:pPr>
      <w:r>
        <w:rPr>
          <w:rFonts w:hint="eastAsia" w:ascii="宋体" w:hAnsi="宋体" w:cs="宋体"/>
          <w:sz w:val="24"/>
        </w:rPr>
        <w:t>2.1.1符合性评审标准：见磋商办法前附表。</w:t>
      </w:r>
    </w:p>
    <w:p w14:paraId="19E995FE">
      <w:pPr>
        <w:spacing w:line="500" w:lineRule="exact"/>
        <w:ind w:firstLine="420" w:firstLineChars="175"/>
        <w:rPr>
          <w:rFonts w:ascii="宋体" w:hAnsi="宋体" w:cs="宋体"/>
          <w:sz w:val="24"/>
        </w:rPr>
      </w:pPr>
      <w:r>
        <w:rPr>
          <w:rFonts w:hint="eastAsia" w:ascii="宋体" w:hAnsi="宋体" w:cs="宋体"/>
          <w:sz w:val="24"/>
        </w:rPr>
        <w:t>2.1.2 资格性评审标准：见磋商办法前附表。</w:t>
      </w:r>
    </w:p>
    <w:p w14:paraId="025E2F81">
      <w:pPr>
        <w:spacing w:line="500" w:lineRule="exact"/>
        <w:ind w:firstLine="420" w:firstLineChars="175"/>
        <w:rPr>
          <w:rFonts w:ascii="宋体" w:hAnsi="宋体" w:cs="宋体"/>
          <w:sz w:val="24"/>
        </w:rPr>
      </w:pPr>
      <w:r>
        <w:rPr>
          <w:rFonts w:hint="eastAsia" w:ascii="宋体" w:hAnsi="宋体" w:cs="宋体"/>
          <w:sz w:val="24"/>
        </w:rPr>
        <w:t>2.1.3 响应性评审标准：见磋商办法前附表。</w:t>
      </w:r>
    </w:p>
    <w:p w14:paraId="4AA9B830">
      <w:pPr>
        <w:spacing w:line="500" w:lineRule="exact"/>
        <w:ind w:firstLine="420" w:firstLineChars="175"/>
        <w:rPr>
          <w:rFonts w:ascii="宋体" w:hAnsi="宋体" w:cs="宋体"/>
          <w:sz w:val="24"/>
        </w:rPr>
      </w:pPr>
      <w:bookmarkStart w:id="116" w:name="_Toc607"/>
      <w:bookmarkEnd w:id="116"/>
      <w:bookmarkStart w:id="117" w:name="_Toc16603"/>
      <w:bookmarkEnd w:id="117"/>
      <w:bookmarkStart w:id="118" w:name="_Toc179632621"/>
      <w:bookmarkEnd w:id="118"/>
      <w:bookmarkStart w:id="119" w:name="_Toc11804"/>
      <w:bookmarkEnd w:id="119"/>
      <w:r>
        <w:rPr>
          <w:rFonts w:hint="eastAsia" w:ascii="宋体" w:hAnsi="宋体" w:cs="宋体"/>
          <w:sz w:val="24"/>
        </w:rPr>
        <w:t>2.2 分值构成与评分标准：见详细评分表。</w:t>
      </w:r>
    </w:p>
    <w:p w14:paraId="3146C672">
      <w:pPr>
        <w:spacing w:line="500" w:lineRule="exact"/>
        <w:ind w:firstLine="482" w:firstLineChars="200"/>
        <w:rPr>
          <w:rFonts w:ascii="宋体" w:hAnsi="宋体" w:cs="宋体"/>
          <w:b/>
          <w:bCs/>
          <w:sz w:val="24"/>
        </w:rPr>
      </w:pPr>
      <w:bookmarkStart w:id="120" w:name="_Toc152042381"/>
      <w:bookmarkEnd w:id="120"/>
      <w:r>
        <w:rPr>
          <w:rFonts w:hint="eastAsia" w:ascii="宋体" w:hAnsi="宋体" w:cs="宋体"/>
          <w:b/>
          <w:bCs/>
          <w:sz w:val="24"/>
        </w:rPr>
        <w:t>3、磋商程序</w:t>
      </w:r>
    </w:p>
    <w:p w14:paraId="72887179">
      <w:pPr>
        <w:spacing w:line="500" w:lineRule="exact"/>
        <w:ind w:firstLine="480" w:firstLineChars="200"/>
        <w:rPr>
          <w:rFonts w:ascii="宋体" w:hAnsi="宋体" w:cs="宋体"/>
          <w:sz w:val="24"/>
        </w:rPr>
      </w:pPr>
      <w:bookmarkStart w:id="121" w:name="_Toc31010"/>
      <w:bookmarkEnd w:id="121"/>
      <w:bookmarkStart w:id="122" w:name="_Toc8644"/>
      <w:bookmarkEnd w:id="122"/>
      <w:bookmarkStart w:id="123" w:name="_Toc179632623"/>
      <w:bookmarkEnd w:id="123"/>
      <w:bookmarkStart w:id="124" w:name="_Toc152042382"/>
      <w:bookmarkEnd w:id="124"/>
      <w:bookmarkStart w:id="125" w:name="_Toc30372"/>
      <w:bookmarkEnd w:id="125"/>
      <w:bookmarkStart w:id="126" w:name="_Toc152045605"/>
      <w:bookmarkEnd w:id="126"/>
      <w:bookmarkStart w:id="127" w:name="_Toc144974572"/>
      <w:bookmarkEnd w:id="127"/>
      <w:r>
        <w:rPr>
          <w:rFonts w:hint="eastAsia" w:ascii="宋体" w:hAnsi="宋体" w:cs="宋体"/>
          <w:sz w:val="24"/>
        </w:rPr>
        <w:t>3.1 初步评审</w:t>
      </w:r>
    </w:p>
    <w:p w14:paraId="3DDC4080">
      <w:pPr>
        <w:spacing w:line="500" w:lineRule="exact"/>
        <w:ind w:firstLine="480" w:firstLineChars="200"/>
        <w:rPr>
          <w:rFonts w:ascii="宋体" w:hAnsi="宋体" w:cs="宋体"/>
          <w:sz w:val="24"/>
        </w:rPr>
      </w:pPr>
      <w:r>
        <w:rPr>
          <w:rFonts w:hint="eastAsia" w:ascii="宋体" w:hAnsi="宋体" w:cs="宋体"/>
          <w:sz w:val="24"/>
        </w:rPr>
        <w:t>3.1.1 资格审查以响应文件为准，其上传资料真实性由供应商自行承担。磋商小组依据本章规定的标准对响应文件进行初步评审。有一项不符合评审标准的，其磋商将被否决。</w:t>
      </w:r>
    </w:p>
    <w:p w14:paraId="5C7C9442">
      <w:pPr>
        <w:spacing w:line="500" w:lineRule="exact"/>
        <w:ind w:firstLine="480" w:firstLineChars="200"/>
        <w:rPr>
          <w:rFonts w:ascii="宋体" w:hAnsi="宋体" w:cs="宋体"/>
          <w:sz w:val="24"/>
        </w:rPr>
      </w:pPr>
      <w:r>
        <w:rPr>
          <w:rFonts w:hint="eastAsia" w:ascii="宋体" w:hAnsi="宋体" w:cs="宋体"/>
          <w:sz w:val="24"/>
        </w:rPr>
        <w:t>3.1.2磋商小组依据磋商文件规定的评审标准对响应文件进行初步评审。有一项不符合评审标准的，其磋商将被否决。</w:t>
      </w:r>
    </w:p>
    <w:p w14:paraId="71750055">
      <w:pPr>
        <w:spacing w:line="500" w:lineRule="exact"/>
        <w:ind w:firstLine="480" w:firstLineChars="200"/>
        <w:rPr>
          <w:rFonts w:ascii="宋体" w:hAnsi="宋体" w:cs="宋体"/>
          <w:sz w:val="24"/>
        </w:rPr>
      </w:pPr>
      <w:r>
        <w:rPr>
          <w:rFonts w:hint="eastAsia" w:ascii="宋体" w:hAnsi="宋体" w:cs="宋体"/>
          <w:sz w:val="24"/>
        </w:rPr>
        <w:t>3.1.3供应商有以下情形之一的，其磋商作无效标处理：</w:t>
      </w:r>
    </w:p>
    <w:p w14:paraId="7E79F8E7">
      <w:pPr>
        <w:spacing w:line="500" w:lineRule="exact"/>
        <w:ind w:firstLine="480" w:firstLineChars="200"/>
        <w:rPr>
          <w:rFonts w:ascii="宋体" w:hAnsi="宋体" w:cs="宋体"/>
          <w:sz w:val="24"/>
        </w:rPr>
      </w:pPr>
      <w:r>
        <w:rPr>
          <w:rFonts w:hint="eastAsia" w:ascii="宋体" w:hAnsi="宋体" w:cs="宋体"/>
          <w:sz w:val="24"/>
        </w:rPr>
        <w:t>（1）串通磋商或弄虚作假或有其他违法行为的；</w:t>
      </w:r>
    </w:p>
    <w:p w14:paraId="5A14D481">
      <w:pPr>
        <w:spacing w:line="500" w:lineRule="exact"/>
        <w:ind w:firstLine="480" w:firstLineChars="200"/>
        <w:rPr>
          <w:rFonts w:ascii="宋体" w:hAnsi="宋体" w:cs="宋体"/>
          <w:sz w:val="24"/>
        </w:rPr>
      </w:pPr>
      <w:r>
        <w:rPr>
          <w:rFonts w:hint="eastAsia" w:ascii="宋体" w:hAnsi="宋体" w:cs="宋体"/>
          <w:sz w:val="24"/>
        </w:rPr>
        <w:t>（2）不按磋商小组要求澄清、说明或补正的。</w:t>
      </w:r>
    </w:p>
    <w:p w14:paraId="6F574FB4">
      <w:pPr>
        <w:spacing w:line="500" w:lineRule="exact"/>
        <w:ind w:firstLine="480" w:firstLineChars="200"/>
        <w:rPr>
          <w:rFonts w:ascii="宋体" w:hAnsi="宋体" w:cs="宋体"/>
          <w:sz w:val="24"/>
        </w:rPr>
      </w:pPr>
      <w:r>
        <w:rPr>
          <w:rFonts w:hint="eastAsia" w:ascii="宋体" w:hAnsi="宋体" w:cs="宋体"/>
          <w:sz w:val="24"/>
        </w:rPr>
        <w:t>3.1.4磋商报价有算术错误的，磋商小组按以下原则对磋商报价进行修正，修正的价格经供应商书面确认后具有约束力。供应商不接受修正价格的，其磋商将被否决。</w:t>
      </w:r>
    </w:p>
    <w:p w14:paraId="77A5C148">
      <w:pPr>
        <w:spacing w:line="500" w:lineRule="exact"/>
        <w:ind w:firstLine="480" w:firstLineChars="200"/>
        <w:rPr>
          <w:rFonts w:ascii="宋体" w:hAnsi="宋体" w:cs="宋体"/>
          <w:sz w:val="24"/>
        </w:rPr>
      </w:pPr>
      <w:bookmarkStart w:id="128" w:name="_Toc152042383"/>
      <w:bookmarkEnd w:id="128"/>
      <w:r>
        <w:rPr>
          <w:rFonts w:hint="eastAsia" w:ascii="宋体" w:hAnsi="宋体" w:cs="宋体"/>
          <w:sz w:val="24"/>
        </w:rPr>
        <w:t>（1）响应文件中的大写金额与小写金额不一致的，以大写金额为准；</w:t>
      </w:r>
    </w:p>
    <w:p w14:paraId="6415DD11">
      <w:pPr>
        <w:spacing w:line="500" w:lineRule="exact"/>
        <w:ind w:firstLine="480" w:firstLineChars="200"/>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34E06CBB">
      <w:pPr>
        <w:spacing w:line="500" w:lineRule="exact"/>
        <w:ind w:firstLine="480" w:firstLineChars="200"/>
        <w:rPr>
          <w:rFonts w:ascii="宋体" w:hAnsi="宋体" w:cs="宋体"/>
          <w:sz w:val="24"/>
        </w:rPr>
      </w:pPr>
      <w:bookmarkStart w:id="129" w:name="_Toc152042384"/>
      <w:bookmarkEnd w:id="129"/>
      <w:bookmarkStart w:id="130" w:name="_Toc152045606"/>
      <w:bookmarkEnd w:id="130"/>
      <w:bookmarkStart w:id="131" w:name="_Toc144974573"/>
      <w:bookmarkEnd w:id="131"/>
      <w:bookmarkStart w:id="132" w:name="_Toc179632624"/>
      <w:bookmarkEnd w:id="132"/>
      <w:r>
        <w:rPr>
          <w:rFonts w:hint="eastAsia" w:ascii="宋体" w:hAnsi="宋体" w:cs="宋体"/>
          <w:sz w:val="24"/>
        </w:rPr>
        <w:t>3.2 详细评审</w:t>
      </w:r>
    </w:p>
    <w:p w14:paraId="3F0BB952">
      <w:pPr>
        <w:spacing w:line="500" w:lineRule="exact"/>
        <w:ind w:firstLine="480" w:firstLineChars="200"/>
        <w:rPr>
          <w:rFonts w:ascii="宋体" w:hAnsi="宋体" w:cs="宋体"/>
          <w:sz w:val="24"/>
        </w:rPr>
      </w:pPr>
      <w:r>
        <w:rPr>
          <w:rFonts w:hint="eastAsia" w:ascii="宋体" w:hAnsi="宋体" w:cs="宋体"/>
          <w:sz w:val="24"/>
        </w:rPr>
        <w:t>3.2.1 磋商小组按本章详细评审规定的量化因素和分值进行打分，并计算出综合评估得分。</w:t>
      </w:r>
    </w:p>
    <w:p w14:paraId="4F5FFE54">
      <w:pPr>
        <w:spacing w:line="500" w:lineRule="exact"/>
        <w:ind w:firstLine="480" w:firstLineChars="200"/>
        <w:rPr>
          <w:rFonts w:ascii="宋体" w:hAnsi="宋体" w:cs="宋体"/>
          <w:sz w:val="24"/>
        </w:rPr>
      </w:pPr>
      <w:r>
        <w:rPr>
          <w:rFonts w:hint="eastAsia" w:ascii="宋体" w:hAnsi="宋体" w:cs="宋体"/>
          <w:sz w:val="24"/>
        </w:rPr>
        <w:t>3.2.2 磋商小组发现供应商最终提交的报价明显低于其他磋商报价，或者在设有磋商控制价时明显低于磋商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1F1BF7E9">
      <w:pPr>
        <w:pStyle w:val="37"/>
        <w:spacing w:line="480" w:lineRule="exact"/>
        <w:ind w:firstLine="480" w:firstLineChars="200"/>
        <w:rPr>
          <w:color w:val="auto"/>
        </w:rPr>
      </w:pPr>
      <w:r>
        <w:rPr>
          <w:rFonts w:hint="eastAsia"/>
          <w:color w:val="auto"/>
        </w:rPr>
        <w:t>3.2.3、在磋商过程中，评审得分相同的，首先以报价最低的供应商获得成交供应商推荐资格；若报价相同的，以服务承诺得分最高的供应商获得成交供应商推荐资格。</w:t>
      </w:r>
    </w:p>
    <w:p w14:paraId="292F73D7">
      <w:pPr>
        <w:spacing w:line="500" w:lineRule="exact"/>
        <w:ind w:firstLine="480" w:firstLineChars="200"/>
        <w:rPr>
          <w:rFonts w:ascii="宋体" w:hAnsi="宋体" w:cs="宋体"/>
          <w:sz w:val="24"/>
        </w:rPr>
      </w:pPr>
      <w:bookmarkStart w:id="133" w:name="_Toc179632625"/>
      <w:bookmarkEnd w:id="133"/>
      <w:bookmarkStart w:id="134" w:name="_Toc152042385"/>
      <w:bookmarkEnd w:id="134"/>
      <w:bookmarkStart w:id="135" w:name="_Toc421805017"/>
      <w:bookmarkEnd w:id="135"/>
      <w:bookmarkStart w:id="136" w:name="_Toc401512224"/>
      <w:bookmarkEnd w:id="136"/>
      <w:bookmarkStart w:id="137" w:name="_Toc466566711"/>
      <w:bookmarkEnd w:id="137"/>
      <w:bookmarkStart w:id="138" w:name="_Toc423358132"/>
      <w:bookmarkEnd w:id="138"/>
      <w:bookmarkStart w:id="139" w:name="_Toc401926485"/>
      <w:bookmarkEnd w:id="139"/>
      <w:bookmarkStart w:id="140" w:name="_Toc421698384"/>
      <w:bookmarkEnd w:id="140"/>
      <w:bookmarkStart w:id="141" w:name="_Toc144974575"/>
      <w:bookmarkEnd w:id="141"/>
      <w:bookmarkStart w:id="142" w:name="_Toc418605429"/>
      <w:bookmarkEnd w:id="142"/>
      <w:bookmarkStart w:id="143" w:name="_Toc389384087"/>
      <w:bookmarkEnd w:id="143"/>
      <w:bookmarkStart w:id="144" w:name="_Toc418608950"/>
      <w:bookmarkEnd w:id="144"/>
      <w:bookmarkStart w:id="145" w:name="_Toc152045607"/>
      <w:bookmarkEnd w:id="145"/>
      <w:bookmarkStart w:id="146" w:name="_Toc387498748"/>
      <w:bookmarkEnd w:id="146"/>
      <w:bookmarkStart w:id="147" w:name="_Toc466566800"/>
      <w:bookmarkEnd w:id="147"/>
      <w:r>
        <w:rPr>
          <w:rFonts w:hint="eastAsia" w:ascii="宋体" w:hAnsi="宋体" w:cs="宋体"/>
          <w:sz w:val="24"/>
        </w:rPr>
        <w:t>3.3 响应文件的澄清和补正</w:t>
      </w:r>
    </w:p>
    <w:p w14:paraId="50E97C8E">
      <w:pPr>
        <w:spacing w:line="500" w:lineRule="exact"/>
        <w:ind w:firstLine="480" w:firstLineChars="200"/>
        <w:rPr>
          <w:rFonts w:ascii="宋体" w:hAnsi="宋体" w:cs="宋体"/>
          <w:sz w:val="24"/>
        </w:rPr>
      </w:pPr>
      <w:r>
        <w:rPr>
          <w:rFonts w:hint="eastAsia" w:ascii="宋体" w:hAnsi="宋体" w:cs="宋体"/>
          <w:sz w:val="24"/>
        </w:rPr>
        <w:t>3.3.1在磋商过程中，磋商小组可以书面形式要求供应商对所提交响应文件中不明确的内容进行书面澄清或说明，或者对细微偏差进行补正。磋商小组不接受供应商主动提出的澄清、说明或补正。</w:t>
      </w:r>
    </w:p>
    <w:p w14:paraId="2CF66F52">
      <w:pPr>
        <w:spacing w:line="500" w:lineRule="exact"/>
        <w:ind w:firstLine="480" w:firstLineChars="200"/>
        <w:rPr>
          <w:rFonts w:ascii="宋体" w:hAnsi="宋体" w:cs="宋体"/>
          <w:sz w:val="24"/>
        </w:rPr>
      </w:pPr>
      <w:r>
        <w:rPr>
          <w:rFonts w:hint="eastAsia" w:ascii="宋体" w:hAnsi="宋体" w:cs="宋体"/>
          <w:sz w:val="24"/>
        </w:rPr>
        <w:t>3.3.2 澄清、说明和补正不得改变响应文件的实质性内容（算术性错误修正的除外）。供应商的书面澄清、说明和补正属于响应文件的组成部分。</w:t>
      </w:r>
    </w:p>
    <w:p w14:paraId="47E373A0">
      <w:pPr>
        <w:spacing w:line="500" w:lineRule="exact"/>
        <w:ind w:firstLine="480" w:firstLineChars="200"/>
        <w:rPr>
          <w:rFonts w:ascii="宋体" w:hAnsi="宋体" w:cs="宋体"/>
          <w:sz w:val="24"/>
        </w:rPr>
      </w:pPr>
      <w:r>
        <w:rPr>
          <w:rFonts w:hint="eastAsia" w:ascii="宋体" w:hAnsi="宋体" w:cs="宋体"/>
          <w:sz w:val="24"/>
        </w:rPr>
        <w:t>3.3.3 磋商小组对供应商提交的澄清、说明或补正有疑问的，可以要求供应商进一步澄清、说明或补正，直至满足磋商小组的要求。</w:t>
      </w:r>
    </w:p>
    <w:p w14:paraId="48DBBF7C">
      <w:pPr>
        <w:spacing w:line="500" w:lineRule="exact"/>
        <w:ind w:firstLine="480" w:firstLineChars="200"/>
        <w:rPr>
          <w:rFonts w:ascii="宋体" w:hAnsi="宋体" w:cs="宋体"/>
          <w:sz w:val="24"/>
        </w:rPr>
      </w:pPr>
      <w:bookmarkStart w:id="148" w:name="_Toc466566801"/>
      <w:bookmarkEnd w:id="148"/>
      <w:bookmarkStart w:id="149" w:name="_Toc401512225"/>
      <w:bookmarkEnd w:id="149"/>
      <w:bookmarkStart w:id="150" w:name="_Toc418608951"/>
      <w:bookmarkEnd w:id="150"/>
      <w:bookmarkStart w:id="151" w:name="_Toc389384088"/>
      <w:bookmarkEnd w:id="151"/>
      <w:bookmarkStart w:id="152" w:name="_Toc152045608"/>
      <w:bookmarkEnd w:id="152"/>
      <w:bookmarkStart w:id="153" w:name="_Toc144974576"/>
      <w:bookmarkEnd w:id="153"/>
      <w:bookmarkStart w:id="154" w:name="_Toc421805018"/>
      <w:bookmarkEnd w:id="154"/>
      <w:bookmarkStart w:id="155" w:name="_Toc421698385"/>
      <w:bookmarkEnd w:id="155"/>
      <w:bookmarkStart w:id="156" w:name="_Toc387498749"/>
      <w:bookmarkEnd w:id="156"/>
      <w:bookmarkStart w:id="157" w:name="_Toc418605430"/>
      <w:bookmarkEnd w:id="157"/>
      <w:bookmarkStart w:id="158" w:name="_Toc401926486"/>
      <w:bookmarkEnd w:id="158"/>
      <w:bookmarkStart w:id="159" w:name="_Toc179632626"/>
      <w:bookmarkEnd w:id="159"/>
      <w:bookmarkStart w:id="160" w:name="_Toc466566712"/>
      <w:bookmarkEnd w:id="160"/>
      <w:bookmarkStart w:id="161" w:name="_Toc423358133"/>
      <w:bookmarkEnd w:id="161"/>
      <w:bookmarkStart w:id="162" w:name="_Toc152042386"/>
      <w:bookmarkEnd w:id="162"/>
      <w:r>
        <w:rPr>
          <w:rFonts w:hint="eastAsia" w:ascii="宋体" w:hAnsi="宋体" w:cs="宋体"/>
          <w:sz w:val="24"/>
        </w:rPr>
        <w:t>3.4供应商的最终得分</w:t>
      </w:r>
    </w:p>
    <w:p w14:paraId="5E79D51E">
      <w:pPr>
        <w:spacing w:line="500" w:lineRule="exact"/>
        <w:ind w:firstLine="480" w:firstLineChars="200"/>
        <w:rPr>
          <w:rFonts w:ascii="宋体" w:hAnsi="宋体" w:cs="宋体"/>
          <w:sz w:val="24"/>
        </w:rPr>
      </w:pPr>
      <w:r>
        <w:rPr>
          <w:rFonts w:hint="eastAsia" w:ascii="宋体" w:hAnsi="宋体" w:cs="宋体"/>
          <w:sz w:val="24"/>
        </w:rPr>
        <w:t>（1）磋商小组完成对最终磋商报价、技术部分和商务部分的汇总后，取平均值作为该供应商的最终得分。</w:t>
      </w:r>
    </w:p>
    <w:p w14:paraId="269478F2">
      <w:pPr>
        <w:spacing w:line="500" w:lineRule="exact"/>
        <w:ind w:firstLine="480" w:firstLineChars="200"/>
        <w:rPr>
          <w:rFonts w:ascii="宋体" w:hAnsi="宋体" w:cs="宋体"/>
          <w:sz w:val="24"/>
        </w:rPr>
      </w:pPr>
      <w:r>
        <w:rPr>
          <w:rFonts w:hint="eastAsia" w:ascii="宋体" w:hAnsi="宋体" w:cs="宋体"/>
          <w:sz w:val="24"/>
        </w:rPr>
        <w:t>（2）计算分值均保留两位小数。</w:t>
      </w:r>
    </w:p>
    <w:p w14:paraId="4C377078">
      <w:pPr>
        <w:spacing w:line="500" w:lineRule="exact"/>
        <w:ind w:firstLine="480" w:firstLineChars="200"/>
        <w:rPr>
          <w:rFonts w:ascii="宋体" w:hAnsi="宋体" w:cs="宋体"/>
          <w:sz w:val="24"/>
        </w:rPr>
      </w:pPr>
      <w:r>
        <w:rPr>
          <w:rFonts w:hint="eastAsia" w:ascii="宋体" w:hAnsi="宋体" w:cs="宋体"/>
          <w:sz w:val="24"/>
        </w:rPr>
        <w:t>3.5磋商结果</w:t>
      </w:r>
    </w:p>
    <w:p w14:paraId="486A610C">
      <w:pPr>
        <w:spacing w:line="360" w:lineRule="auto"/>
        <w:ind w:firstLine="480" w:firstLineChars="200"/>
        <w:rPr>
          <w:rFonts w:ascii="宋体" w:hAnsi="宋体" w:cs="宋体"/>
          <w:sz w:val="24"/>
        </w:rPr>
      </w:pPr>
      <w:r>
        <w:rPr>
          <w:rFonts w:hint="eastAsia" w:ascii="宋体" w:hAnsi="宋体" w:cs="宋体"/>
          <w:sz w:val="24"/>
        </w:rPr>
        <w:t>3.5.1磋商小组按照得分由高到低的顺序推荐成交候选人。</w:t>
      </w:r>
    </w:p>
    <w:p w14:paraId="2B5249AA">
      <w:pPr>
        <w:pStyle w:val="14"/>
        <w:spacing w:line="360" w:lineRule="auto"/>
        <w:ind w:firstLine="480" w:firstLineChars="200"/>
        <w:rPr>
          <w:rFonts w:ascii="宋体" w:hAnsi="宋体" w:cs="宋体"/>
          <w:sz w:val="24"/>
        </w:rPr>
      </w:pPr>
      <w:r>
        <w:rPr>
          <w:rFonts w:hint="eastAsia" w:ascii="宋体" w:hAnsi="宋体" w:cs="宋体"/>
          <w:sz w:val="24"/>
        </w:rPr>
        <w:t>3.5.2 磋商小组完成磋商后，应当向采购人提交书面评标报告。</w:t>
      </w:r>
    </w:p>
    <w:p w14:paraId="6A68F837">
      <w:pPr>
        <w:pStyle w:val="14"/>
        <w:spacing w:line="360" w:lineRule="auto"/>
        <w:rPr>
          <w:rFonts w:ascii="宋体" w:hAnsi="宋体" w:cs="宋体"/>
          <w:sz w:val="24"/>
        </w:rPr>
      </w:pPr>
    </w:p>
    <w:p w14:paraId="1EAB9315">
      <w:pPr>
        <w:pStyle w:val="14"/>
        <w:spacing w:line="360" w:lineRule="auto"/>
        <w:rPr>
          <w:rFonts w:ascii="宋体" w:hAnsi="宋体" w:cs="宋体"/>
          <w:sz w:val="24"/>
        </w:rPr>
      </w:pPr>
    </w:p>
    <w:p w14:paraId="029F4E4B">
      <w:pPr>
        <w:pStyle w:val="14"/>
        <w:spacing w:line="360" w:lineRule="auto"/>
        <w:rPr>
          <w:rFonts w:ascii="宋体" w:hAnsi="宋体" w:cs="宋体"/>
          <w:sz w:val="24"/>
        </w:rPr>
      </w:pPr>
    </w:p>
    <w:p w14:paraId="351A9642">
      <w:pPr>
        <w:pStyle w:val="14"/>
        <w:spacing w:line="360" w:lineRule="auto"/>
        <w:rPr>
          <w:rFonts w:ascii="宋体" w:hAnsi="宋体" w:cs="宋体"/>
          <w:sz w:val="24"/>
        </w:rPr>
      </w:pPr>
    </w:p>
    <w:p w14:paraId="0EA3307A">
      <w:pPr>
        <w:pStyle w:val="14"/>
        <w:spacing w:line="360" w:lineRule="auto"/>
        <w:rPr>
          <w:rFonts w:ascii="宋体" w:hAnsi="宋体" w:cs="宋体"/>
          <w:sz w:val="24"/>
        </w:rPr>
      </w:pPr>
    </w:p>
    <w:p w14:paraId="158ABCEC">
      <w:pPr>
        <w:pStyle w:val="14"/>
        <w:spacing w:line="360" w:lineRule="auto"/>
        <w:rPr>
          <w:rFonts w:ascii="宋体" w:hAnsi="宋体" w:cs="宋体"/>
          <w:sz w:val="24"/>
        </w:rPr>
      </w:pPr>
    </w:p>
    <w:p w14:paraId="6C41CBBE">
      <w:pPr>
        <w:pStyle w:val="14"/>
        <w:spacing w:line="360" w:lineRule="auto"/>
        <w:rPr>
          <w:rFonts w:ascii="宋体" w:hAnsi="宋体" w:cs="宋体"/>
          <w:sz w:val="24"/>
        </w:rPr>
      </w:pPr>
    </w:p>
    <w:p w14:paraId="1D89AF99">
      <w:pPr>
        <w:pStyle w:val="14"/>
        <w:numPr>
          <w:ilvl w:val="0"/>
          <w:numId w:val="16"/>
        </w:numPr>
        <w:spacing w:line="360" w:lineRule="auto"/>
        <w:jc w:val="center"/>
        <w:rPr>
          <w:rFonts w:ascii="宋体" w:hAnsi="宋体" w:eastAsia="宋体" w:cs="宋体"/>
          <w:b/>
          <w:bCs/>
          <w:sz w:val="28"/>
          <w:szCs w:val="28"/>
        </w:rPr>
      </w:pPr>
      <w:r>
        <w:rPr>
          <w:rFonts w:hint="eastAsia" w:ascii="宋体" w:hAnsi="宋体" w:eastAsia="宋体" w:cs="宋体"/>
          <w:b/>
          <w:bCs/>
          <w:sz w:val="28"/>
          <w:szCs w:val="28"/>
        </w:rPr>
        <w:t xml:space="preserve"> 服务内容及要求</w:t>
      </w:r>
    </w:p>
    <w:p w14:paraId="1648197D">
      <w:pPr>
        <w:shd w:val="clear" w:color="auto" w:fill="FFFFFF"/>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一、项目概况</w:t>
      </w:r>
    </w:p>
    <w:p w14:paraId="558F63A8">
      <w:pPr>
        <w:shd w:val="clear" w:color="auto" w:fill="FFFFFF"/>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本次磋商采购共一包，对义马市消防救援大队食堂餐饮服务，供应商根据采购方规定要求与根据应急消〔2022〕152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717C1A94">
      <w:pPr>
        <w:shd w:val="clear" w:color="auto" w:fill="FFFFFF"/>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1、项目名称：义马市消防救援大队义马大队食堂主副食品采购项目</w:t>
      </w:r>
    </w:p>
    <w:p w14:paraId="4A6CFAEA">
      <w:pPr>
        <w:shd w:val="clear" w:color="auto" w:fill="FFFFFF"/>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2、采购预算：</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780000.00元</w:t>
      </w:r>
    </w:p>
    <w:p w14:paraId="798EE222">
      <w:pPr>
        <w:shd w:val="clear" w:color="auto" w:fill="FFFFFF"/>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内容：对采购人提供蔬果、禽蛋、禽畜肉、水产品、饮品、米面粮油、调料干杂等食材供应，供应商要严格遵守相关法律法规及行业标准，确保相关服务达到验收标准。（详见竞争性磋商文件）</w:t>
      </w:r>
    </w:p>
    <w:p w14:paraId="03EA515B">
      <w:pPr>
        <w:shd w:val="clear" w:color="auto" w:fill="FFFFFF"/>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4、服务周期：一年</w:t>
      </w:r>
    </w:p>
    <w:p w14:paraId="34039698">
      <w:pPr>
        <w:shd w:val="clear" w:color="auto" w:fill="FFFFFF"/>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5、服务地点：采购人指定地点</w:t>
      </w:r>
    </w:p>
    <w:p w14:paraId="6B7235D8">
      <w:pPr>
        <w:pStyle w:val="14"/>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rPr>
        <w:t>6、质量要求：符合相关法律法规及行业标准</w:t>
      </w:r>
    </w:p>
    <w:p w14:paraId="1ED1F3BE">
      <w:pPr>
        <w:pStyle w:val="14"/>
        <w:spacing w:line="360" w:lineRule="auto"/>
        <w:ind w:firstLine="482" w:firstLineChars="200"/>
        <w:rPr>
          <w:rFonts w:ascii="宋体" w:hAnsi="宋体" w:eastAsia="宋体"/>
          <w:b/>
          <w:bCs/>
          <w:color w:val="auto"/>
          <w:sz w:val="24"/>
          <w:highlight w:val="none"/>
        </w:rPr>
      </w:pPr>
      <w:r>
        <w:rPr>
          <w:rFonts w:hint="eastAsia" w:ascii="宋体" w:hAnsi="宋体" w:eastAsia="宋体" w:cs="宋体"/>
          <w:b/>
          <w:bCs/>
          <w:color w:val="auto"/>
          <w:sz w:val="24"/>
          <w:highlight w:val="none"/>
        </w:rPr>
        <w:t>二、</w:t>
      </w:r>
      <w:r>
        <w:rPr>
          <w:rFonts w:hint="eastAsia" w:ascii="宋体" w:hAnsi="宋体" w:eastAsia="宋体"/>
          <w:b/>
          <w:bCs/>
          <w:color w:val="auto"/>
          <w:sz w:val="24"/>
          <w:highlight w:val="none"/>
        </w:rPr>
        <w:t>采购需求（包括但不限于）</w:t>
      </w:r>
    </w:p>
    <w:p w14:paraId="6382939B">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1、主食类采购需求：</w:t>
      </w:r>
    </w:p>
    <w:p w14:paraId="7293ABBE">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①谷物类：大米（粳米、籼米、糙米等）、面粉（高筋、中筋、低筋）、杂粮（小米、玉米碴、燕麦、荞麦等）、豆类：黄豆、红豆、黑豆；</w:t>
      </w:r>
    </w:p>
    <w:p w14:paraId="71662CCD">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②面食类：面条/挂面（宽面、细面、意大利面等）； </w:t>
      </w:r>
    </w:p>
    <w:p w14:paraId="75C8DDFE">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②薯类及淀粉：土豆、红薯、紫薯；玉米淀粉、红薯淀粉、木薯粉等。 </w:t>
      </w:r>
    </w:p>
    <w:p w14:paraId="4F86BA77">
      <w:pPr>
        <w:pStyle w:val="14"/>
        <w:spacing w:line="360" w:lineRule="auto"/>
        <w:ind w:left="420" w:leftChars="200"/>
        <w:rPr>
          <w:rFonts w:ascii="宋体" w:hAnsi="宋体" w:eastAsia="宋体"/>
          <w:color w:val="auto"/>
          <w:sz w:val="24"/>
          <w:highlight w:val="none"/>
        </w:rPr>
      </w:pPr>
      <w:r>
        <w:rPr>
          <w:rFonts w:hint="eastAsia" w:ascii="宋体" w:hAnsi="宋体" w:eastAsia="宋体"/>
          <w:color w:val="auto"/>
          <w:sz w:val="24"/>
          <w:highlight w:val="none"/>
        </w:rPr>
        <w:t>2、副食类采购需求：</w:t>
      </w:r>
    </w:p>
    <w:p w14:paraId="6F0D3580">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①蛋白质类：</w:t>
      </w:r>
    </w:p>
    <w:p w14:paraId="2B48E9B8">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肉类：猪肉（五花肉、里脊等）、牛肉、鸡肉、羊肉、鸭肉等；</w:t>
      </w:r>
    </w:p>
    <w:p w14:paraId="7BF61C79">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禽蛋类：鸡蛋、鸭蛋、鹌鹑蛋等；</w:t>
      </w:r>
    </w:p>
    <w:p w14:paraId="2809DBF3">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水产：鱼类（鲫鱼、鲈鱼）、虾、贝类等；</w:t>
      </w:r>
    </w:p>
    <w:p w14:paraId="5FE0CF35">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豆制品：豆腐、豆浆、腐竹、千张等。</w:t>
      </w:r>
    </w:p>
    <w:p w14:paraId="0D125F97">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②蔬菜类：</w:t>
      </w:r>
    </w:p>
    <w:p w14:paraId="5269BDA1">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叶菜：大白菜、小白菜、菠菜、油菜、芹菜、茼蒿、香菜、苋菜、生菜、西蓝花、莴苣、空心菜等；</w:t>
      </w:r>
    </w:p>
    <w:p w14:paraId="21A2A0C8">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根茎类：白萝卜、青萝卜、胡萝卜、大头菜、土豆、山药、芋头、洋葱等；</w:t>
      </w:r>
    </w:p>
    <w:p w14:paraId="6F54E637">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瓜果类：黄瓜、丝瓜、苦瓜、南瓜、冬瓜、西葫芦、</w:t>
      </w:r>
      <w:r>
        <w:rPr>
          <w:rFonts w:ascii="Arial" w:hAnsi="Arial" w:eastAsia="Arial" w:cs="Arial"/>
          <w:color w:val="auto"/>
          <w:sz w:val="24"/>
          <w:highlight w:val="none"/>
          <w:shd w:val="clear" w:color="auto" w:fill="FFFFFF"/>
        </w:rPr>
        <w:t>茄子、西红柿、辣椒</w:t>
      </w:r>
      <w:r>
        <w:rPr>
          <w:rFonts w:hint="eastAsia" w:ascii="宋体" w:hAnsi="宋体" w:eastAsia="宋体"/>
          <w:color w:val="auto"/>
          <w:sz w:val="24"/>
          <w:highlight w:val="none"/>
        </w:rPr>
        <w:t>等；</w:t>
      </w:r>
    </w:p>
    <w:p w14:paraId="66C6B669">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菌菇类：蘑菇、香菇、金针菇、木耳、银耳、平菇等；</w:t>
      </w:r>
    </w:p>
    <w:p w14:paraId="5E5A0591">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鲜豆类‌：菜豆、豇豆、豌豆、毛豆、扁豆、刀豆等</w:t>
      </w:r>
    </w:p>
    <w:p w14:paraId="4B39BEF0">
      <w:pPr>
        <w:pStyle w:val="14"/>
        <w:spacing w:line="360" w:lineRule="auto"/>
        <w:ind w:left="420" w:leftChars="200"/>
        <w:rPr>
          <w:rFonts w:ascii="宋体" w:hAnsi="宋体" w:eastAsia="宋体"/>
          <w:color w:val="auto"/>
          <w:sz w:val="24"/>
          <w:highlight w:val="none"/>
        </w:rPr>
      </w:pPr>
      <w:r>
        <w:rPr>
          <w:rFonts w:hint="eastAsia" w:ascii="宋体" w:hAnsi="宋体" w:eastAsia="宋体"/>
          <w:color w:val="auto"/>
          <w:sz w:val="24"/>
          <w:highlight w:val="none"/>
        </w:rPr>
        <w:t>③饮品类 ：牛奶、酸奶、饮料等；</w:t>
      </w:r>
    </w:p>
    <w:p w14:paraId="29E2E890">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④调味品： </w:t>
      </w:r>
    </w:p>
    <w:p w14:paraId="255DC384">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基础调味：盐、糖、酱油、醋、鸡精、味精、十三香、耗油、料酒等；</w:t>
      </w:r>
    </w:p>
    <w:p w14:paraId="1816099F">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香料：花椒、八角、干辣椒</w:t>
      </w:r>
      <w:r>
        <w:rPr>
          <w:rFonts w:hint="eastAsia" w:ascii="宋体" w:hAnsi="宋体" w:cs="宋体"/>
          <w:color w:val="auto"/>
          <w:kern w:val="0"/>
          <w:sz w:val="24"/>
          <w:highlight w:val="none"/>
        </w:rPr>
        <w:t>（段、粉）</w:t>
      </w:r>
      <w:r>
        <w:rPr>
          <w:rFonts w:hint="eastAsia" w:ascii="宋体" w:hAnsi="宋体" w:eastAsia="宋体"/>
          <w:color w:val="auto"/>
          <w:sz w:val="24"/>
          <w:highlight w:val="none"/>
        </w:rPr>
        <w:t>、</w:t>
      </w:r>
      <w:r>
        <w:rPr>
          <w:rFonts w:hint="eastAsia" w:ascii="宋体" w:hAnsi="宋体" w:cs="宋体"/>
          <w:color w:val="auto"/>
          <w:kern w:val="0"/>
          <w:sz w:val="24"/>
          <w:highlight w:val="none"/>
        </w:rPr>
        <w:t>孜然粒、麻椒、香叶、茴香、桂皮、胡椒、芝麻</w:t>
      </w:r>
      <w:r>
        <w:rPr>
          <w:rFonts w:hint="eastAsia" w:ascii="宋体" w:hAnsi="宋体" w:eastAsia="宋体"/>
          <w:color w:val="auto"/>
          <w:sz w:val="24"/>
          <w:highlight w:val="none"/>
        </w:rPr>
        <w:t>等；</w:t>
      </w:r>
    </w:p>
    <w:p w14:paraId="16C93339">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酱料：豆瓣酱、番茄酱、沙拉酱、</w:t>
      </w:r>
      <w:r>
        <w:rPr>
          <w:rFonts w:hint="eastAsia" w:ascii="宋体" w:hAnsi="宋体" w:cs="宋体"/>
          <w:color w:val="auto"/>
          <w:kern w:val="0"/>
          <w:sz w:val="24"/>
          <w:highlight w:val="none"/>
        </w:rPr>
        <w:t>黄豆酱、芝麻酱、火锅料</w:t>
      </w:r>
      <w:r>
        <w:rPr>
          <w:rFonts w:hint="eastAsia" w:ascii="宋体" w:hAnsi="宋体" w:eastAsia="宋体"/>
          <w:color w:val="auto"/>
          <w:sz w:val="24"/>
          <w:highlight w:val="none"/>
        </w:rPr>
        <w:t>等。</w:t>
      </w:r>
    </w:p>
    <w:p w14:paraId="733A7F69">
      <w:pPr>
        <w:pStyle w:val="14"/>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⑤干菜类：海带、腐竹、木耳、粉条、粉丝等。</w:t>
      </w:r>
    </w:p>
    <w:p w14:paraId="471CF1A0">
      <w:pPr>
        <w:pStyle w:val="14"/>
        <w:numPr>
          <w:ilvl w:val="0"/>
          <w:numId w:val="2"/>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食用油类：</w:t>
      </w:r>
      <w:r>
        <w:rPr>
          <w:rFonts w:hint="eastAsia" w:ascii="宋体" w:hAnsi="宋体" w:cs="宋体"/>
          <w:color w:val="auto"/>
          <w:sz w:val="24"/>
          <w:highlight w:val="none"/>
        </w:rPr>
        <w:t>非转基因大豆油、花生油、菜籽油、橄榄油等</w:t>
      </w:r>
    </w:p>
    <w:p w14:paraId="4C347A08">
      <w:pPr>
        <w:pStyle w:val="14"/>
        <w:numPr>
          <w:ilvl w:val="0"/>
          <w:numId w:val="2"/>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水果类：苹果、香蕉、梨、桃子、樱桃、蓝莓、橘子、柚子、橙子、草莓、哈密瓜、香瓜、西瓜、葡萄、猕猴桃、菠萝（凤梨）、圣女果等。</w:t>
      </w:r>
    </w:p>
    <w:p w14:paraId="4CA8E150">
      <w:pPr>
        <w:pStyle w:val="14"/>
        <w:numPr>
          <w:ilvl w:val="0"/>
          <w:numId w:val="17"/>
        </w:numPr>
        <w:spacing w:line="360" w:lineRule="auto"/>
        <w:ind w:left="420" w:left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验收标准及要求</w:t>
      </w:r>
    </w:p>
    <w:p w14:paraId="1B542BB1">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肉类：①禽肉类产品符合GB2707、GB16869国家标准及食品卫生相关标准及法规要求；②畜肉类产品具有动物检验检疫证明或“SC”食品质量认证标志，符合食品卫生安全法要求，有检验合格证，肉上面有讫印章；③鲜猪肉整体色泽光滑、切面红色、不粘手、无淤血、无注水、无寄生虫；④鲜牛肉肉色深红、肉质有弹性、切面有光泽及微湿润，极小渗出物，无寄生虫，无注水；⑤鲜羊肉肉色为均匀的红色、有光泽、肉质紧密面细腻，有弹性、外表微干、不粘手、无注水；</w:t>
      </w:r>
    </w:p>
    <w:p w14:paraId="67BAA966">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蔬果类：①蔬果须新鲜，符合国家食品卫生管理规定；②农药残留不得超过《食品中农药最大残留限量》（GB2763）国家标准；③不得提供腐烂变质、黄叶、烂叶及带泥巴的蔬菜；④蔬菜外表不得人为喷洒水分和有过多的虫孔；⑤水果果形端正，果面新鲜洁净，无畸形果，无病虫害，无病斑，无腐烂。</w:t>
      </w:r>
    </w:p>
    <w:p w14:paraId="50989655">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水产类：①水产品类食品必须符合GB2733国家标准，所有类别产品必须鲜活特殊情况除外，无注水且符合食品卫生相关标准及法规要求；②新鲜无腐败、变质，无异味，色泽清白、爽洁，有光泽，不黏手，无注水且符合食品卫生相关标准及法规要求；③包装产品有生产日期，外包装无破损，生产地址明显；</w:t>
      </w:r>
    </w:p>
    <w:p w14:paraId="24BF3E58">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4、豆制品类具有“QS”食品质量安全认证，符合GB2711-2003标准；</w:t>
      </w:r>
    </w:p>
    <w:p w14:paraId="7940704B">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调味干杂类：所有的干菜、调料及其他类必须符合国家卫生标准和质量，包装完好无损、在保质期内、无异味，色泽正常、封口平整、无沙包、漏包、无污染，包装产品有生产地址及生产日期、外包装无破损；</w:t>
      </w:r>
    </w:p>
    <w:p w14:paraId="111FCC6B">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6、酱腌菜类：亚硝酸盐定期抽检合格，符合《食品安全法》要求；</w:t>
      </w:r>
    </w:p>
    <w:p w14:paraId="4D622D70">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7、禽蛋类：①禽蛋保证新鲜，具有禽蛋固有的色泽，蛋壳清洁、无破裂，打开后蛋壳凸起、完整、有韧性，蛋白澄清透明、稀稠分明，无杂质，具有固有的气味，无异味，符合《食品安全法》要求。</w:t>
      </w:r>
    </w:p>
    <w:p w14:paraId="3BAFB0D4">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饮品类：①奶制品色泽呈乳白色或微黄色；有乳香味，无异味；无凝块、无沉淀、无正常视力可见异物。奶制品的包装必须符合国家标准。②饮品类（含牛奶）食品须为主流品牌，严禁假冒伪劣产品、过期产品，保证新鲜、保证货品在质保期内，外形完整，无破损。</w:t>
      </w:r>
    </w:p>
    <w:p w14:paraId="1D95A6F1">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9、米面粮油类：必须符合《农产品质量安全法》要求，保证质量，无腐烂、无变质、无变味、无变色、无虫咬、无鼠咬、无破袋，有生产日期、保质期等。</w:t>
      </w:r>
    </w:p>
    <w:p w14:paraId="307D67C3">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注：1、以上所列明的国标如有更新或废止，以最新标准为准。</w:t>
      </w:r>
    </w:p>
    <w:p w14:paraId="12946E68">
      <w:pPr>
        <w:widowControl/>
        <w:spacing w:line="480" w:lineRule="exact"/>
        <w:ind w:firstLine="480" w:firstLineChars="200"/>
        <w:jc w:val="left"/>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r>
        <w:rPr>
          <w:rFonts w:hint="default" w:ascii="宋体" w:hAnsi="宋体"/>
          <w:color w:val="auto"/>
          <w:sz w:val="24"/>
          <w:highlight w:val="none"/>
          <w:lang w:val="en-US" w:eastAsia="zh-CN"/>
        </w:rPr>
        <w:t>本次采购内容包含但不限于以上内容，以实际采购数量为准。</w:t>
      </w:r>
    </w:p>
    <w:p w14:paraId="6E66CDD3">
      <w:pPr>
        <w:widowControl/>
        <w:spacing w:line="48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注：为保证配送的副食品新鲜，不腐烂变质，每天上午7时前将配送物资送达采购人指定地点。特殊情况下，接到采购需求计划后，于2小时之内将所需物资配送到位。</w:t>
      </w:r>
    </w:p>
    <w:p w14:paraId="5B1A7A67">
      <w:pPr>
        <w:widowControl/>
        <w:numPr>
          <w:ilvl w:val="0"/>
          <w:numId w:val="17"/>
        </w:numPr>
        <w:spacing w:line="480" w:lineRule="exact"/>
        <w:ind w:left="420" w:leftChars="200"/>
        <w:jc w:val="left"/>
        <w:rPr>
          <w:rFonts w:ascii="宋体" w:hAnsi="宋体"/>
          <w:color w:val="auto"/>
          <w:sz w:val="24"/>
          <w:highlight w:val="none"/>
        </w:rPr>
      </w:pPr>
      <w:r>
        <w:rPr>
          <w:rFonts w:hint="eastAsia" w:ascii="宋体" w:hAnsi="宋体"/>
          <w:b/>
          <w:bCs/>
          <w:color w:val="auto"/>
          <w:sz w:val="24"/>
          <w:highlight w:val="none"/>
        </w:rPr>
        <w:t>其他要求</w:t>
      </w:r>
    </w:p>
    <w:p w14:paraId="657FFC49">
      <w:pPr>
        <w:widowControl/>
        <w:spacing w:line="480" w:lineRule="exact"/>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eastAsia="宋体" w:cs="宋体"/>
          <w:color w:val="auto"/>
          <w:sz w:val="24"/>
          <w:highlight w:val="none"/>
        </w:rPr>
        <w:t>具体人员构成如下：</w:t>
      </w:r>
    </w:p>
    <w:tbl>
      <w:tblPr>
        <w:tblStyle w:val="42"/>
        <w:tblW w:w="8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1950"/>
        <w:gridCol w:w="1862"/>
      </w:tblGrid>
      <w:tr w14:paraId="7EF46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83" w:type="dxa"/>
            <w:vAlign w:val="center"/>
          </w:tcPr>
          <w:p w14:paraId="175138D2">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38" w:type="dxa"/>
            <w:vAlign w:val="center"/>
          </w:tcPr>
          <w:p w14:paraId="3D6E550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人员类别</w:t>
            </w:r>
          </w:p>
        </w:tc>
        <w:tc>
          <w:tcPr>
            <w:tcW w:w="1400" w:type="dxa"/>
            <w:vAlign w:val="center"/>
          </w:tcPr>
          <w:p w14:paraId="3C8E2026">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人数</w:t>
            </w:r>
          </w:p>
        </w:tc>
        <w:tc>
          <w:tcPr>
            <w:tcW w:w="1950" w:type="dxa"/>
            <w:vAlign w:val="center"/>
          </w:tcPr>
          <w:p w14:paraId="143F005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全年预计休假</w:t>
            </w:r>
          </w:p>
          <w:p w14:paraId="000A017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天数</w:t>
            </w:r>
          </w:p>
        </w:tc>
        <w:tc>
          <w:tcPr>
            <w:tcW w:w="1862" w:type="dxa"/>
            <w:vAlign w:val="center"/>
          </w:tcPr>
          <w:p w14:paraId="7488C1E4">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全年预计在位</w:t>
            </w:r>
          </w:p>
          <w:p w14:paraId="7687CEC2">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天数</w:t>
            </w:r>
          </w:p>
        </w:tc>
      </w:tr>
      <w:tr w14:paraId="0C1F0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83" w:type="dxa"/>
            <w:vAlign w:val="center"/>
          </w:tcPr>
          <w:p w14:paraId="0E88068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01</w:t>
            </w:r>
          </w:p>
        </w:tc>
        <w:tc>
          <w:tcPr>
            <w:tcW w:w="2238" w:type="dxa"/>
            <w:vAlign w:val="center"/>
          </w:tcPr>
          <w:p w14:paraId="02915AF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指挥员</w:t>
            </w:r>
          </w:p>
        </w:tc>
        <w:tc>
          <w:tcPr>
            <w:tcW w:w="1400" w:type="dxa"/>
            <w:vAlign w:val="center"/>
          </w:tcPr>
          <w:p w14:paraId="022C4F94">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3812" w:type="dxa"/>
            <w:gridSpan w:val="2"/>
            <w:vMerge w:val="restart"/>
            <w:tcBorders>
              <w:bottom w:val="nil"/>
            </w:tcBorders>
            <w:vAlign w:val="center"/>
          </w:tcPr>
          <w:p w14:paraId="5F33D50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全年支队核拨国家队伙食费</w:t>
            </w:r>
          </w:p>
        </w:tc>
      </w:tr>
      <w:tr w14:paraId="55315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3" w:type="dxa"/>
            <w:vAlign w:val="center"/>
          </w:tcPr>
          <w:p w14:paraId="708D4F5B">
            <w:pPr>
              <w:jc w:val="center"/>
              <w:rPr>
                <w:rFonts w:ascii="宋体" w:hAnsi="宋体" w:eastAsia="宋体" w:cs="宋体"/>
                <w:color w:val="auto"/>
                <w:sz w:val="24"/>
                <w:highlight w:val="none"/>
              </w:rPr>
            </w:pPr>
            <w:r>
              <w:rPr>
                <w:rFonts w:hint="eastAsia" w:ascii="宋体" w:hAnsi="宋体" w:eastAsia="宋体" w:cs="宋体"/>
                <w:color w:val="auto"/>
                <w:sz w:val="24"/>
                <w:highlight w:val="none"/>
              </w:rPr>
              <w:t>02</w:t>
            </w:r>
          </w:p>
        </w:tc>
        <w:tc>
          <w:tcPr>
            <w:tcW w:w="2238" w:type="dxa"/>
            <w:vAlign w:val="center"/>
          </w:tcPr>
          <w:p w14:paraId="03A24AC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消防员</w:t>
            </w:r>
          </w:p>
        </w:tc>
        <w:tc>
          <w:tcPr>
            <w:tcW w:w="1400" w:type="dxa"/>
            <w:vAlign w:val="center"/>
          </w:tcPr>
          <w:p w14:paraId="28C0A89E">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3812" w:type="dxa"/>
            <w:gridSpan w:val="2"/>
            <w:vMerge w:val="continue"/>
            <w:tcBorders>
              <w:top w:val="nil"/>
            </w:tcBorders>
            <w:vAlign w:val="center"/>
          </w:tcPr>
          <w:p w14:paraId="311077A8">
            <w:pPr>
              <w:jc w:val="center"/>
              <w:rPr>
                <w:rFonts w:ascii="宋体" w:hAnsi="宋体" w:eastAsia="宋体" w:cs="宋体"/>
                <w:color w:val="auto"/>
                <w:sz w:val="24"/>
                <w:highlight w:val="none"/>
              </w:rPr>
            </w:pPr>
          </w:p>
        </w:tc>
      </w:tr>
      <w:tr w14:paraId="274B0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83" w:type="dxa"/>
            <w:vAlign w:val="center"/>
          </w:tcPr>
          <w:p w14:paraId="57D19E66">
            <w:pPr>
              <w:jc w:val="center"/>
              <w:rPr>
                <w:rFonts w:ascii="宋体" w:hAnsi="宋体" w:eastAsia="宋体" w:cs="宋体"/>
                <w:color w:val="auto"/>
                <w:sz w:val="24"/>
                <w:highlight w:val="none"/>
              </w:rPr>
            </w:pPr>
            <w:r>
              <w:rPr>
                <w:rFonts w:hint="eastAsia" w:ascii="宋体" w:hAnsi="宋体" w:eastAsia="宋体" w:cs="宋体"/>
                <w:color w:val="auto"/>
                <w:sz w:val="24"/>
                <w:highlight w:val="none"/>
              </w:rPr>
              <w:t>03</w:t>
            </w:r>
          </w:p>
        </w:tc>
        <w:tc>
          <w:tcPr>
            <w:tcW w:w="2238" w:type="dxa"/>
            <w:vAlign w:val="center"/>
          </w:tcPr>
          <w:p w14:paraId="749A74B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政府专职消防员</w:t>
            </w:r>
          </w:p>
        </w:tc>
        <w:tc>
          <w:tcPr>
            <w:tcW w:w="1400" w:type="dxa"/>
            <w:vAlign w:val="center"/>
          </w:tcPr>
          <w:p w14:paraId="16F89191">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w:t>
            </w:r>
          </w:p>
        </w:tc>
        <w:tc>
          <w:tcPr>
            <w:tcW w:w="1950" w:type="dxa"/>
            <w:vAlign w:val="center"/>
          </w:tcPr>
          <w:p w14:paraId="3232CE30">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2856</w:t>
            </w:r>
          </w:p>
        </w:tc>
        <w:tc>
          <w:tcPr>
            <w:tcW w:w="1862" w:type="dxa"/>
            <w:vAlign w:val="center"/>
          </w:tcPr>
          <w:p w14:paraId="37E11CE4">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9554</w:t>
            </w:r>
          </w:p>
        </w:tc>
      </w:tr>
      <w:tr w14:paraId="43CD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3" w:type="dxa"/>
            <w:vAlign w:val="center"/>
          </w:tcPr>
          <w:p w14:paraId="78D0E15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04</w:t>
            </w:r>
          </w:p>
        </w:tc>
        <w:tc>
          <w:tcPr>
            <w:tcW w:w="2238" w:type="dxa"/>
            <w:vAlign w:val="center"/>
          </w:tcPr>
          <w:p w14:paraId="620321E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政府专职消防文员</w:t>
            </w:r>
          </w:p>
        </w:tc>
        <w:tc>
          <w:tcPr>
            <w:tcW w:w="1400" w:type="dxa"/>
            <w:vAlign w:val="center"/>
          </w:tcPr>
          <w:p w14:paraId="20E9B664">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950" w:type="dxa"/>
            <w:vAlign w:val="center"/>
          </w:tcPr>
          <w:p w14:paraId="10CFBA25">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192</w:t>
            </w:r>
          </w:p>
        </w:tc>
        <w:tc>
          <w:tcPr>
            <w:tcW w:w="1862" w:type="dxa"/>
            <w:vAlign w:val="center"/>
          </w:tcPr>
          <w:p w14:paraId="06AC1FC9">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538</w:t>
            </w:r>
          </w:p>
        </w:tc>
      </w:tr>
    </w:tbl>
    <w:p w14:paraId="04532E4A">
      <w:pPr>
        <w:pStyle w:val="14"/>
        <w:numPr>
          <w:ilvl w:val="0"/>
          <w:numId w:val="18"/>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结算方式</w:t>
      </w:r>
    </w:p>
    <w:p w14:paraId="13529619">
      <w:pPr>
        <w:overflowPunct w:val="0"/>
        <w:adjustRightInd w:val="0"/>
        <w:snapToGrid w:val="0"/>
        <w:spacing w:line="360" w:lineRule="auto"/>
        <w:ind w:firstLine="468" w:firstLineChars="200"/>
        <w:jc w:val="left"/>
        <w:rPr>
          <w:rFonts w:hint="eastAsia" w:ascii="宋体" w:hAnsi="宋体" w:eastAsia="宋体" w:cs="宋体"/>
          <w:color w:val="auto"/>
          <w:spacing w:val="-3"/>
          <w:sz w:val="24"/>
          <w:highlight w:val="none"/>
        </w:rPr>
      </w:pPr>
    </w:p>
    <w:p w14:paraId="27E6DAF6">
      <w:pPr>
        <w:overflowPunct w:val="0"/>
        <w:adjustRightInd w:val="0"/>
        <w:snapToGrid w:val="0"/>
        <w:spacing w:line="360" w:lineRule="auto"/>
        <w:ind w:firstLine="468" w:firstLineChars="200"/>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①实行月结方式进行结算，经甲方验收，每批所供物资质量均达到相关质量标准，且认真履行服务承诺，乙方根据甲方确定的综合执行单价乘以当月实际供货量计算的实际结算费用开具发票，甲方在次月内支付上月费用。若因乙方未及时提供符合要求的发票和文件，导致甲方付款迟延的，甲方不承担逾期付款的违约责任。若乙方在此期间存在违约行为，甲方在扣除相应违约金后支付当月剩余费用。</w:t>
      </w:r>
    </w:p>
    <w:p w14:paraId="4A0058A4">
      <w:pPr>
        <w:overflowPunct w:val="0"/>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②综合执行单价计算办法</w:t>
      </w:r>
    </w:p>
    <w:p w14:paraId="02B01D16">
      <w:pPr>
        <w:overflowPunct w:val="0"/>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综合执行单价=（三门峡市发展和改革委员会同期公布的三门峡市重要农副产品价格表单价×70%+供应商报价×30%）×成交折扣</w:t>
      </w:r>
    </w:p>
    <w:p w14:paraId="10BC0B33">
      <w:pPr>
        <w:overflowPunct w:val="0"/>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注：1、依据三门峡市发展和改革委员会同期公布的三门峡市重要农副产品价格表，最终确定的综合执行单价最高不得高于三门峡市发展和改革委员会同期公布的三门峡市重要农副产品价格表单价的10%。</w:t>
      </w:r>
    </w:p>
    <w:p w14:paraId="65C37F36">
      <w:pPr>
        <w:numPr>
          <w:ilvl w:val="0"/>
          <w:numId w:val="19"/>
        </w:numPr>
        <w:overflowPunct w:val="0"/>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其中三门峡市发展和改革委员会同期公布的三门峡市重要农副产品每日价格表中存在未列明的重要农副产品，综合执行单价按照如下公式计算：</w:t>
      </w:r>
    </w:p>
    <w:p w14:paraId="1225A81C">
      <w:pPr>
        <w:overflowPunct w:val="0"/>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综合执行单价=（本地批发1市场调研单价×40%+本地批发2市场调研单价×30%+供应商报价×30%）×成交折扣</w:t>
      </w:r>
    </w:p>
    <w:p w14:paraId="07A73938">
      <w:pPr>
        <w:numPr>
          <w:ilvl w:val="0"/>
          <w:numId w:val="20"/>
        </w:numPr>
        <w:overflowPunct w:val="0"/>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（报价）货物执行标准</w:t>
      </w:r>
    </w:p>
    <w:p w14:paraId="7F8B2E0B">
      <w:pPr>
        <w:overflowPunct w:val="0"/>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食用禽蛋执行 GB 4789.1-2016 国家标准、蔬菜符合质量安全要求。</w:t>
      </w:r>
    </w:p>
    <w:p w14:paraId="392CFDEC">
      <w:pPr>
        <w:pStyle w:val="14"/>
        <w:spacing w:line="360" w:lineRule="auto"/>
        <w:ind w:left="420" w:leftChars="200"/>
        <w:rPr>
          <w:rFonts w:ascii="宋体" w:hAnsi="宋体" w:eastAsia="宋体" w:cs="宋体"/>
          <w:b/>
          <w:bCs/>
          <w:sz w:val="28"/>
          <w:szCs w:val="28"/>
        </w:rPr>
      </w:pPr>
    </w:p>
    <w:p w14:paraId="22C84BE0">
      <w:pPr>
        <w:pStyle w:val="14"/>
        <w:spacing w:line="360" w:lineRule="auto"/>
        <w:ind w:left="420" w:leftChars="200"/>
        <w:rPr>
          <w:rFonts w:ascii="宋体" w:hAnsi="宋体" w:eastAsia="宋体" w:cs="宋体"/>
          <w:b/>
          <w:bCs/>
          <w:sz w:val="28"/>
          <w:szCs w:val="28"/>
        </w:rPr>
      </w:pPr>
    </w:p>
    <w:p w14:paraId="05514335">
      <w:pPr>
        <w:pStyle w:val="14"/>
        <w:spacing w:line="360" w:lineRule="auto"/>
        <w:ind w:left="420" w:leftChars="200"/>
        <w:rPr>
          <w:rFonts w:ascii="宋体" w:hAnsi="宋体" w:eastAsia="宋体" w:cs="宋体"/>
          <w:b/>
          <w:bCs/>
          <w:sz w:val="28"/>
          <w:szCs w:val="28"/>
        </w:rPr>
      </w:pPr>
    </w:p>
    <w:p w14:paraId="76D2182C">
      <w:pPr>
        <w:pStyle w:val="14"/>
        <w:spacing w:line="360" w:lineRule="auto"/>
        <w:ind w:left="420" w:leftChars="200"/>
        <w:rPr>
          <w:rFonts w:ascii="宋体" w:hAnsi="宋体" w:eastAsia="宋体" w:cs="宋体"/>
          <w:b/>
          <w:bCs/>
          <w:sz w:val="28"/>
          <w:szCs w:val="28"/>
        </w:rPr>
      </w:pPr>
    </w:p>
    <w:p w14:paraId="5FB9CA32">
      <w:pPr>
        <w:pStyle w:val="14"/>
        <w:spacing w:line="360" w:lineRule="auto"/>
        <w:ind w:left="420" w:leftChars="200"/>
        <w:rPr>
          <w:rFonts w:ascii="宋体" w:hAnsi="宋体" w:eastAsia="宋体" w:cs="宋体"/>
          <w:b/>
          <w:bCs/>
          <w:sz w:val="28"/>
          <w:szCs w:val="28"/>
        </w:rPr>
      </w:pPr>
    </w:p>
    <w:p w14:paraId="5C921BC1">
      <w:pPr>
        <w:pStyle w:val="14"/>
        <w:spacing w:line="360" w:lineRule="auto"/>
        <w:ind w:left="420" w:leftChars="200"/>
        <w:rPr>
          <w:rFonts w:ascii="宋体" w:hAnsi="宋体" w:eastAsia="宋体" w:cs="宋体"/>
          <w:b/>
          <w:bCs/>
          <w:sz w:val="28"/>
          <w:szCs w:val="28"/>
        </w:rPr>
      </w:pPr>
    </w:p>
    <w:p w14:paraId="481F1D9C">
      <w:pPr>
        <w:pStyle w:val="14"/>
        <w:spacing w:line="360" w:lineRule="auto"/>
        <w:ind w:left="420" w:leftChars="200"/>
        <w:rPr>
          <w:rFonts w:ascii="宋体" w:hAnsi="宋体" w:eastAsia="宋体" w:cs="宋体"/>
          <w:b/>
          <w:bCs/>
          <w:sz w:val="28"/>
          <w:szCs w:val="28"/>
        </w:rPr>
      </w:pPr>
    </w:p>
    <w:p w14:paraId="424D947F">
      <w:pPr>
        <w:pStyle w:val="14"/>
        <w:spacing w:line="360" w:lineRule="auto"/>
        <w:ind w:left="420" w:leftChars="200"/>
        <w:rPr>
          <w:rFonts w:ascii="宋体" w:hAnsi="宋体" w:eastAsia="宋体" w:cs="宋体"/>
          <w:b/>
          <w:bCs/>
          <w:sz w:val="28"/>
          <w:szCs w:val="28"/>
        </w:rPr>
      </w:pPr>
    </w:p>
    <w:p w14:paraId="5ABBD454">
      <w:pPr>
        <w:pStyle w:val="14"/>
        <w:spacing w:line="360" w:lineRule="auto"/>
        <w:ind w:left="420" w:leftChars="200"/>
        <w:rPr>
          <w:rFonts w:ascii="宋体" w:hAnsi="宋体" w:eastAsia="宋体" w:cs="宋体"/>
          <w:b/>
          <w:bCs/>
          <w:sz w:val="28"/>
          <w:szCs w:val="28"/>
        </w:rPr>
      </w:pPr>
    </w:p>
    <w:p w14:paraId="541AF89B">
      <w:pPr>
        <w:pStyle w:val="14"/>
        <w:spacing w:line="360" w:lineRule="auto"/>
        <w:ind w:left="420" w:leftChars="200"/>
        <w:rPr>
          <w:rFonts w:ascii="宋体" w:hAnsi="宋体" w:eastAsia="宋体" w:cs="宋体"/>
          <w:b/>
          <w:bCs/>
          <w:sz w:val="28"/>
          <w:szCs w:val="28"/>
        </w:rPr>
      </w:pPr>
    </w:p>
    <w:p w14:paraId="2254E460">
      <w:pPr>
        <w:pStyle w:val="14"/>
        <w:spacing w:line="360" w:lineRule="auto"/>
        <w:ind w:left="420" w:leftChars="200"/>
        <w:rPr>
          <w:rFonts w:ascii="宋体" w:hAnsi="宋体" w:eastAsia="宋体" w:cs="宋体"/>
          <w:b/>
          <w:bCs/>
          <w:sz w:val="28"/>
          <w:szCs w:val="28"/>
        </w:rPr>
      </w:pPr>
    </w:p>
    <w:p w14:paraId="08680B7A">
      <w:pPr>
        <w:pStyle w:val="14"/>
        <w:numPr>
          <w:ilvl w:val="0"/>
          <w:numId w:val="16"/>
        </w:numPr>
        <w:spacing w:line="360" w:lineRule="auto"/>
        <w:jc w:val="center"/>
        <w:rPr>
          <w:rFonts w:ascii="宋体" w:hAnsi="宋体" w:cs="宋体"/>
          <w:b/>
          <w:bCs/>
          <w:sz w:val="28"/>
          <w:szCs w:val="28"/>
        </w:rPr>
      </w:pPr>
      <w:r>
        <w:rPr>
          <w:rFonts w:hint="eastAsia" w:ascii="宋体" w:hAnsi="宋体" w:cs="宋体"/>
          <w:b/>
          <w:bCs/>
          <w:sz w:val="28"/>
          <w:szCs w:val="28"/>
        </w:rPr>
        <w:t>合同条款及格式（范本）</w:t>
      </w:r>
    </w:p>
    <w:p w14:paraId="1F070317">
      <w:pPr>
        <w:spacing w:before="218" w:line="220" w:lineRule="auto"/>
        <w:ind w:left="39"/>
        <w:jc w:val="center"/>
        <w:rPr>
          <w:rFonts w:ascii="宋体" w:hAnsi="宋体" w:eastAsia="宋体" w:cs="宋体"/>
          <w:b/>
          <w:bCs/>
          <w:spacing w:val="-11"/>
          <w:sz w:val="24"/>
        </w:rPr>
      </w:pPr>
      <w:r>
        <w:rPr>
          <w:rFonts w:hint="eastAsia" w:ascii="宋体" w:hAnsi="宋体" w:eastAsia="宋体" w:cs="宋体"/>
          <w:b/>
          <w:bCs/>
          <w:sz w:val="36"/>
          <w:szCs w:val="36"/>
        </w:rPr>
        <w:t>义马市消防救援大队义马大队食堂主副食品采购项目合同书</w:t>
      </w:r>
    </w:p>
    <w:p w14:paraId="4EC001C9">
      <w:pPr>
        <w:snapToGrid w:val="0"/>
        <w:spacing w:before="218" w:line="360" w:lineRule="auto"/>
        <w:rPr>
          <w:rFonts w:ascii="宋体" w:hAnsi="宋体" w:eastAsia="宋体" w:cs="宋体"/>
          <w:sz w:val="24"/>
        </w:rPr>
      </w:pPr>
      <w:r>
        <w:rPr>
          <w:rFonts w:hint="eastAsia" w:ascii="宋体" w:hAnsi="宋体" w:eastAsia="宋体" w:cs="宋体"/>
          <w:b/>
          <w:bCs/>
          <w:spacing w:val="-11"/>
          <w:sz w:val="24"/>
        </w:rPr>
        <w:t>甲</w:t>
      </w:r>
      <w:r>
        <w:rPr>
          <w:rFonts w:hint="eastAsia" w:ascii="宋体" w:hAnsi="宋体" w:eastAsia="宋体" w:cs="宋体"/>
          <w:spacing w:val="8"/>
          <w:sz w:val="24"/>
        </w:rPr>
        <w:t xml:space="preserve">  </w:t>
      </w:r>
      <w:r>
        <w:rPr>
          <w:rFonts w:hint="eastAsia" w:ascii="宋体" w:hAnsi="宋体" w:eastAsia="宋体" w:cs="宋体"/>
          <w:b/>
          <w:bCs/>
          <w:spacing w:val="-11"/>
          <w:sz w:val="24"/>
        </w:rPr>
        <w:t>方（需方</w:t>
      </w:r>
      <w:r>
        <w:rPr>
          <w:rFonts w:hint="eastAsia" w:ascii="宋体" w:hAnsi="宋体" w:eastAsia="宋体" w:cs="宋体"/>
          <w:b/>
          <w:bCs/>
          <w:spacing w:val="-3"/>
          <w:sz w:val="24"/>
        </w:rPr>
        <w:t>）：</w:t>
      </w:r>
      <w:r>
        <w:rPr>
          <w:rFonts w:hint="eastAsia" w:ascii="宋体" w:hAnsi="宋体" w:eastAsia="宋体" w:cs="宋体"/>
          <w:b/>
          <w:bCs/>
          <w:spacing w:val="-2"/>
          <w:sz w:val="24"/>
          <w:u w:val="single"/>
        </w:rPr>
        <w:t xml:space="preserve">                           </w:t>
      </w:r>
      <w:r>
        <w:rPr>
          <w:rFonts w:hint="eastAsia" w:ascii="宋体" w:hAnsi="宋体" w:eastAsia="宋体" w:cs="宋体"/>
          <w:spacing w:val="-43"/>
          <w:sz w:val="24"/>
        </w:rPr>
        <w:t xml:space="preserve"> </w:t>
      </w:r>
      <w:r>
        <w:rPr>
          <w:rFonts w:hint="eastAsia" w:ascii="宋体" w:hAnsi="宋体" w:eastAsia="宋体" w:cs="宋体"/>
          <w:spacing w:val="-2"/>
          <w:sz w:val="24"/>
        </w:rPr>
        <w:t>(以下简称甲方)</w:t>
      </w:r>
    </w:p>
    <w:p w14:paraId="06DC4B70">
      <w:pPr>
        <w:pStyle w:val="8"/>
        <w:snapToGrid w:val="0"/>
        <w:spacing w:before="185" w:line="360" w:lineRule="auto"/>
        <w:rPr>
          <w:rFonts w:ascii="宋体" w:hAnsi="宋体" w:eastAsia="宋体" w:cs="宋体"/>
          <w:sz w:val="24"/>
        </w:rPr>
      </w:pPr>
      <w:r>
        <w:rPr>
          <w:rFonts w:hint="eastAsia" w:ascii="宋体" w:hAnsi="宋体" w:eastAsia="宋体" w:cs="宋体"/>
          <w:b/>
          <w:bCs/>
          <w:spacing w:val="-10"/>
          <w:sz w:val="24"/>
        </w:rPr>
        <w:t>乙</w:t>
      </w:r>
      <w:r>
        <w:rPr>
          <w:rFonts w:hint="eastAsia" w:ascii="宋体" w:hAnsi="宋体" w:eastAsia="宋体" w:cs="宋体"/>
          <w:spacing w:val="8"/>
          <w:sz w:val="24"/>
        </w:rPr>
        <w:t xml:space="preserve">  </w:t>
      </w:r>
      <w:r>
        <w:rPr>
          <w:rFonts w:hint="eastAsia" w:ascii="宋体" w:hAnsi="宋体" w:eastAsia="宋体" w:cs="宋体"/>
          <w:b/>
          <w:bCs/>
          <w:spacing w:val="-10"/>
          <w:sz w:val="24"/>
        </w:rPr>
        <w:t>方（供方）</w:t>
      </w:r>
      <w:r>
        <w:rPr>
          <w:rFonts w:hint="eastAsia" w:ascii="宋体" w:hAnsi="宋体" w:eastAsia="宋体" w:cs="宋体"/>
          <w:b/>
          <w:bCs/>
          <w:spacing w:val="-2"/>
          <w:sz w:val="24"/>
        </w:rPr>
        <w:t>：</w:t>
      </w:r>
      <w:r>
        <w:rPr>
          <w:rFonts w:hint="eastAsia" w:ascii="宋体" w:hAnsi="宋体" w:eastAsia="宋体" w:cs="宋体"/>
          <w:b/>
          <w:bCs/>
          <w:spacing w:val="5"/>
          <w:sz w:val="24"/>
          <w:u w:val="single"/>
        </w:rPr>
        <w:t xml:space="preserve">                        </w:t>
      </w:r>
      <w:r>
        <w:rPr>
          <w:rFonts w:hint="eastAsia" w:ascii="宋体" w:hAnsi="宋体" w:eastAsia="宋体" w:cs="宋体"/>
          <w:spacing w:val="5"/>
          <w:sz w:val="24"/>
        </w:rPr>
        <w:t>(以下简</w:t>
      </w:r>
      <w:r>
        <w:rPr>
          <w:rFonts w:hint="eastAsia" w:ascii="宋体" w:hAnsi="宋体" w:eastAsia="宋体" w:cs="宋体"/>
          <w:spacing w:val="4"/>
          <w:sz w:val="24"/>
        </w:rPr>
        <w:t>称乙方)</w:t>
      </w:r>
    </w:p>
    <w:p w14:paraId="626BB176">
      <w:pPr>
        <w:spacing w:before="78" w:line="359" w:lineRule="auto"/>
        <w:ind w:left="11" w:right="75" w:firstLine="478"/>
        <w:rPr>
          <w:rFonts w:ascii="宋体" w:hAnsi="宋体" w:eastAsia="宋体" w:cs="宋体"/>
          <w:b/>
          <w:bCs/>
          <w:spacing w:val="-3"/>
          <w:sz w:val="24"/>
        </w:rPr>
      </w:pPr>
      <w:r>
        <w:rPr>
          <w:rFonts w:ascii="宋体" w:hAnsi="宋体" w:eastAsia="宋体" w:cs="宋体"/>
          <w:sz w:val="24"/>
        </w:rPr>
        <w:t>根据《中华人民共和国政府采购法》《中华人民共和国</w:t>
      </w:r>
      <w:r>
        <w:rPr>
          <w:rFonts w:ascii="宋体" w:hAnsi="宋体" w:eastAsia="宋体" w:cs="宋体"/>
          <w:spacing w:val="-1"/>
          <w:sz w:val="24"/>
        </w:rPr>
        <w:t>民法典》</w:t>
      </w:r>
      <w:r>
        <w:rPr>
          <w:rFonts w:hint="eastAsia" w:ascii="宋体" w:hAnsi="宋体" w:cs="宋体"/>
          <w:spacing w:val="-1"/>
          <w:sz w:val="24"/>
        </w:rPr>
        <w:t>等</w:t>
      </w:r>
      <w:r>
        <w:rPr>
          <w:rFonts w:ascii="宋体" w:hAnsi="宋体" w:eastAsia="宋体" w:cs="宋体"/>
          <w:spacing w:val="-1"/>
          <w:sz w:val="24"/>
        </w:rPr>
        <w:t>与项目行业有关的法律法规，以及</w:t>
      </w:r>
      <w:r>
        <w:rPr>
          <w:rFonts w:ascii="宋体" w:hAnsi="宋体" w:eastAsia="宋体" w:cs="宋体"/>
          <w:spacing w:val="-1"/>
          <w:sz w:val="24"/>
          <w:u w:val="single"/>
        </w:rPr>
        <w:t xml:space="preserve">  </w:t>
      </w:r>
      <w:r>
        <w:rPr>
          <w:rFonts w:hint="eastAsia" w:ascii="宋体" w:hAnsi="宋体" w:cs="宋体"/>
          <w:spacing w:val="-1"/>
          <w:sz w:val="24"/>
          <w:u w:val="single"/>
        </w:rPr>
        <w:t xml:space="preserve">                       </w:t>
      </w:r>
      <w:r>
        <w:rPr>
          <w:rFonts w:ascii="宋体" w:hAnsi="宋体" w:eastAsia="宋体" w:cs="宋体"/>
          <w:spacing w:val="-1"/>
          <w:sz w:val="24"/>
          <w:u w:val="single"/>
        </w:rPr>
        <w:t xml:space="preserve">  </w:t>
      </w:r>
      <w:r>
        <w:rPr>
          <w:rFonts w:ascii="宋体" w:hAnsi="宋体" w:eastAsia="宋体" w:cs="宋体"/>
          <w:spacing w:val="-99"/>
          <w:sz w:val="24"/>
        </w:rPr>
        <w:t xml:space="preserve"> </w:t>
      </w:r>
      <w:r>
        <w:rPr>
          <w:rFonts w:ascii="宋体" w:hAnsi="宋体" w:eastAsia="宋体" w:cs="宋体"/>
          <w:spacing w:val="-1"/>
          <w:sz w:val="24"/>
        </w:rPr>
        <w:t>项目</w:t>
      </w:r>
      <w:r>
        <w:rPr>
          <w:rFonts w:hint="eastAsia" w:ascii="宋体" w:hAnsi="宋体" w:cs="宋体"/>
          <w:spacing w:val="-1"/>
          <w:sz w:val="24"/>
        </w:rPr>
        <w:t>（</w:t>
      </w:r>
      <w:r>
        <w:rPr>
          <w:rFonts w:ascii="宋体" w:hAnsi="宋体" w:eastAsia="宋体" w:cs="宋体"/>
          <w:sz w:val="24"/>
        </w:rPr>
        <w:t xml:space="preserve">项目编号： </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cs="宋体"/>
          <w:sz w:val="24"/>
        </w:rPr>
        <w:t>）</w:t>
      </w:r>
      <w:r>
        <w:rPr>
          <w:rFonts w:ascii="宋体" w:hAnsi="宋体" w:eastAsia="宋体" w:cs="宋体"/>
          <w:sz w:val="24"/>
        </w:rPr>
        <w:t>的《</w:t>
      </w:r>
      <w:r>
        <w:rPr>
          <w:rFonts w:hint="eastAsia" w:ascii="宋体" w:hAnsi="宋体" w:eastAsia="宋体" w:cs="宋体"/>
          <w:sz w:val="24"/>
          <w:lang w:val="en-US" w:eastAsia="zh-CN"/>
        </w:rPr>
        <w:t>磋商</w:t>
      </w:r>
      <w:r>
        <w:rPr>
          <w:rFonts w:ascii="宋体" w:hAnsi="宋体" w:eastAsia="宋体" w:cs="宋体"/>
          <w:sz w:val="24"/>
        </w:rPr>
        <w:t>文件》，</w:t>
      </w:r>
      <w:r>
        <w:rPr>
          <w:rFonts w:hint="eastAsia" w:ascii="宋体" w:hAnsi="宋体" w:eastAsia="宋体" w:cs="宋体"/>
          <w:sz w:val="24"/>
          <w:lang w:val="en-US" w:eastAsia="zh-CN"/>
        </w:rPr>
        <w:t>供应商</w:t>
      </w:r>
      <w:r>
        <w:rPr>
          <w:rFonts w:ascii="宋体" w:hAnsi="宋体" w:eastAsia="宋体" w:cs="宋体"/>
          <w:sz w:val="24"/>
        </w:rPr>
        <w:t>的《响应文件》及《成交通知书》，</w:t>
      </w:r>
      <w:r>
        <w:rPr>
          <w:rFonts w:hint="eastAsia" w:ascii="宋体" w:hAnsi="宋体" w:eastAsia="宋体" w:cs="宋体"/>
          <w:sz w:val="24"/>
        </w:rPr>
        <w:t>遵循平等、自愿、 公平和诚实信用的原则，甲、乙双方就本采购项目协商一致，同意签订本合同</w:t>
      </w:r>
      <w:r>
        <w:rPr>
          <w:rFonts w:ascii="宋体" w:hAnsi="宋体" w:eastAsia="宋体" w:cs="宋体"/>
          <w:sz w:val="24"/>
        </w:rPr>
        <w:t>。详细技术说明及其他有关合同项目的特定信息由合同附件予以说明，合同附件及本项目的《</w:t>
      </w:r>
      <w:r>
        <w:rPr>
          <w:rFonts w:hint="eastAsia" w:ascii="宋体" w:hAnsi="宋体" w:eastAsia="宋体" w:cs="宋体"/>
          <w:sz w:val="24"/>
          <w:lang w:val="en-US" w:eastAsia="zh-CN"/>
        </w:rPr>
        <w:t>磋商</w:t>
      </w:r>
      <w:r>
        <w:rPr>
          <w:rFonts w:ascii="宋体" w:hAnsi="宋体" w:eastAsia="宋体" w:cs="宋体"/>
          <w:spacing w:val="-1"/>
          <w:sz w:val="24"/>
        </w:rPr>
        <w:t>文件》、《响应文件》、</w:t>
      </w:r>
      <w:r>
        <w:rPr>
          <w:rFonts w:hint="eastAsia" w:ascii="宋体" w:hAnsi="宋体" w:cs="宋体"/>
          <w:spacing w:val="-1"/>
          <w:sz w:val="24"/>
        </w:rPr>
        <w:t>《</w:t>
      </w:r>
      <w:r>
        <w:rPr>
          <w:rFonts w:hint="eastAsia" w:ascii="宋体" w:hAnsi="宋体" w:eastAsia="宋体" w:cs="宋体"/>
          <w:spacing w:val="-1"/>
          <w:sz w:val="24"/>
          <w:lang w:val="en-US" w:eastAsia="zh-CN"/>
        </w:rPr>
        <w:t>成交</w:t>
      </w:r>
      <w:r>
        <w:rPr>
          <w:rFonts w:ascii="宋体" w:hAnsi="宋体" w:eastAsia="宋体" w:cs="宋体"/>
          <w:spacing w:val="-1"/>
          <w:sz w:val="24"/>
        </w:rPr>
        <w:t>通知书》等均为本合同的组成部分。</w:t>
      </w:r>
    </w:p>
    <w:p w14:paraId="00C4DA21">
      <w:pPr>
        <w:snapToGrid w:val="0"/>
        <w:spacing w:before="109" w:line="360" w:lineRule="auto"/>
        <w:ind w:left="7" w:right="87" w:firstLine="470" w:firstLineChars="200"/>
        <w:rPr>
          <w:rFonts w:ascii="宋体" w:hAnsi="宋体" w:eastAsia="宋体" w:cs="宋体"/>
          <w:b/>
          <w:bCs/>
          <w:spacing w:val="-3"/>
          <w:sz w:val="24"/>
        </w:rPr>
      </w:pPr>
      <w:r>
        <w:rPr>
          <w:rFonts w:hint="eastAsia" w:ascii="宋体" w:hAnsi="宋体" w:eastAsia="宋体" w:cs="宋体"/>
          <w:b/>
          <w:bCs/>
          <w:spacing w:val="-3"/>
          <w:sz w:val="24"/>
        </w:rPr>
        <w:t>一、合同标的</w:t>
      </w:r>
    </w:p>
    <w:p w14:paraId="08545E34">
      <w:pPr>
        <w:snapToGrid w:val="0"/>
        <w:spacing w:before="109" w:line="360" w:lineRule="auto"/>
        <w:ind w:left="7" w:right="87" w:firstLine="480" w:firstLineChars="200"/>
        <w:rPr>
          <w:rFonts w:ascii="宋体" w:hAnsi="宋体" w:eastAsia="宋体" w:cs="宋体"/>
          <w:sz w:val="24"/>
        </w:rPr>
      </w:pPr>
      <w:r>
        <w:rPr>
          <w:rFonts w:hint="eastAsia" w:ascii="宋体" w:hAnsi="宋体" w:eastAsia="宋体" w:cs="宋体"/>
          <w:sz w:val="24"/>
        </w:rPr>
        <w:t>1.乙方负责在合同有效期内向甲方食堂供应配送食材。(具体配送范围包括但不限于： 蔬果、禽蛋、禽畜肉、水产品、饮品、米面粮油、调料干杂等食材（详见供货明细表，附后），甲方可根据实际需要选择货品。如甲方另有需求，乙方均可供货。</w:t>
      </w:r>
    </w:p>
    <w:p w14:paraId="410AFA56">
      <w:pPr>
        <w:snapToGrid w:val="0"/>
        <w:spacing w:before="109" w:line="360" w:lineRule="auto"/>
        <w:ind w:left="7" w:right="87" w:firstLine="480" w:firstLineChars="200"/>
        <w:rPr>
          <w:rFonts w:ascii="宋体" w:hAnsi="宋体" w:eastAsia="宋体" w:cs="宋体"/>
          <w:sz w:val="24"/>
        </w:rPr>
      </w:pPr>
      <w:r>
        <w:rPr>
          <w:rFonts w:hint="eastAsia" w:ascii="宋体" w:hAnsi="宋体" w:eastAsia="宋体" w:cs="宋体"/>
          <w:sz w:val="24"/>
        </w:rPr>
        <w:t>2.乙方所供货物必须符合下列要求：</w:t>
      </w:r>
    </w:p>
    <w:p w14:paraId="469DE76B">
      <w:pPr>
        <w:snapToGrid w:val="0"/>
        <w:spacing w:before="109" w:line="360" w:lineRule="auto"/>
        <w:ind w:left="7" w:right="87" w:firstLine="480" w:firstLineChars="200"/>
        <w:rPr>
          <w:rFonts w:ascii="宋体" w:hAnsi="宋体" w:eastAsia="宋体" w:cs="宋体"/>
          <w:sz w:val="24"/>
        </w:rPr>
      </w:pPr>
      <w:r>
        <w:rPr>
          <w:rFonts w:hint="eastAsia" w:ascii="宋体" w:hAnsi="宋体" w:eastAsia="宋体" w:cs="宋体"/>
          <w:sz w:val="24"/>
        </w:rPr>
        <w:t>（1）所供货物必须符合国家或行业主管部门执行的有关营养、卫生等质量标准、 符合响应文件中响应的技术指标要求。</w:t>
      </w:r>
    </w:p>
    <w:p w14:paraId="085048AD">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（2）未经甲方允许，不得提供未经检验或未取得相关部门允许批量生产的新产品或试制品。</w:t>
      </w:r>
    </w:p>
    <w:p w14:paraId="53B3FA32">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（3）乙方所供货物必须具有质量检验合格证、产品检验检疫证等。</w:t>
      </w:r>
    </w:p>
    <w:p w14:paraId="5BF5E044">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（4）所供货物必须严格按照响应文件中所报货物生产厂家、品牌一致的货物。</w:t>
      </w:r>
    </w:p>
    <w:p w14:paraId="4C60C547">
      <w:pPr>
        <w:snapToGrid w:val="0"/>
        <w:spacing w:before="109" w:line="360" w:lineRule="auto"/>
        <w:ind w:left="7" w:right="87" w:firstLine="470" w:firstLineChars="200"/>
        <w:rPr>
          <w:rFonts w:ascii="宋体" w:hAnsi="宋体" w:eastAsia="宋体" w:cs="宋体"/>
          <w:b/>
          <w:bCs/>
          <w:spacing w:val="-3"/>
          <w:sz w:val="24"/>
        </w:rPr>
      </w:pPr>
      <w:r>
        <w:rPr>
          <w:rFonts w:hint="eastAsia" w:ascii="宋体" w:hAnsi="宋体" w:eastAsia="宋体" w:cs="宋体"/>
          <w:b/>
          <w:bCs/>
          <w:spacing w:val="-3"/>
          <w:sz w:val="24"/>
        </w:rPr>
        <w:t>二、供货期限</w:t>
      </w:r>
    </w:p>
    <w:p w14:paraId="1522CB31">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自</w:t>
      </w:r>
      <w:r>
        <w:rPr>
          <w:rFonts w:hint="eastAsia" w:ascii="宋体" w:hAnsi="宋体" w:eastAsia="宋体" w:cs="宋体"/>
          <w:spacing w:val="-3"/>
          <w:sz w:val="24"/>
          <w:u w:val="single"/>
        </w:rPr>
        <w:t xml:space="preserve">      </w:t>
      </w:r>
      <w:r>
        <w:rPr>
          <w:rFonts w:hint="eastAsia" w:ascii="宋体" w:hAnsi="宋体" w:eastAsia="宋体" w:cs="宋体"/>
          <w:spacing w:val="-3"/>
          <w:sz w:val="24"/>
        </w:rPr>
        <w:t>年</w:t>
      </w:r>
      <w:r>
        <w:rPr>
          <w:rFonts w:hint="eastAsia" w:ascii="宋体" w:hAnsi="宋体" w:eastAsia="宋体" w:cs="宋体"/>
          <w:spacing w:val="-3"/>
          <w:sz w:val="24"/>
          <w:u w:val="single"/>
        </w:rPr>
        <w:t xml:space="preserve">   </w:t>
      </w:r>
      <w:r>
        <w:rPr>
          <w:rFonts w:hint="eastAsia" w:ascii="宋体" w:hAnsi="宋体" w:eastAsia="宋体" w:cs="宋体"/>
          <w:spacing w:val="-3"/>
          <w:sz w:val="24"/>
        </w:rPr>
        <w:t>月</w:t>
      </w:r>
      <w:r>
        <w:rPr>
          <w:rFonts w:hint="eastAsia" w:ascii="宋体" w:hAnsi="宋体" w:eastAsia="宋体" w:cs="宋体"/>
          <w:spacing w:val="-3"/>
          <w:sz w:val="24"/>
          <w:u w:val="single"/>
        </w:rPr>
        <w:t xml:space="preserve">  </w:t>
      </w:r>
      <w:r>
        <w:rPr>
          <w:rFonts w:hint="eastAsia" w:ascii="宋体" w:hAnsi="宋体" w:eastAsia="宋体" w:cs="宋体"/>
          <w:spacing w:val="-3"/>
          <w:sz w:val="24"/>
        </w:rPr>
        <w:t>日起至</w:t>
      </w:r>
      <w:r>
        <w:rPr>
          <w:rFonts w:hint="eastAsia" w:ascii="宋体" w:hAnsi="宋体" w:eastAsia="宋体" w:cs="宋体"/>
          <w:spacing w:val="-3"/>
          <w:sz w:val="24"/>
          <w:u w:val="single"/>
        </w:rPr>
        <w:t xml:space="preserve">  </w:t>
      </w:r>
      <w:r>
        <w:rPr>
          <w:rFonts w:hint="eastAsia" w:ascii="宋体" w:hAnsi="宋体" w:cs="宋体"/>
          <w:spacing w:val="-3"/>
          <w:sz w:val="24"/>
          <w:u w:val="single"/>
        </w:rPr>
        <w:t xml:space="preserve">  </w:t>
      </w:r>
      <w:r>
        <w:rPr>
          <w:rFonts w:hint="eastAsia" w:ascii="宋体" w:hAnsi="宋体" w:eastAsia="宋体" w:cs="宋体"/>
          <w:spacing w:val="-3"/>
          <w:sz w:val="24"/>
          <w:u w:val="single"/>
        </w:rPr>
        <w:t xml:space="preserve">  </w:t>
      </w:r>
      <w:r>
        <w:rPr>
          <w:rFonts w:hint="eastAsia" w:ascii="宋体" w:hAnsi="宋体" w:eastAsia="宋体" w:cs="宋体"/>
          <w:spacing w:val="-3"/>
          <w:sz w:val="24"/>
        </w:rPr>
        <w:t>年</w:t>
      </w:r>
      <w:r>
        <w:rPr>
          <w:rFonts w:hint="eastAsia" w:ascii="宋体" w:hAnsi="宋体" w:eastAsia="宋体" w:cs="宋体"/>
          <w:spacing w:val="-3"/>
          <w:sz w:val="24"/>
          <w:u w:val="single"/>
        </w:rPr>
        <w:t xml:space="preserve">   </w:t>
      </w:r>
      <w:r>
        <w:rPr>
          <w:rFonts w:hint="eastAsia" w:ascii="宋体" w:hAnsi="宋体" w:eastAsia="宋体" w:cs="宋体"/>
          <w:spacing w:val="-3"/>
          <w:sz w:val="24"/>
        </w:rPr>
        <w:t>月</w:t>
      </w:r>
      <w:r>
        <w:rPr>
          <w:rFonts w:hint="eastAsia" w:ascii="宋体" w:hAnsi="宋体" w:eastAsia="宋体" w:cs="宋体"/>
          <w:spacing w:val="-3"/>
          <w:sz w:val="24"/>
          <w:u w:val="single"/>
        </w:rPr>
        <w:t xml:space="preserve">   </w:t>
      </w:r>
      <w:r>
        <w:rPr>
          <w:rFonts w:hint="eastAsia" w:ascii="宋体" w:hAnsi="宋体" w:eastAsia="宋体" w:cs="宋体"/>
          <w:spacing w:val="-3"/>
          <w:sz w:val="24"/>
        </w:rPr>
        <w:t>日止。</w:t>
      </w:r>
    </w:p>
    <w:p w14:paraId="282F2E42">
      <w:pPr>
        <w:snapToGrid w:val="0"/>
        <w:spacing w:before="109" w:line="360" w:lineRule="auto"/>
        <w:ind w:left="7" w:right="87" w:firstLine="470" w:firstLineChars="200"/>
        <w:rPr>
          <w:rFonts w:ascii="宋体" w:hAnsi="宋体" w:eastAsia="宋体" w:cs="宋体"/>
          <w:b/>
          <w:bCs/>
          <w:spacing w:val="-3"/>
          <w:sz w:val="24"/>
        </w:rPr>
      </w:pPr>
      <w:r>
        <w:rPr>
          <w:rFonts w:hint="eastAsia" w:ascii="宋体" w:hAnsi="宋体" w:eastAsia="宋体" w:cs="宋体"/>
          <w:b/>
          <w:bCs/>
          <w:spacing w:val="-3"/>
          <w:sz w:val="24"/>
        </w:rPr>
        <w:t>三、成交折扣</w:t>
      </w:r>
    </w:p>
    <w:p w14:paraId="00F366F4">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1.成交折扣：</w:t>
      </w:r>
    </w:p>
    <w:p w14:paraId="755633D7">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成交折扣：应支付金额的</w:t>
      </w:r>
      <w:r>
        <w:rPr>
          <w:rFonts w:hint="eastAsia" w:ascii="宋体" w:hAnsi="宋体" w:eastAsia="宋体" w:cs="宋体"/>
          <w:spacing w:val="-3"/>
          <w:sz w:val="24"/>
          <w:u w:val="single"/>
        </w:rPr>
        <w:t xml:space="preserve">    %</w:t>
      </w:r>
    </w:p>
    <w:p w14:paraId="5C6CC63B">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根据成交折扣计算出的实际支付金额包含所供货物价格、运送到甲方指定地点所发生的运费、装卸费、调换等环节所发生的费用及其他相关费用和所需缴纳的一切相关税费。该成交金额为合同执行最高限价，实际支付金额不得超过该合同金额。成交折扣在整个合同执行过程中，不因国家政策变化而变动。</w:t>
      </w:r>
    </w:p>
    <w:p w14:paraId="4AEABA16">
      <w:pPr>
        <w:snapToGrid w:val="0"/>
        <w:spacing w:before="109" w:line="360" w:lineRule="auto"/>
        <w:ind w:left="7" w:right="87" w:firstLine="470" w:firstLineChars="200"/>
        <w:rPr>
          <w:rFonts w:ascii="宋体" w:hAnsi="宋体" w:eastAsia="宋体" w:cs="宋体"/>
          <w:b/>
          <w:bCs/>
          <w:spacing w:val="-3"/>
          <w:sz w:val="24"/>
        </w:rPr>
      </w:pPr>
      <w:r>
        <w:rPr>
          <w:rFonts w:hint="eastAsia" w:ascii="宋体" w:hAnsi="宋体" w:eastAsia="宋体" w:cs="宋体"/>
          <w:b/>
          <w:bCs/>
          <w:spacing w:val="-3"/>
          <w:sz w:val="24"/>
        </w:rPr>
        <w:t>四、执行单价的确定</w:t>
      </w:r>
    </w:p>
    <w:p w14:paraId="228E2893">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（1）甲方组建市场调研组，每</w:t>
      </w:r>
      <w:r>
        <w:rPr>
          <w:rFonts w:hint="eastAsia" w:ascii="宋体" w:hAnsi="宋体" w:eastAsia="宋体" w:cs="宋体"/>
          <w:spacing w:val="-3"/>
          <w:sz w:val="24"/>
          <w:u w:val="single"/>
        </w:rPr>
        <w:t xml:space="preserve">       </w:t>
      </w:r>
      <w:r>
        <w:rPr>
          <w:rFonts w:hint="eastAsia" w:ascii="宋体" w:hAnsi="宋体" w:eastAsia="宋体" w:cs="宋体"/>
          <w:spacing w:val="-3"/>
          <w:sz w:val="24"/>
        </w:rPr>
        <w:t>日为一个期限，确定一次执行单价，对所有所需货物进行市场询价。询价范围：本地批零市场（含超市）</w:t>
      </w:r>
    </w:p>
    <w:p w14:paraId="4CA7D326">
      <w:pPr>
        <w:snapToGrid w:val="0"/>
        <w:spacing w:before="109" w:line="360" w:lineRule="auto"/>
        <w:ind w:left="7" w:right="87" w:firstLine="470" w:firstLineChars="200"/>
        <w:rPr>
          <w:rFonts w:ascii="宋体" w:hAnsi="宋体" w:eastAsia="宋体" w:cs="宋体"/>
          <w:b/>
          <w:bCs/>
          <w:spacing w:val="-3"/>
          <w:sz w:val="24"/>
        </w:rPr>
      </w:pPr>
      <w:r>
        <w:rPr>
          <w:rFonts w:hint="eastAsia" w:ascii="宋体" w:hAnsi="宋体" w:eastAsia="宋体" w:cs="宋体"/>
          <w:b/>
          <w:bCs/>
          <w:spacing w:val="-3"/>
          <w:sz w:val="24"/>
        </w:rPr>
        <w:t>（2）综合执行单价=（三门峡市发展和改革委员会同期公布的三门峡市重要农副产品每日价格表单价×70%+供应商报价×30%）×成交折扣</w:t>
      </w:r>
    </w:p>
    <w:p w14:paraId="1DC3D979">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注：1、依据三门峡市发展和改革委员会同期公布的三门峡市重要农副产品价格表，最终确定的综合执行单价最高不得高于三门峡市发展和改革委员会同期公布的三门峡市重要农副产品价格表单价的10%。</w:t>
      </w:r>
    </w:p>
    <w:p w14:paraId="548DE4B7">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2、其中三门峡市发展和改革委员会同期公布的三门峡市重要农副产品每日价格表中存在未列明的重要农副产品，综合执行单价按照如下公式计算：</w:t>
      </w:r>
    </w:p>
    <w:p w14:paraId="29EE135D">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综合执行单价=（本地批发1市场调研单价×40%+本地批发2市场调研单价×30%+供应商报价×30%）×成交折扣</w:t>
      </w:r>
    </w:p>
    <w:p w14:paraId="28CD21B3">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3）如遇货物价格上涨幅度较大，乙方需要调整货物供应价格，必须向甲方提交书面申请和相关证明材料。甲方对市场进行询价后，根据询价结果对申请进行审批。如确需调整价格，调整后价格由双方签字确认。</w:t>
      </w:r>
    </w:p>
    <w:p w14:paraId="64867D97">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（4）如市场价格下浮低于执行价格，乙方必须立即调整货物供应价格，如甲方询价结果明显低于供应价格，甲方有权对乙方进行处罚，同时按照市场下浮价格进行结算，并有权选择解除合同，要求乙方承担</w:t>
      </w:r>
      <w:r>
        <w:rPr>
          <w:rFonts w:hint="eastAsia" w:ascii="宋体" w:hAnsi="宋体" w:eastAsia="宋体" w:cs="宋体"/>
          <w:spacing w:val="-3"/>
          <w:sz w:val="24"/>
          <w:u w:val="single"/>
        </w:rPr>
        <w:t xml:space="preserve">             </w:t>
      </w:r>
      <w:r>
        <w:rPr>
          <w:rFonts w:hint="eastAsia" w:ascii="宋体" w:hAnsi="宋体" w:eastAsia="宋体" w:cs="宋体"/>
          <w:spacing w:val="-3"/>
          <w:sz w:val="24"/>
        </w:rPr>
        <w:t>元（大写：       ）的违约金，赔偿甲方损失。</w:t>
      </w:r>
    </w:p>
    <w:p w14:paraId="42B8C8F8">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（5）如遇国家政策变化发生价格调整，按相关规定执行。</w:t>
      </w:r>
    </w:p>
    <w:p w14:paraId="2C129E31">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spacing w:val="-3"/>
          <w:sz w:val="24"/>
        </w:rPr>
        <w:t>（6）确定的综合执行单价，包括货物价格、将货物运送至甲方指定地点所发生的运</w:t>
      </w:r>
      <w:r>
        <w:rPr>
          <w:rFonts w:hint="eastAsia" w:ascii="宋体" w:hAnsi="宋体" w:eastAsia="宋体" w:cs="宋体"/>
          <w:color w:val="000000"/>
          <w:spacing w:val="-3"/>
          <w:sz w:val="24"/>
        </w:rPr>
        <w:t>费、装卸费、货物调换费及所需缴纳的相关税费等费用。</w:t>
      </w:r>
    </w:p>
    <w:p w14:paraId="594FEE07">
      <w:pPr>
        <w:snapToGrid w:val="0"/>
        <w:spacing w:before="109" w:line="360" w:lineRule="auto"/>
        <w:ind w:left="7" w:right="87" w:firstLine="470" w:firstLineChars="200"/>
        <w:rPr>
          <w:rFonts w:ascii="宋体" w:hAnsi="宋体" w:eastAsia="宋体" w:cs="宋体"/>
          <w:b/>
          <w:bCs/>
          <w:color w:val="000000"/>
          <w:spacing w:val="-3"/>
          <w:sz w:val="24"/>
        </w:rPr>
      </w:pPr>
      <w:r>
        <w:rPr>
          <w:rFonts w:hint="eastAsia" w:ascii="宋体" w:hAnsi="宋体" w:eastAsia="宋体" w:cs="宋体"/>
          <w:b/>
          <w:bCs/>
          <w:color w:val="000000"/>
          <w:spacing w:val="-3"/>
          <w:sz w:val="24"/>
        </w:rPr>
        <w:t>五、款项支付</w:t>
      </w:r>
    </w:p>
    <w:p w14:paraId="45A87117">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若因乙方未及时提供符合要求的发票和文件，导致甲方付款迟延的，甲方不承担逾期付款的违约责任。若乙方在此期间存在违约行为，甲方在扣除相应违约金后支付当月剩余费用。</w:t>
      </w:r>
    </w:p>
    <w:p w14:paraId="658A6E97">
      <w:pPr>
        <w:snapToGrid w:val="0"/>
        <w:spacing w:before="109" w:line="360" w:lineRule="auto"/>
        <w:ind w:left="7" w:right="87" w:firstLine="470" w:firstLineChars="200"/>
        <w:rPr>
          <w:rFonts w:ascii="宋体" w:hAnsi="宋体" w:eastAsia="宋体" w:cs="宋体"/>
          <w:color w:val="FF0000"/>
          <w:spacing w:val="-3"/>
          <w:sz w:val="24"/>
        </w:rPr>
      </w:pPr>
      <w:r>
        <w:rPr>
          <w:rFonts w:hint="eastAsia" w:ascii="宋体" w:hAnsi="宋体" w:eastAsia="宋体" w:cs="宋体"/>
          <w:b/>
          <w:bCs/>
          <w:color w:val="000000"/>
          <w:spacing w:val="-3"/>
          <w:sz w:val="24"/>
        </w:rPr>
        <w:t>六、验收</w:t>
      </w:r>
    </w:p>
    <w:p w14:paraId="10DDDD1A">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1．初验：甲方对所供货物进行初验，初验包括但不限于对所供货物的品牌、数量、包装、生产日期、质量检测合格报告、许可证等证明文件进行验收，并做相应记录。经验收，所供货物品牌、规格、数量、生产厂家等与当批次所供货物清单一致，证明材料齐全的，即为初验合格。</w:t>
      </w:r>
    </w:p>
    <w:p w14:paraId="05034372">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2．技术验收：对所供货物初验合格后，对所供货物通过称量、观色、闻味、品尝等方式进行验收，根据国家相关标准进行验收，并对所供货物各项指标均达到国家质量标准并做相应记录。若全部符合响应文件中的技术指标要求，即为验收合格。</w:t>
      </w:r>
    </w:p>
    <w:p w14:paraId="71A72CBD">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3．抽检：甲方随机抽取所供货物，进行质检，若货物质检报告和乙方提供的货物质检报告一致，即为验收合格。</w:t>
      </w:r>
    </w:p>
    <w:p w14:paraId="11AE1289">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4.验收结果：若验收结果完全符合乙方响应文件中技术指标或相关执行标准，经验收组成员签字后，验收结束，并将验收结果通知乙方。否则，以书面形式通知乙方在规定时间内进行整改。</w:t>
      </w:r>
    </w:p>
    <w:p w14:paraId="3F7E3498">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5.甲方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14:paraId="14C799F2">
      <w:pPr>
        <w:snapToGrid w:val="0"/>
        <w:spacing w:before="109" w:line="360" w:lineRule="auto"/>
        <w:ind w:left="7" w:right="87" w:firstLine="470" w:firstLineChars="200"/>
        <w:rPr>
          <w:rFonts w:ascii="宋体" w:hAnsi="宋体" w:eastAsia="宋体" w:cs="宋体"/>
          <w:b/>
          <w:bCs/>
          <w:color w:val="000000"/>
          <w:spacing w:val="-3"/>
          <w:sz w:val="24"/>
        </w:rPr>
      </w:pPr>
      <w:r>
        <w:rPr>
          <w:rFonts w:hint="eastAsia" w:ascii="宋体" w:hAnsi="宋体" w:eastAsia="宋体" w:cs="宋体"/>
          <w:b/>
          <w:bCs/>
          <w:color w:val="000000"/>
          <w:spacing w:val="-3"/>
          <w:sz w:val="24"/>
        </w:rPr>
        <w:t>七、甲方的责任与义务</w:t>
      </w:r>
    </w:p>
    <w:p w14:paraId="40BB8752">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1. 甲方根据实际需求，将供货计划提前至少1天通知乙方，供货计划包括货物品种、数量、配送地点、送达时间等信息。</w:t>
      </w:r>
    </w:p>
    <w:p w14:paraId="7289E4B6">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2．负责对所送达的货物进行称量，根据采购需求、乙方响应文件承诺和国家相关质量标准进行验收，按类摆放入库，并按照相关储存要求进行储存。</w:t>
      </w:r>
    </w:p>
    <w:p w14:paraId="199944FA">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3．负责对各类货物现行价格进行市场询价、并核定综合单价。</w:t>
      </w:r>
    </w:p>
    <w:p w14:paraId="589F2C01">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4．负责对每批查验货物的相关验收证明文件存档。</w:t>
      </w:r>
    </w:p>
    <w:p w14:paraId="6EE26AD4">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5．甲方对乙方所供货物保质期不符合乙方响应文件承诺的或质量不符合乙方响应文件或相关承诺中技术指标的货物有权拒收，并要求乙方在指定的时间内重新提供合格货物，由此造成的损失由乙方承担。</w:t>
      </w:r>
    </w:p>
    <w:p w14:paraId="1D1AF3C5">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6．负责按合同约定的方式支付货款。</w:t>
      </w:r>
    </w:p>
    <w:p w14:paraId="56D71DC9">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7．负责对所供货物进行分发。</w:t>
      </w:r>
    </w:p>
    <w:p w14:paraId="1831164D">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8．因乙方供应货物的质量问题或乙方工作中的其它问题，而导致甲方出现食品安全的任何问题或者造成甲方工作人员受到职能部门处罚、被负面报道、引发群体性事件的，甲方有权立即解除合同，要求乙方承担</w:t>
      </w:r>
      <w:r>
        <w:rPr>
          <w:rFonts w:hint="eastAsia" w:ascii="宋体" w:hAnsi="宋体" w:eastAsia="宋体" w:cs="宋体"/>
          <w:color w:val="000000"/>
          <w:spacing w:val="-3"/>
          <w:sz w:val="24"/>
          <w:u w:val="single"/>
        </w:rPr>
        <w:t xml:space="preserve">      </w:t>
      </w:r>
      <w:r>
        <w:rPr>
          <w:rFonts w:hint="eastAsia" w:ascii="宋体" w:hAnsi="宋体" w:eastAsia="宋体" w:cs="宋体"/>
          <w:color w:val="000000"/>
          <w:spacing w:val="-3"/>
          <w:sz w:val="24"/>
        </w:rPr>
        <w:t>元（大写：）的违约金，同时赔偿甲方、甲方人员、受害人因此遭受的全部损失（包括但不限于直接经济损失、可得利益损失、律师费、诉讼费、鉴定费等合理费用）。</w:t>
      </w:r>
    </w:p>
    <w:p w14:paraId="64301C4E">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9.对综合执行单价负有解释权和执行权。</w:t>
      </w:r>
    </w:p>
    <w:p w14:paraId="06FDAFCC">
      <w:pPr>
        <w:snapToGrid w:val="0"/>
        <w:spacing w:before="109" w:line="360" w:lineRule="auto"/>
        <w:ind w:left="7" w:right="87" w:firstLine="470" w:firstLineChars="200"/>
        <w:rPr>
          <w:rFonts w:ascii="宋体" w:hAnsi="宋体" w:eastAsia="宋体" w:cs="宋体"/>
          <w:b/>
          <w:bCs/>
          <w:color w:val="000000"/>
          <w:spacing w:val="-3"/>
          <w:sz w:val="24"/>
        </w:rPr>
      </w:pPr>
      <w:r>
        <w:rPr>
          <w:rFonts w:hint="eastAsia" w:ascii="宋体" w:hAnsi="宋体" w:eastAsia="宋体" w:cs="宋体"/>
          <w:b/>
          <w:bCs/>
          <w:color w:val="000000"/>
          <w:spacing w:val="-3"/>
          <w:sz w:val="24"/>
        </w:rPr>
        <w:t>八、乙方的权利与义务</w:t>
      </w:r>
    </w:p>
    <w:p w14:paraId="277A7C7E">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1．乙方在接到甲方通知后应及时组织货源，并在指定时间内按甲方要求免费送到指定位置。</w:t>
      </w:r>
    </w:p>
    <w:p w14:paraId="39ADEED6">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2．乙方保证所供货物完全符合《中华人民共和国动物防疫法》、国家食品安全卫生标准和相关质量标准，并按要求提供每批次货物质量检验合格证明文件。</w:t>
      </w:r>
    </w:p>
    <w:p w14:paraId="20F56C9C">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3. 保证所供货物新鲜、不腐烂、不变质。</w:t>
      </w:r>
    </w:p>
    <w:p w14:paraId="1C2D3C4A">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4. 乙方保证使用国家规定的保障运输货物安全的运输工具，包装符合国家食品包装要求，保证运输过程中货物之间不发生交叉污染、不变质。在运送过程中所发生的一切责任事故，均由乙方承担。</w:t>
      </w:r>
    </w:p>
    <w:p w14:paraId="419D439A">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5．乙方保证所供食品原材料保质期不低于原保质期的</w:t>
      </w:r>
      <w:r>
        <w:rPr>
          <w:rFonts w:hint="eastAsia" w:ascii="宋体" w:hAnsi="宋体" w:eastAsia="宋体" w:cs="宋体"/>
          <w:color w:val="000000"/>
          <w:spacing w:val="-3"/>
          <w:sz w:val="24"/>
          <w:u w:val="single"/>
        </w:rPr>
        <w:t xml:space="preserve">         </w:t>
      </w:r>
      <w:r>
        <w:rPr>
          <w:rFonts w:hint="eastAsia" w:ascii="宋体" w:hAnsi="宋体" w:eastAsia="宋体" w:cs="宋体"/>
          <w:color w:val="000000"/>
          <w:spacing w:val="-3"/>
          <w:sz w:val="24"/>
        </w:rPr>
        <w:t>。</w:t>
      </w:r>
    </w:p>
    <w:p w14:paraId="04B96BBA">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6. 乙方如遇货源紧张或无法提供甲方所需货物时，应在供货期</w:t>
      </w:r>
      <w:r>
        <w:rPr>
          <w:rFonts w:hint="eastAsia" w:ascii="宋体" w:hAnsi="宋体" w:eastAsia="宋体" w:cs="宋体"/>
          <w:color w:val="000000"/>
          <w:spacing w:val="-3"/>
          <w:sz w:val="24"/>
          <w:u w:val="single"/>
        </w:rPr>
        <w:t xml:space="preserve">     </w:t>
      </w:r>
      <w:r>
        <w:rPr>
          <w:rFonts w:hint="eastAsia" w:ascii="宋体" w:hAnsi="宋体" w:eastAsia="宋体" w:cs="宋体"/>
          <w:color w:val="000000"/>
          <w:spacing w:val="-3"/>
          <w:sz w:val="24"/>
        </w:rPr>
        <w:t>小时前通知甲方，以便甲方提前备货，避免因不能供货造成的损失。</w:t>
      </w:r>
    </w:p>
    <w:p w14:paraId="495792F2">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7．乙方按甲方要求，除对现行价格按期进行申报外，有权对综合执行单价提出异议。</w:t>
      </w:r>
    </w:p>
    <w:p w14:paraId="275D702C">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8．因乙方供应货物的质量问题或乙方工作中的其它问题，而导致甲方出现食品安全的任何问题，或者造成甲方工作人员受到职能部门处罚、被负面报道、引发群体性事件的，乙方承担由此造成的一切经济损失与法律责任。</w:t>
      </w:r>
    </w:p>
    <w:p w14:paraId="57031847">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9．所供货物存在不符合响应文件技术指标要求或不能按合同规定时间供货或出现“三无”产品等任何问题，按本合同相关约定承担相应的违约责任。</w:t>
      </w:r>
    </w:p>
    <w:p w14:paraId="40759139">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10．配合甲方完成所供货物的验收。</w:t>
      </w:r>
    </w:p>
    <w:p w14:paraId="79DCB7C4">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11．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759D48CB">
      <w:pPr>
        <w:snapToGrid w:val="0"/>
        <w:spacing w:before="109" w:line="360" w:lineRule="auto"/>
        <w:ind w:left="7" w:right="87" w:firstLine="470" w:firstLineChars="200"/>
        <w:rPr>
          <w:rFonts w:ascii="宋体" w:hAnsi="宋体" w:eastAsia="宋体" w:cs="宋体"/>
          <w:b/>
          <w:bCs/>
          <w:color w:val="000000"/>
          <w:spacing w:val="-3"/>
          <w:sz w:val="24"/>
        </w:rPr>
      </w:pPr>
      <w:r>
        <w:rPr>
          <w:rFonts w:hint="eastAsia" w:ascii="宋体" w:hAnsi="宋体" w:eastAsia="宋体" w:cs="宋体"/>
          <w:b/>
          <w:bCs/>
          <w:color w:val="000000"/>
          <w:spacing w:val="-3"/>
          <w:sz w:val="24"/>
        </w:rPr>
        <w:t>九、甲方违约责任</w:t>
      </w:r>
    </w:p>
    <w:p w14:paraId="1B01BBDE">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1. 甲方无正当理由拒收合同内货物的，甲方向乙方偿付当次货物金额5%的违约金。</w:t>
      </w:r>
    </w:p>
    <w:p w14:paraId="0A2AE6D9">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2. 因甲方变更到货地点，未及时通知乙方，给乙方造成经济损失的，所增加费用由甲方承担。</w:t>
      </w:r>
    </w:p>
    <w:p w14:paraId="03E3231F">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3．甲方未按合同约定的期限支付乙方货款，应以未付款项为基数，按照全国银行同业拆借中心公布的贷款市场报价利率向乙方支付违约金。因财政拨付程序或甲方结算内部程序导致的延期付款除外。</w:t>
      </w:r>
    </w:p>
    <w:p w14:paraId="37AD681A">
      <w:pPr>
        <w:snapToGrid w:val="0"/>
        <w:spacing w:before="109" w:line="360" w:lineRule="auto"/>
        <w:ind w:left="7" w:right="87" w:firstLine="470" w:firstLineChars="200"/>
        <w:rPr>
          <w:rFonts w:ascii="宋体" w:hAnsi="宋体" w:eastAsia="宋体" w:cs="宋体"/>
          <w:b/>
          <w:bCs/>
          <w:color w:val="000000"/>
          <w:spacing w:val="-3"/>
          <w:sz w:val="24"/>
        </w:rPr>
      </w:pPr>
      <w:r>
        <w:rPr>
          <w:rFonts w:hint="eastAsia" w:ascii="宋体" w:hAnsi="宋体" w:eastAsia="宋体" w:cs="宋体"/>
          <w:b/>
          <w:bCs/>
          <w:color w:val="000000"/>
          <w:spacing w:val="-3"/>
          <w:sz w:val="24"/>
        </w:rPr>
        <w:t>十、乙方违约责任</w:t>
      </w:r>
    </w:p>
    <w:p w14:paraId="17848ABE">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1. 乙方无正当理由解除、终止或者明确表示、以自己的行为表示拒不履行本合同的，乙方承担未履行订单金额5%的违约金，同时赔偿因此给甲方造成的所有经济损失。</w:t>
      </w:r>
    </w:p>
    <w:p w14:paraId="4314B527">
      <w:pPr>
        <w:snapToGrid w:val="0"/>
        <w:spacing w:before="109" w:line="360" w:lineRule="auto"/>
        <w:ind w:left="7" w:right="87" w:firstLine="468" w:firstLineChars="200"/>
        <w:rPr>
          <w:rFonts w:ascii="宋体" w:hAnsi="宋体" w:eastAsia="宋体" w:cs="宋体"/>
          <w:b/>
          <w:bCs/>
          <w:color w:val="000000"/>
          <w:spacing w:val="-3"/>
          <w:sz w:val="24"/>
        </w:rPr>
      </w:pPr>
      <w:r>
        <w:rPr>
          <w:rFonts w:hint="eastAsia" w:ascii="宋体" w:hAnsi="宋体" w:eastAsia="宋体" w:cs="宋体"/>
          <w:color w:val="000000"/>
          <w:spacing w:val="-3"/>
          <w:sz w:val="24"/>
        </w:rPr>
        <w:t>2. 乙方所提供货物与甲方要求、响应文件或国家相关质量标准不符时，甲方有权拒收，乙方承担相关检测费用。</w:t>
      </w:r>
      <w:r>
        <w:rPr>
          <w:rFonts w:hint="eastAsia" w:ascii="宋体" w:hAnsi="宋体" w:eastAsia="宋体" w:cs="宋体"/>
          <w:b/>
          <w:bCs/>
          <w:color w:val="000000"/>
          <w:spacing w:val="-3"/>
          <w:sz w:val="24"/>
        </w:rPr>
        <w:t>拒收后，乙方在规定时间内，交付合格物质，未能在甲方规定的期限内交付合格货物，每逾 1 日，乙方承担该计划订单金额 20% 的违约金，逾期超过 10 次，甲方扣除乙方 100% 的履约保证金，并有权解除合同。对解除合同的，乙方须承担</w:t>
      </w:r>
      <w:r>
        <w:rPr>
          <w:rFonts w:hint="eastAsia" w:ascii="宋体" w:hAnsi="宋体" w:eastAsia="宋体" w:cs="宋体"/>
          <w:b/>
          <w:bCs/>
          <w:color w:val="000000"/>
          <w:spacing w:val="-3"/>
          <w:sz w:val="24"/>
          <w:u w:val="single"/>
        </w:rPr>
        <w:t xml:space="preserve">           </w:t>
      </w:r>
      <w:r>
        <w:rPr>
          <w:rFonts w:hint="eastAsia" w:ascii="宋体" w:hAnsi="宋体" w:eastAsia="宋体" w:cs="宋体"/>
          <w:b/>
          <w:bCs/>
          <w:color w:val="000000"/>
          <w:spacing w:val="-3"/>
          <w:sz w:val="24"/>
        </w:rPr>
        <w:t>元（大写：          ）的违约金，并赔偿甲方全部损失。</w:t>
      </w:r>
    </w:p>
    <w:p w14:paraId="0367D1AC">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3.乙方保证按甲方要求的品种、规格、数量、时间和地点按质按量配送。在供货过程中，若乙方以各种理由进行推诿，或因乙方自身原因导致供货不及时的，每发生一次，应承担当批次货物总额</w:t>
      </w:r>
      <w:r>
        <w:rPr>
          <w:rFonts w:hint="eastAsia" w:ascii="宋体" w:hAnsi="宋体" w:eastAsia="宋体" w:cs="宋体"/>
          <w:color w:val="000000"/>
          <w:spacing w:val="-3"/>
          <w:sz w:val="24"/>
          <w:u w:val="single"/>
        </w:rPr>
        <w:t xml:space="preserve">      </w:t>
      </w:r>
      <w:r>
        <w:rPr>
          <w:rFonts w:hint="eastAsia" w:ascii="宋体" w:hAnsi="宋体" w:eastAsia="宋体" w:cs="宋体"/>
          <w:color w:val="000000"/>
          <w:spacing w:val="-3"/>
          <w:sz w:val="24"/>
        </w:rPr>
        <w:t>%的违约金，累计逾期供货超过</w:t>
      </w:r>
      <w:r>
        <w:rPr>
          <w:rFonts w:hint="eastAsia" w:ascii="宋体" w:hAnsi="宋体" w:eastAsia="宋体" w:cs="宋体"/>
          <w:color w:val="000000"/>
          <w:spacing w:val="-3"/>
          <w:sz w:val="24"/>
          <w:u w:val="single"/>
        </w:rPr>
        <w:t xml:space="preserve">     </w:t>
      </w:r>
      <w:r>
        <w:rPr>
          <w:rFonts w:hint="eastAsia" w:ascii="宋体" w:hAnsi="宋体" w:eastAsia="宋体" w:cs="宋体"/>
          <w:color w:val="000000"/>
          <w:spacing w:val="-3"/>
          <w:sz w:val="24"/>
        </w:rPr>
        <w:t>次的，甲方有权解除、终止本合同，并要求乙方承担</w:t>
      </w:r>
      <w:r>
        <w:rPr>
          <w:rFonts w:hint="eastAsia" w:ascii="宋体" w:hAnsi="宋体" w:eastAsia="宋体" w:cs="宋体"/>
          <w:color w:val="000000"/>
          <w:spacing w:val="-3"/>
          <w:sz w:val="24"/>
          <w:u w:val="single"/>
        </w:rPr>
        <w:t xml:space="preserve">          </w:t>
      </w:r>
      <w:r>
        <w:rPr>
          <w:rFonts w:hint="eastAsia" w:ascii="宋体" w:hAnsi="宋体" w:eastAsia="宋体" w:cs="宋体"/>
          <w:color w:val="000000"/>
          <w:spacing w:val="-3"/>
          <w:sz w:val="24"/>
        </w:rPr>
        <w:t>元（大写：     ）的违约金，并赔偿甲方损失。</w:t>
      </w:r>
    </w:p>
    <w:p w14:paraId="039DB68E">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4．如乙方拒绝接受甲方订单；无法完成甲方合理订单；无故放弃对执行单价的确认，均视为单方解除合同，同时应按本条第 1 款承担相应的违约责任。</w:t>
      </w:r>
    </w:p>
    <w:p w14:paraId="3618086A">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5．乙方因企业重大变动、国家政策因素等原因无法履行合同的，应提前 15 天向甲方提出解除合同申请，甲方确认属实的，不予追究违约责任。</w:t>
      </w:r>
    </w:p>
    <w:p w14:paraId="488C5A2B">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6．乙方因食品安全问题被相关单位处罚或造成任何食品安全事故（无论是否涉及甲方所采购的货物），本合同立即解除，同时承担给甲方造成的所有损失。</w:t>
      </w:r>
    </w:p>
    <w:p w14:paraId="08A0B86B">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7．乙方将本合同约定的义务全部或者部分转让给第三方的，甲方有权解除或者终止本合同，并要求乙方赔偿甲方损失（本合同或者双方另有约定的，与本条同时适用）。同时，乙方应当对其转让的第三方给甲方造成的损失承担连带责任。</w:t>
      </w:r>
    </w:p>
    <w:p w14:paraId="72EE840C">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8．因乙方的违约行为给甲方造成的损失包括但不限于直接经济损失、可得利益损失、律师费、诉讼费、鉴定费等合理费用。</w:t>
      </w:r>
    </w:p>
    <w:p w14:paraId="1A98AB05">
      <w:pPr>
        <w:snapToGrid w:val="0"/>
        <w:spacing w:before="109" w:line="360" w:lineRule="auto"/>
        <w:ind w:left="7" w:right="87" w:firstLine="470" w:firstLineChars="200"/>
        <w:rPr>
          <w:rFonts w:ascii="宋体" w:hAnsi="宋体" w:eastAsia="宋体" w:cs="宋体"/>
          <w:b/>
          <w:bCs/>
          <w:color w:val="000000"/>
          <w:spacing w:val="-3"/>
          <w:sz w:val="24"/>
        </w:rPr>
      </w:pPr>
      <w:r>
        <w:rPr>
          <w:rFonts w:hint="eastAsia" w:ascii="宋体" w:hAnsi="宋体" w:eastAsia="宋体" w:cs="宋体"/>
          <w:b/>
          <w:bCs/>
          <w:color w:val="000000"/>
          <w:spacing w:val="-3"/>
          <w:sz w:val="24"/>
        </w:rPr>
        <w:t>十一、不可抗力</w:t>
      </w:r>
    </w:p>
    <w:p w14:paraId="39E950EB">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甲乙双方的任何一方由于不可抗力的原因不能履行合同时，应及时以书面形式向对方通报不能履行或不能完全履行合同的理由；在取得有关主管机关证明后，允许延期履行、部分履行或者不履行合同，并根据情况可部分或全部免予承担违约责任。迟延履行后发生不可抗力的，不能免除违约责任。</w:t>
      </w:r>
    </w:p>
    <w:p w14:paraId="10894904">
      <w:pPr>
        <w:snapToGrid w:val="0"/>
        <w:spacing w:before="109" w:line="360" w:lineRule="auto"/>
        <w:ind w:left="7" w:right="87" w:firstLine="470" w:firstLineChars="200"/>
        <w:rPr>
          <w:rFonts w:ascii="宋体" w:hAnsi="宋体" w:eastAsia="宋体" w:cs="宋体"/>
          <w:b/>
          <w:bCs/>
          <w:color w:val="000000"/>
          <w:spacing w:val="-3"/>
          <w:sz w:val="24"/>
        </w:rPr>
      </w:pPr>
      <w:r>
        <w:rPr>
          <w:rFonts w:hint="eastAsia" w:ascii="宋体" w:hAnsi="宋体" w:eastAsia="宋体" w:cs="宋体"/>
          <w:b/>
          <w:bCs/>
          <w:color w:val="000000"/>
          <w:spacing w:val="-3"/>
          <w:sz w:val="24"/>
        </w:rPr>
        <w:t>十二、合同生效及其他</w:t>
      </w:r>
    </w:p>
    <w:p w14:paraId="02BE5213">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1. 本合同自甲乙双方法定代表人（或授权代表）签字（或盖章）并加盖公章之日起生效。</w:t>
      </w:r>
    </w:p>
    <w:p w14:paraId="5BBD78AE">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2. 本合同一式</w:t>
      </w:r>
      <w:r>
        <w:rPr>
          <w:rFonts w:hint="eastAsia" w:ascii="宋体" w:hAnsi="宋体" w:eastAsia="宋体" w:cs="宋体"/>
          <w:color w:val="000000"/>
          <w:spacing w:val="-3"/>
          <w:sz w:val="24"/>
          <w:u w:val="single"/>
        </w:rPr>
        <w:t xml:space="preserve"> 伍 </w:t>
      </w:r>
      <w:r>
        <w:rPr>
          <w:rFonts w:hint="eastAsia" w:ascii="宋体" w:hAnsi="宋体" w:eastAsia="宋体" w:cs="宋体"/>
          <w:color w:val="000000"/>
          <w:spacing w:val="-3"/>
          <w:sz w:val="24"/>
        </w:rPr>
        <w:t>份，甲方持</w:t>
      </w:r>
      <w:r>
        <w:rPr>
          <w:rFonts w:hint="eastAsia" w:ascii="宋体" w:hAnsi="宋体" w:eastAsia="宋体" w:cs="宋体"/>
          <w:color w:val="000000"/>
          <w:spacing w:val="-3"/>
          <w:sz w:val="24"/>
          <w:u w:val="single"/>
        </w:rPr>
        <w:t xml:space="preserve"> 叁 </w:t>
      </w:r>
      <w:r>
        <w:rPr>
          <w:rFonts w:hint="eastAsia" w:ascii="宋体" w:hAnsi="宋体" w:eastAsia="宋体" w:cs="宋体"/>
          <w:color w:val="000000"/>
          <w:spacing w:val="-3"/>
          <w:sz w:val="24"/>
        </w:rPr>
        <w:t>份，乙方持</w:t>
      </w:r>
      <w:r>
        <w:rPr>
          <w:rFonts w:hint="eastAsia" w:ascii="宋体" w:hAnsi="宋体" w:eastAsia="宋体" w:cs="宋体"/>
          <w:color w:val="000000"/>
          <w:spacing w:val="-3"/>
          <w:sz w:val="24"/>
          <w:u w:val="single"/>
        </w:rPr>
        <w:t xml:space="preserve"> 壹 </w:t>
      </w:r>
      <w:r>
        <w:rPr>
          <w:rFonts w:hint="eastAsia" w:ascii="宋体" w:hAnsi="宋体" w:eastAsia="宋体" w:cs="宋体"/>
          <w:color w:val="000000"/>
          <w:spacing w:val="-3"/>
          <w:sz w:val="24"/>
        </w:rPr>
        <w:t>份，招标代理公司备案</w:t>
      </w:r>
      <w:r>
        <w:rPr>
          <w:rFonts w:hint="eastAsia" w:ascii="宋体" w:hAnsi="宋体" w:eastAsia="宋体" w:cs="宋体"/>
          <w:color w:val="000000"/>
          <w:spacing w:val="-3"/>
          <w:sz w:val="24"/>
          <w:u w:val="single"/>
        </w:rPr>
        <w:t xml:space="preserve"> 壹 </w:t>
      </w:r>
      <w:r>
        <w:rPr>
          <w:rFonts w:hint="eastAsia" w:ascii="宋体" w:hAnsi="宋体" w:eastAsia="宋体" w:cs="宋体"/>
          <w:color w:val="000000"/>
          <w:spacing w:val="-3"/>
          <w:sz w:val="24"/>
        </w:rPr>
        <w:t>份。</w:t>
      </w:r>
    </w:p>
    <w:p w14:paraId="292EBB79">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3. 凡执行本合同所发生的或与本合同有关的一切争议，依照《中华人民共和国民法典》，在不违背本合同和</w:t>
      </w:r>
      <w:r>
        <w:rPr>
          <w:rFonts w:hint="eastAsia" w:ascii="宋体" w:hAnsi="宋体" w:eastAsia="宋体" w:cs="宋体"/>
          <w:color w:val="000000"/>
          <w:spacing w:val="-3"/>
          <w:sz w:val="24"/>
          <w:lang w:val="en-US" w:eastAsia="zh-CN"/>
        </w:rPr>
        <w:t>磋商</w:t>
      </w:r>
      <w:r>
        <w:rPr>
          <w:rFonts w:hint="eastAsia" w:ascii="宋体" w:hAnsi="宋体" w:eastAsia="宋体" w:cs="宋体"/>
          <w:color w:val="000000"/>
          <w:spacing w:val="-3"/>
          <w:sz w:val="24"/>
        </w:rPr>
        <w:t>文件的前提下，双方友好协商解决；协商结果以“纪要 ”形式作为合同附件，与合同具有同等效力。否则，双方均有权向向甲方所在地人民法院提请诉讼。</w:t>
      </w:r>
    </w:p>
    <w:p w14:paraId="5AA34332">
      <w:pPr>
        <w:snapToGrid w:val="0"/>
        <w:spacing w:before="109" w:line="360" w:lineRule="auto"/>
        <w:ind w:left="7" w:right="87" w:firstLine="468" w:firstLineChars="200"/>
        <w:rPr>
          <w:rFonts w:ascii="宋体" w:hAnsi="宋体" w:eastAsia="宋体" w:cs="宋体"/>
          <w:color w:val="000000"/>
          <w:spacing w:val="-3"/>
          <w:sz w:val="24"/>
        </w:rPr>
      </w:pPr>
      <w:r>
        <w:rPr>
          <w:rFonts w:hint="eastAsia" w:ascii="宋体" w:hAnsi="宋体" w:eastAsia="宋体" w:cs="宋体"/>
          <w:color w:val="000000"/>
          <w:spacing w:val="-3"/>
          <w:sz w:val="24"/>
        </w:rPr>
        <w:t>4. 本合同不得转包或分包给他人，否则甲方有权拒付本次成交货物的货款，同时没收乙方合同质保金并取消今后的投标资格。</w:t>
      </w:r>
    </w:p>
    <w:p w14:paraId="290769D1">
      <w:pPr>
        <w:snapToGrid w:val="0"/>
        <w:spacing w:before="109" w:line="360" w:lineRule="auto"/>
        <w:ind w:left="7" w:right="87" w:firstLine="470" w:firstLineChars="200"/>
        <w:rPr>
          <w:rFonts w:ascii="宋体" w:hAnsi="宋体" w:eastAsia="宋体" w:cs="宋体"/>
          <w:b/>
          <w:bCs/>
          <w:color w:val="000000"/>
          <w:spacing w:val="-3"/>
          <w:sz w:val="24"/>
        </w:rPr>
      </w:pPr>
      <w:r>
        <w:rPr>
          <w:rFonts w:hint="eastAsia" w:ascii="宋体" w:hAnsi="宋体" w:eastAsia="宋体" w:cs="宋体"/>
          <w:b/>
          <w:bCs/>
          <w:color w:val="000000"/>
          <w:spacing w:val="-3"/>
          <w:sz w:val="24"/>
        </w:rPr>
        <w:t>5</w:t>
      </w:r>
      <w:r>
        <w:rPr>
          <w:rFonts w:hint="eastAsia" w:ascii="宋体" w:hAnsi="宋体" w:eastAsia="宋体" w:cs="宋体"/>
          <w:color w:val="000000"/>
          <w:spacing w:val="-3"/>
          <w:sz w:val="24"/>
        </w:rPr>
        <w:t xml:space="preserve">. </w:t>
      </w:r>
      <w:r>
        <w:rPr>
          <w:rFonts w:hint="eastAsia" w:ascii="宋体" w:hAnsi="宋体" w:eastAsia="宋体" w:cs="宋体"/>
          <w:b/>
          <w:bCs/>
          <w:color w:val="000000"/>
          <w:spacing w:val="-3"/>
          <w:sz w:val="24"/>
        </w:rPr>
        <w:t>合同履行期限：本合同履行期限以供货期限或合同金额为限，即供货期限到期而应支付金额未达到合同金额或应支付金额达到合同金额而供货期未到期，合同均终止。</w:t>
      </w:r>
    </w:p>
    <w:p w14:paraId="3D655624">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6. 甲方对履行合同的任何宽限仅表示其同意继续履行本合同，但不表示甲方放弃追究乙方违约责任的权利。除非甲方以书面形式明确声明做出放弃，否则，甲方不应被视为放弃根据本合同中的任何条款所享受的权利或利益。</w:t>
      </w:r>
    </w:p>
    <w:p w14:paraId="5194AE6D">
      <w:pPr>
        <w:snapToGrid w:val="0"/>
        <w:spacing w:before="109" w:line="360" w:lineRule="auto"/>
        <w:ind w:left="7" w:right="87" w:firstLine="470" w:firstLineChars="200"/>
        <w:rPr>
          <w:rFonts w:ascii="宋体" w:hAnsi="宋体" w:eastAsia="宋体" w:cs="宋体"/>
          <w:b/>
          <w:bCs/>
          <w:spacing w:val="-3"/>
          <w:sz w:val="24"/>
        </w:rPr>
      </w:pPr>
      <w:r>
        <w:rPr>
          <w:rFonts w:hint="eastAsia" w:ascii="宋体" w:hAnsi="宋体" w:eastAsia="宋体" w:cs="宋体"/>
          <w:b/>
          <w:bCs/>
          <w:spacing w:val="-3"/>
          <w:sz w:val="24"/>
        </w:rPr>
        <w:t>十三、争议解决</w:t>
      </w:r>
    </w:p>
    <w:p w14:paraId="1A64C19C">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1、因产品的质量问题发生争议，由食品药品监督部门或其指定的鉴定机构进行鉴定。鉴定费由乙方承担；</w:t>
      </w:r>
    </w:p>
    <w:p w14:paraId="369BA88E">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2、合同履行期间，若双方发生争议，双方应通过友好协商解决，经协商不能达成协议时，双方均有权向甲方所在地人民法院提起诉讼；</w:t>
      </w:r>
    </w:p>
    <w:p w14:paraId="0DDC4D2C">
      <w:pPr>
        <w:snapToGrid w:val="0"/>
        <w:spacing w:before="109" w:line="360" w:lineRule="auto"/>
        <w:ind w:left="7" w:right="87" w:firstLine="468" w:firstLineChars="200"/>
        <w:rPr>
          <w:rFonts w:ascii="宋体" w:hAnsi="宋体" w:eastAsia="宋体" w:cs="宋体"/>
        </w:rPr>
      </w:pPr>
      <w:r>
        <w:rPr>
          <w:rFonts w:hint="eastAsia" w:ascii="宋体" w:hAnsi="宋体" w:eastAsia="宋体" w:cs="宋体"/>
          <w:spacing w:val="-3"/>
          <w:sz w:val="24"/>
        </w:rPr>
        <w:t>3、在诉讼期间，除正在进行诉讼部分外，合同其他部分继续执行。</w:t>
      </w:r>
    </w:p>
    <w:p w14:paraId="146439F4">
      <w:pPr>
        <w:snapToGrid w:val="0"/>
        <w:spacing w:before="109" w:line="360" w:lineRule="auto"/>
        <w:ind w:left="7" w:right="87" w:firstLine="470" w:firstLineChars="200"/>
        <w:rPr>
          <w:rFonts w:ascii="宋体" w:hAnsi="宋体" w:eastAsia="宋体" w:cs="宋体"/>
          <w:b/>
          <w:bCs/>
          <w:spacing w:val="-3"/>
          <w:sz w:val="24"/>
        </w:rPr>
      </w:pPr>
      <w:r>
        <w:rPr>
          <w:rFonts w:hint="eastAsia" w:ascii="宋体" w:hAnsi="宋体" w:eastAsia="宋体" w:cs="宋体"/>
          <w:b/>
          <w:bCs/>
          <w:spacing w:val="-3"/>
          <w:sz w:val="24"/>
        </w:rPr>
        <w:t>下列文件为本合同不可分割部分</w:t>
      </w:r>
    </w:p>
    <w:p w14:paraId="636DC606">
      <w:pPr>
        <w:snapToGrid w:val="0"/>
        <w:spacing w:before="109" w:line="360" w:lineRule="auto"/>
        <w:ind w:left="420" w:leftChars="200" w:right="87"/>
        <w:rPr>
          <w:rFonts w:ascii="宋体" w:hAnsi="宋体" w:eastAsia="宋体" w:cs="宋体"/>
          <w:spacing w:val="-3"/>
          <w:sz w:val="24"/>
        </w:rPr>
      </w:pPr>
      <w:r>
        <w:rPr>
          <w:rFonts w:hint="eastAsia" w:ascii="宋体" w:hAnsi="宋体" w:cs="宋体"/>
          <w:spacing w:val="-1"/>
          <w:sz w:val="24"/>
        </w:rPr>
        <w:t>1.</w:t>
      </w:r>
      <w:r>
        <w:rPr>
          <w:rFonts w:ascii="宋体" w:hAnsi="宋体" w:eastAsia="宋体" w:cs="宋体"/>
          <w:spacing w:val="-1"/>
          <w:sz w:val="24"/>
        </w:rPr>
        <w:t>《</w:t>
      </w:r>
      <w:r>
        <w:rPr>
          <w:rFonts w:hint="eastAsia" w:ascii="宋体" w:hAnsi="宋体" w:eastAsia="宋体" w:cs="宋体"/>
          <w:spacing w:val="-1"/>
          <w:sz w:val="24"/>
          <w:lang w:val="en-US" w:eastAsia="zh-CN"/>
        </w:rPr>
        <w:t>磋商</w:t>
      </w:r>
      <w:r>
        <w:rPr>
          <w:rFonts w:ascii="宋体" w:hAnsi="宋体" w:eastAsia="宋体" w:cs="宋体"/>
          <w:spacing w:val="-1"/>
          <w:sz w:val="24"/>
        </w:rPr>
        <w:t>文件》</w:t>
      </w:r>
      <w:r>
        <w:rPr>
          <w:rFonts w:hint="eastAsia" w:ascii="宋体" w:hAnsi="宋体" w:eastAsia="宋体" w:cs="宋体"/>
          <w:spacing w:val="-3"/>
          <w:sz w:val="24"/>
        </w:rPr>
        <w:t xml:space="preserve"> 2.乙方响应文件 3.</w:t>
      </w:r>
      <w:r>
        <w:rPr>
          <w:rFonts w:ascii="宋体" w:hAnsi="宋体" w:eastAsia="宋体" w:cs="宋体"/>
          <w:spacing w:val="-1"/>
          <w:sz w:val="24"/>
        </w:rPr>
        <w:t>《</w:t>
      </w:r>
      <w:r>
        <w:rPr>
          <w:rFonts w:hint="eastAsia" w:ascii="宋体" w:hAnsi="宋体" w:eastAsia="宋体" w:cs="宋体"/>
          <w:spacing w:val="-1"/>
          <w:sz w:val="24"/>
          <w:lang w:val="en-US" w:eastAsia="zh-CN"/>
        </w:rPr>
        <w:t>成交</w:t>
      </w:r>
      <w:r>
        <w:rPr>
          <w:rFonts w:ascii="宋体" w:hAnsi="宋体" w:eastAsia="宋体" w:cs="宋体"/>
          <w:spacing w:val="-1"/>
          <w:sz w:val="24"/>
        </w:rPr>
        <w:t>通知书》</w:t>
      </w:r>
      <w:r>
        <w:rPr>
          <w:rFonts w:hint="eastAsia" w:ascii="宋体" w:hAnsi="宋体" w:cs="宋体"/>
          <w:spacing w:val="-1"/>
          <w:sz w:val="24"/>
        </w:rPr>
        <w:t xml:space="preserve"> </w:t>
      </w:r>
      <w:r>
        <w:rPr>
          <w:rFonts w:hint="eastAsia" w:ascii="宋体" w:hAnsi="宋体" w:eastAsia="宋体" w:cs="宋体"/>
          <w:spacing w:val="-3"/>
          <w:sz w:val="24"/>
        </w:rPr>
        <w:t>4.合同附件  5.其他</w:t>
      </w:r>
    </w:p>
    <w:p w14:paraId="5156BAB6">
      <w:pPr>
        <w:snapToGrid w:val="0"/>
        <w:spacing w:before="109" w:line="360" w:lineRule="auto"/>
        <w:ind w:right="87"/>
        <w:rPr>
          <w:rFonts w:ascii="宋体" w:hAnsi="宋体" w:eastAsia="宋体" w:cs="宋体"/>
          <w:spacing w:val="-3"/>
          <w:sz w:val="24"/>
        </w:rPr>
      </w:pPr>
    </w:p>
    <w:p w14:paraId="67786BDF">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甲方（章）：                           乙方（签章）：</w:t>
      </w:r>
    </w:p>
    <w:p w14:paraId="491F9312">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单位地址：                             单位地址：</w:t>
      </w:r>
    </w:p>
    <w:p w14:paraId="233286C9">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法人或授权委托人签字：                 法人或授权委托人签字：</w:t>
      </w:r>
    </w:p>
    <w:p w14:paraId="5B369F68">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联系电话：                             联系电话：</w:t>
      </w:r>
    </w:p>
    <w:p w14:paraId="31A27F65">
      <w:pPr>
        <w:snapToGrid w:val="0"/>
        <w:spacing w:before="109" w:line="360" w:lineRule="auto"/>
        <w:ind w:left="7" w:right="87" w:firstLine="468" w:firstLineChars="200"/>
        <w:rPr>
          <w:rFonts w:ascii="宋体" w:hAnsi="宋体" w:eastAsia="宋体" w:cs="宋体"/>
          <w:spacing w:val="-3"/>
          <w:sz w:val="24"/>
        </w:rPr>
      </w:pPr>
      <w:r>
        <w:rPr>
          <w:rFonts w:hint="eastAsia" w:ascii="宋体" w:hAnsi="宋体" w:eastAsia="宋体" w:cs="宋体"/>
          <w:spacing w:val="-3"/>
          <w:sz w:val="24"/>
        </w:rPr>
        <w:t>签订时间：       年   月   日</w:t>
      </w:r>
    </w:p>
    <w:p w14:paraId="3FC52FC6">
      <w:pPr>
        <w:snapToGrid w:val="0"/>
        <w:spacing w:before="109" w:line="360" w:lineRule="auto"/>
        <w:ind w:left="7" w:right="87" w:firstLine="468" w:firstLineChars="200"/>
        <w:rPr>
          <w:rFonts w:ascii="Times New Roman" w:hAnsi="Times New Roman" w:eastAsia="方正仿宋_GBK" w:cs="Times New Roman"/>
          <w:b/>
          <w:bCs/>
          <w:color w:val="FF0000"/>
          <w:sz w:val="28"/>
          <w:szCs w:val="28"/>
        </w:rPr>
      </w:pPr>
      <w:r>
        <w:rPr>
          <w:rFonts w:hint="eastAsia" w:ascii="宋体" w:hAnsi="宋体" w:eastAsia="宋体" w:cs="宋体"/>
          <w:spacing w:val="-3"/>
          <w:sz w:val="24"/>
        </w:rPr>
        <w:t>签约地点：</w:t>
      </w:r>
    </w:p>
    <w:p w14:paraId="7CFC86A1">
      <w:pPr>
        <w:pStyle w:val="14"/>
        <w:spacing w:line="360" w:lineRule="auto"/>
        <w:rPr>
          <w:rFonts w:ascii="宋体" w:hAnsi="宋体" w:eastAsia="宋体" w:cs="宋体"/>
          <w:b/>
          <w:bCs/>
          <w:sz w:val="28"/>
          <w:szCs w:val="28"/>
        </w:rPr>
      </w:pPr>
    </w:p>
    <w:p w14:paraId="535EEB69">
      <w:pPr>
        <w:pStyle w:val="14"/>
        <w:spacing w:line="360" w:lineRule="auto"/>
        <w:rPr>
          <w:rFonts w:ascii="宋体" w:hAnsi="宋体" w:eastAsia="宋体" w:cs="宋体"/>
          <w:b/>
          <w:bCs/>
          <w:sz w:val="28"/>
          <w:szCs w:val="28"/>
        </w:rPr>
      </w:pPr>
    </w:p>
    <w:p w14:paraId="0458FA14">
      <w:pPr>
        <w:pStyle w:val="14"/>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第六章 响应文件格式</w:t>
      </w:r>
    </w:p>
    <w:p w14:paraId="10FEB9FB">
      <w:pPr>
        <w:spacing w:line="360" w:lineRule="auto"/>
        <w:ind w:firstLine="1269" w:firstLineChars="395"/>
        <w:jc w:val="center"/>
        <w:rPr>
          <w:rFonts w:ascii="宋体" w:hAnsi="宋体" w:cs="宋体"/>
          <w:b/>
          <w:sz w:val="32"/>
          <w:szCs w:val="32"/>
          <w:u w:val="single"/>
        </w:rPr>
      </w:pPr>
    </w:p>
    <w:p w14:paraId="0E707747">
      <w:pPr>
        <w:spacing w:line="360" w:lineRule="auto"/>
        <w:jc w:val="center"/>
        <w:rPr>
          <w:rFonts w:ascii="宋体" w:hAnsi="宋体"/>
          <w:b/>
          <w:sz w:val="32"/>
          <w:szCs w:val="32"/>
        </w:rPr>
      </w:pPr>
      <w:r>
        <w:rPr>
          <w:rFonts w:hint="eastAsia" w:ascii="宋体" w:hAnsi="宋体" w:cs="宋体"/>
          <w:b/>
          <w:sz w:val="32"/>
          <w:szCs w:val="32"/>
        </w:rPr>
        <w:t>项目名称：</w:t>
      </w:r>
    </w:p>
    <w:p w14:paraId="36678436">
      <w:pPr>
        <w:spacing w:line="360" w:lineRule="auto"/>
        <w:ind w:firstLine="1269" w:firstLineChars="395"/>
        <w:jc w:val="center"/>
        <w:rPr>
          <w:rFonts w:ascii="宋体" w:hAnsi="宋体"/>
          <w:b/>
          <w:sz w:val="32"/>
          <w:szCs w:val="32"/>
        </w:rPr>
      </w:pPr>
    </w:p>
    <w:p w14:paraId="04FA8102">
      <w:pPr>
        <w:spacing w:line="360" w:lineRule="auto"/>
        <w:ind w:firstLine="1590" w:firstLineChars="495"/>
        <w:jc w:val="center"/>
        <w:rPr>
          <w:rFonts w:ascii="宋体" w:hAnsi="宋体" w:cs="宋体"/>
          <w:b/>
          <w:sz w:val="32"/>
          <w:szCs w:val="32"/>
        </w:rPr>
      </w:pPr>
      <w:bookmarkStart w:id="163" w:name="_Toc453139657"/>
      <w:bookmarkEnd w:id="163"/>
    </w:p>
    <w:p w14:paraId="7F8F0589">
      <w:pPr>
        <w:spacing w:line="360" w:lineRule="auto"/>
        <w:jc w:val="center"/>
        <w:rPr>
          <w:rFonts w:ascii="宋体" w:hAnsi="宋体"/>
          <w:b/>
          <w:sz w:val="32"/>
          <w:szCs w:val="32"/>
        </w:rPr>
      </w:pPr>
      <w:r>
        <w:rPr>
          <w:rFonts w:hint="eastAsia" w:ascii="宋体" w:hAnsi="宋体" w:cs="宋体"/>
          <w:b/>
          <w:sz w:val="32"/>
          <w:szCs w:val="32"/>
        </w:rPr>
        <w:t>竞争性磋商响应文件</w:t>
      </w:r>
    </w:p>
    <w:p w14:paraId="34832E01">
      <w:pPr>
        <w:spacing w:line="360" w:lineRule="auto"/>
        <w:ind w:firstLine="1430" w:firstLineChars="445"/>
        <w:jc w:val="center"/>
        <w:rPr>
          <w:rFonts w:ascii="宋体" w:hAnsi="宋体"/>
          <w:b/>
          <w:sz w:val="32"/>
          <w:szCs w:val="32"/>
        </w:rPr>
      </w:pPr>
    </w:p>
    <w:p w14:paraId="546D8D33">
      <w:pPr>
        <w:spacing w:line="360" w:lineRule="auto"/>
        <w:ind w:firstLine="3672" w:firstLineChars="1143"/>
        <w:jc w:val="both"/>
        <w:rPr>
          <w:rFonts w:hint="eastAsia" w:ascii="宋体" w:hAnsi="宋体" w:eastAsiaTheme="minorEastAsia"/>
          <w:b/>
          <w:sz w:val="32"/>
          <w:szCs w:val="32"/>
          <w:lang w:val="en-US" w:eastAsia="zh-CN"/>
        </w:rPr>
      </w:pPr>
      <w:r>
        <w:rPr>
          <w:rFonts w:hint="eastAsia" w:ascii="宋体" w:hAnsi="宋体"/>
          <w:b/>
          <w:sz w:val="32"/>
          <w:szCs w:val="32"/>
          <w:lang w:val="en-US" w:eastAsia="zh-CN"/>
        </w:rPr>
        <w:t>采购编号：</w:t>
      </w:r>
    </w:p>
    <w:p w14:paraId="46A85E29">
      <w:pPr>
        <w:spacing w:line="360" w:lineRule="auto"/>
        <w:jc w:val="center"/>
        <w:rPr>
          <w:rFonts w:ascii="宋体" w:hAnsi="宋体"/>
          <w:b/>
          <w:sz w:val="32"/>
          <w:szCs w:val="32"/>
        </w:rPr>
      </w:pPr>
      <w:r>
        <w:rPr>
          <w:rFonts w:hint="eastAsia" w:ascii="宋体" w:hAnsi="宋体" w:cs="宋体"/>
          <w:b/>
          <w:sz w:val="32"/>
          <w:szCs w:val="32"/>
        </w:rPr>
        <w:t>项目编号：</w:t>
      </w:r>
    </w:p>
    <w:p w14:paraId="37D5D3ED">
      <w:pPr>
        <w:spacing w:line="360" w:lineRule="auto"/>
        <w:jc w:val="left"/>
        <w:rPr>
          <w:rFonts w:ascii="宋体" w:hAnsi="宋体"/>
          <w:sz w:val="32"/>
          <w:szCs w:val="32"/>
        </w:rPr>
      </w:pPr>
    </w:p>
    <w:p w14:paraId="35A43C3E">
      <w:pPr>
        <w:spacing w:line="360" w:lineRule="auto"/>
        <w:jc w:val="left"/>
        <w:rPr>
          <w:rFonts w:ascii="宋体" w:hAnsi="宋体"/>
          <w:sz w:val="32"/>
          <w:szCs w:val="32"/>
        </w:rPr>
      </w:pPr>
    </w:p>
    <w:p w14:paraId="3707E089">
      <w:pPr>
        <w:spacing w:line="360" w:lineRule="auto"/>
        <w:jc w:val="left"/>
        <w:rPr>
          <w:rFonts w:ascii="宋体" w:hAnsi="宋体"/>
          <w:sz w:val="32"/>
          <w:szCs w:val="32"/>
        </w:rPr>
      </w:pPr>
    </w:p>
    <w:p w14:paraId="0347C58E">
      <w:pPr>
        <w:spacing w:line="360" w:lineRule="auto"/>
        <w:jc w:val="left"/>
        <w:rPr>
          <w:rFonts w:ascii="宋体" w:hAnsi="宋体"/>
          <w:sz w:val="32"/>
          <w:szCs w:val="32"/>
        </w:rPr>
      </w:pPr>
    </w:p>
    <w:p w14:paraId="29C15C37">
      <w:pPr>
        <w:tabs>
          <w:tab w:val="left" w:pos="0"/>
        </w:tabs>
        <w:autoSpaceDE w:val="0"/>
        <w:autoSpaceDN w:val="0"/>
        <w:adjustRightInd w:val="0"/>
        <w:spacing w:line="360" w:lineRule="auto"/>
        <w:ind w:right="-212" w:firstLine="448" w:firstLineChars="140"/>
        <w:jc w:val="left"/>
        <w:rPr>
          <w:rFonts w:ascii="宋体" w:hAnsi="宋体" w:cs="宋体"/>
          <w:color w:val="000000"/>
          <w:kern w:val="0"/>
          <w:sz w:val="32"/>
          <w:szCs w:val="32"/>
        </w:rPr>
      </w:pPr>
    </w:p>
    <w:p w14:paraId="7F21BC12">
      <w:pPr>
        <w:tabs>
          <w:tab w:val="left" w:pos="0"/>
        </w:tabs>
        <w:autoSpaceDE w:val="0"/>
        <w:autoSpaceDN w:val="0"/>
        <w:adjustRightInd w:val="0"/>
        <w:spacing w:line="360" w:lineRule="auto"/>
        <w:ind w:right="-212" w:firstLine="448" w:firstLineChars="140"/>
        <w:jc w:val="left"/>
        <w:rPr>
          <w:rFonts w:ascii="宋体" w:hAnsi="宋体" w:cs="宋体"/>
          <w:color w:val="000000"/>
          <w:kern w:val="0"/>
          <w:sz w:val="32"/>
          <w:szCs w:val="32"/>
        </w:rPr>
      </w:pPr>
    </w:p>
    <w:p w14:paraId="3A3DF5F0">
      <w:pPr>
        <w:tabs>
          <w:tab w:val="left" w:pos="0"/>
        </w:tabs>
        <w:autoSpaceDE w:val="0"/>
        <w:autoSpaceDN w:val="0"/>
        <w:adjustRightInd w:val="0"/>
        <w:spacing w:line="360" w:lineRule="auto"/>
        <w:ind w:right="-212" w:firstLine="448" w:firstLineChars="140"/>
        <w:jc w:val="left"/>
        <w:rPr>
          <w:rFonts w:ascii="宋体" w:hAnsi="宋体" w:cs="宋体"/>
          <w:color w:val="000000"/>
          <w:kern w:val="0"/>
          <w:sz w:val="32"/>
          <w:szCs w:val="32"/>
        </w:rPr>
      </w:pPr>
    </w:p>
    <w:p w14:paraId="6345575D">
      <w:pPr>
        <w:spacing w:line="360" w:lineRule="auto"/>
        <w:ind w:firstLine="1590" w:firstLineChars="495"/>
        <w:jc w:val="left"/>
        <w:rPr>
          <w:rFonts w:ascii="宋体" w:hAnsi="宋体" w:eastAsia="宋体" w:cs="宋体"/>
          <w:b/>
          <w:sz w:val="32"/>
          <w:szCs w:val="32"/>
        </w:rPr>
      </w:pPr>
    </w:p>
    <w:p w14:paraId="52D3D4C7">
      <w:pPr>
        <w:spacing w:line="360" w:lineRule="auto"/>
        <w:jc w:val="left"/>
        <w:rPr>
          <w:rFonts w:ascii="宋体" w:hAnsi="宋体" w:eastAsia="宋体" w:cs="宋体"/>
          <w:b/>
          <w:sz w:val="28"/>
          <w:szCs w:val="28"/>
        </w:rPr>
      </w:pPr>
      <w:r>
        <w:rPr>
          <w:rFonts w:hint="eastAsia" w:ascii="宋体" w:hAnsi="宋体" w:eastAsia="宋体" w:cs="宋体"/>
          <w:b/>
          <w:sz w:val="28"/>
          <w:szCs w:val="28"/>
        </w:rPr>
        <w:t>供应商：（盖章）</w:t>
      </w:r>
      <w:r>
        <w:rPr>
          <w:rFonts w:hint="eastAsia" w:ascii="宋体" w:hAnsi="宋体" w:cs="宋体"/>
          <w:b/>
          <w:bCs/>
          <w:kern w:val="1"/>
          <w:sz w:val="28"/>
          <w:szCs w:val="28"/>
          <w:u w:val="single"/>
        </w:rPr>
        <w:t xml:space="preserve">                    </w:t>
      </w:r>
    </w:p>
    <w:p w14:paraId="75027B68">
      <w:pPr>
        <w:spacing w:line="360" w:lineRule="auto"/>
        <w:jc w:val="left"/>
        <w:rPr>
          <w:rFonts w:ascii="宋体" w:hAnsi="宋体" w:eastAsia="宋体" w:cs="宋体"/>
          <w:b/>
          <w:sz w:val="28"/>
          <w:szCs w:val="28"/>
        </w:rPr>
      </w:pPr>
      <w:r>
        <w:rPr>
          <w:rFonts w:hint="eastAsia" w:ascii="宋体" w:hAnsi="宋体" w:eastAsia="宋体" w:cs="宋体"/>
          <w:b/>
          <w:sz w:val="28"/>
          <w:szCs w:val="28"/>
        </w:rPr>
        <w:t>法定代表人或其委托代理人：（签字或盖章）</w:t>
      </w:r>
      <w:r>
        <w:rPr>
          <w:rFonts w:hint="eastAsia" w:ascii="宋体" w:hAnsi="宋体" w:cs="宋体"/>
          <w:b/>
          <w:bCs/>
          <w:kern w:val="1"/>
          <w:sz w:val="28"/>
          <w:szCs w:val="28"/>
          <w:u w:val="single"/>
        </w:rPr>
        <w:t xml:space="preserve">                    </w:t>
      </w:r>
    </w:p>
    <w:p w14:paraId="09FEB495">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日期：</w:t>
      </w:r>
      <w:r>
        <w:rPr>
          <w:rFonts w:hint="eastAsia" w:ascii="宋体" w:hAnsi="宋体" w:cs="宋体"/>
          <w:b/>
          <w:bCs/>
          <w:kern w:val="1"/>
          <w:sz w:val="28"/>
          <w:szCs w:val="28"/>
          <w:u w:val="single"/>
        </w:rPr>
        <w:t xml:space="preserve">      </w:t>
      </w:r>
      <w:r>
        <w:rPr>
          <w:rFonts w:hint="eastAsia" w:ascii="宋体" w:hAnsi="宋体" w:eastAsia="宋体" w:cs="宋体"/>
          <w:b/>
          <w:sz w:val="28"/>
          <w:szCs w:val="28"/>
        </w:rPr>
        <w:t>年</w:t>
      </w:r>
      <w:r>
        <w:rPr>
          <w:rFonts w:hint="eastAsia" w:ascii="宋体" w:hAnsi="宋体" w:cs="宋体"/>
          <w:b/>
          <w:bCs/>
          <w:kern w:val="1"/>
          <w:sz w:val="28"/>
          <w:szCs w:val="28"/>
          <w:u w:val="single"/>
        </w:rPr>
        <w:t xml:space="preserve">     </w:t>
      </w:r>
      <w:r>
        <w:rPr>
          <w:rFonts w:hint="eastAsia" w:ascii="宋体" w:hAnsi="宋体" w:eastAsia="宋体" w:cs="宋体"/>
          <w:b/>
          <w:sz w:val="28"/>
          <w:szCs w:val="28"/>
        </w:rPr>
        <w:t>月</w:t>
      </w:r>
      <w:r>
        <w:rPr>
          <w:rFonts w:hint="eastAsia" w:ascii="宋体" w:hAnsi="宋体" w:cs="宋体"/>
          <w:b/>
          <w:bCs/>
          <w:kern w:val="1"/>
          <w:sz w:val="28"/>
          <w:szCs w:val="28"/>
          <w:u w:val="single"/>
        </w:rPr>
        <w:t xml:space="preserve">      </w:t>
      </w:r>
      <w:r>
        <w:rPr>
          <w:rFonts w:hint="eastAsia" w:ascii="宋体" w:hAnsi="宋体" w:eastAsia="宋体" w:cs="宋体"/>
          <w:b/>
          <w:sz w:val="28"/>
          <w:szCs w:val="28"/>
        </w:rPr>
        <w:t>日</w:t>
      </w:r>
    </w:p>
    <w:p w14:paraId="0EB99620">
      <w:pPr>
        <w:pStyle w:val="2"/>
      </w:pPr>
    </w:p>
    <w:p w14:paraId="1396B5D4">
      <w:pPr>
        <w:ind w:firstLine="2650" w:firstLineChars="1100"/>
        <w:jc w:val="center"/>
        <w:rPr>
          <w:rFonts w:ascii="宋体" w:hAnsi="宋体" w:cs="宋体"/>
          <w:b/>
          <w:sz w:val="24"/>
        </w:rPr>
      </w:pPr>
    </w:p>
    <w:p w14:paraId="4F5FE05E">
      <w:pPr>
        <w:ind w:firstLine="2650" w:firstLineChars="1100"/>
        <w:jc w:val="center"/>
        <w:rPr>
          <w:rFonts w:ascii="宋体" w:hAnsi="宋体" w:cs="宋体"/>
          <w:b/>
          <w:sz w:val="24"/>
        </w:rPr>
      </w:pPr>
    </w:p>
    <w:p w14:paraId="11842FA9">
      <w:pPr>
        <w:jc w:val="center"/>
        <w:rPr>
          <w:rFonts w:ascii="宋体" w:hAnsi="宋体" w:cs="宋体"/>
          <w:b/>
          <w:sz w:val="28"/>
          <w:szCs w:val="28"/>
        </w:rPr>
      </w:pPr>
      <w:r>
        <w:rPr>
          <w:rFonts w:hint="eastAsia" w:ascii="宋体" w:hAnsi="宋体" w:cs="宋体"/>
          <w:b/>
          <w:sz w:val="28"/>
          <w:szCs w:val="28"/>
        </w:rPr>
        <w:t>目录</w:t>
      </w:r>
    </w:p>
    <w:p w14:paraId="47EAC6A9">
      <w:pPr>
        <w:jc w:val="center"/>
        <w:rPr>
          <w:rFonts w:ascii="宋体" w:hAnsi="宋体" w:cs="宋体"/>
          <w:b/>
          <w:sz w:val="28"/>
          <w:szCs w:val="28"/>
        </w:rPr>
      </w:pPr>
      <w:r>
        <w:rPr>
          <w:rFonts w:hint="eastAsia" w:ascii="宋体" w:hAnsi="宋体" w:cs="宋体"/>
          <w:b/>
          <w:sz w:val="28"/>
          <w:szCs w:val="28"/>
        </w:rPr>
        <w:t>(格式自拟)</w:t>
      </w:r>
    </w:p>
    <w:p w14:paraId="393DA3C4">
      <w:pPr>
        <w:ind w:firstLine="2650" w:firstLineChars="1100"/>
        <w:jc w:val="center"/>
        <w:rPr>
          <w:rFonts w:ascii="宋体" w:hAnsi="宋体" w:cs="宋体"/>
          <w:b/>
          <w:sz w:val="24"/>
        </w:rPr>
      </w:pPr>
    </w:p>
    <w:p w14:paraId="221BCD10">
      <w:pPr>
        <w:ind w:firstLine="2650" w:firstLineChars="1100"/>
        <w:jc w:val="center"/>
        <w:rPr>
          <w:rFonts w:ascii="宋体" w:hAnsi="宋体" w:cs="宋体"/>
          <w:b/>
          <w:sz w:val="24"/>
        </w:rPr>
      </w:pPr>
    </w:p>
    <w:p w14:paraId="258C9F0F">
      <w:pPr>
        <w:ind w:firstLine="2650" w:firstLineChars="1100"/>
        <w:jc w:val="center"/>
        <w:rPr>
          <w:rFonts w:ascii="宋体" w:hAnsi="宋体" w:cs="宋体"/>
          <w:b/>
          <w:sz w:val="24"/>
        </w:rPr>
      </w:pPr>
    </w:p>
    <w:p w14:paraId="7955E3A1">
      <w:pPr>
        <w:ind w:firstLine="2650" w:firstLineChars="1100"/>
        <w:jc w:val="center"/>
        <w:rPr>
          <w:rFonts w:ascii="宋体" w:hAnsi="宋体" w:cs="宋体"/>
          <w:b/>
          <w:sz w:val="24"/>
        </w:rPr>
      </w:pPr>
    </w:p>
    <w:p w14:paraId="5B40C202">
      <w:pPr>
        <w:ind w:firstLine="2650" w:firstLineChars="1100"/>
        <w:jc w:val="center"/>
        <w:rPr>
          <w:rFonts w:ascii="宋体" w:hAnsi="宋体" w:cs="宋体"/>
          <w:b/>
          <w:sz w:val="24"/>
        </w:rPr>
      </w:pPr>
    </w:p>
    <w:p w14:paraId="4FD773B2">
      <w:pPr>
        <w:ind w:firstLine="2650" w:firstLineChars="1100"/>
        <w:jc w:val="center"/>
        <w:rPr>
          <w:rFonts w:ascii="宋体" w:hAnsi="宋体" w:cs="宋体"/>
          <w:b/>
          <w:sz w:val="24"/>
        </w:rPr>
      </w:pPr>
    </w:p>
    <w:p w14:paraId="3991E111">
      <w:pPr>
        <w:ind w:firstLine="2650" w:firstLineChars="1100"/>
        <w:jc w:val="center"/>
        <w:rPr>
          <w:rFonts w:ascii="宋体" w:hAnsi="宋体" w:cs="宋体"/>
          <w:b/>
          <w:sz w:val="24"/>
        </w:rPr>
      </w:pPr>
    </w:p>
    <w:p w14:paraId="10A1FB98">
      <w:pPr>
        <w:ind w:firstLine="2650" w:firstLineChars="1100"/>
        <w:jc w:val="center"/>
        <w:rPr>
          <w:rFonts w:ascii="宋体" w:hAnsi="宋体" w:cs="宋体"/>
          <w:b/>
          <w:sz w:val="24"/>
        </w:rPr>
      </w:pPr>
    </w:p>
    <w:p w14:paraId="1F6716E4">
      <w:pPr>
        <w:ind w:firstLine="2650" w:firstLineChars="1100"/>
        <w:jc w:val="center"/>
        <w:rPr>
          <w:rFonts w:ascii="宋体" w:hAnsi="宋体" w:cs="宋体"/>
          <w:b/>
          <w:sz w:val="24"/>
        </w:rPr>
      </w:pPr>
    </w:p>
    <w:p w14:paraId="2A4332E5">
      <w:pPr>
        <w:ind w:firstLine="2650" w:firstLineChars="1100"/>
        <w:jc w:val="center"/>
        <w:rPr>
          <w:rFonts w:ascii="宋体" w:hAnsi="宋体" w:cs="宋体"/>
          <w:b/>
          <w:sz w:val="24"/>
        </w:rPr>
      </w:pPr>
    </w:p>
    <w:p w14:paraId="4642D2CB">
      <w:pPr>
        <w:ind w:firstLine="2650" w:firstLineChars="1100"/>
        <w:jc w:val="center"/>
        <w:rPr>
          <w:rFonts w:ascii="宋体" w:hAnsi="宋体" w:cs="宋体"/>
          <w:b/>
          <w:sz w:val="24"/>
        </w:rPr>
      </w:pPr>
    </w:p>
    <w:p w14:paraId="7B8AE6CB">
      <w:pPr>
        <w:ind w:firstLine="2650" w:firstLineChars="1100"/>
        <w:jc w:val="center"/>
        <w:rPr>
          <w:rFonts w:ascii="宋体" w:hAnsi="宋体" w:cs="宋体"/>
          <w:b/>
          <w:sz w:val="24"/>
        </w:rPr>
      </w:pPr>
    </w:p>
    <w:p w14:paraId="7B8469B5">
      <w:pPr>
        <w:ind w:firstLine="2650" w:firstLineChars="1100"/>
        <w:jc w:val="center"/>
        <w:rPr>
          <w:rFonts w:ascii="宋体" w:hAnsi="宋体" w:cs="宋体"/>
          <w:b/>
          <w:sz w:val="24"/>
        </w:rPr>
      </w:pPr>
    </w:p>
    <w:p w14:paraId="3FB23377">
      <w:pPr>
        <w:ind w:firstLine="2650" w:firstLineChars="1100"/>
        <w:jc w:val="center"/>
        <w:rPr>
          <w:rFonts w:ascii="宋体" w:hAnsi="宋体" w:cs="宋体"/>
          <w:b/>
          <w:sz w:val="24"/>
        </w:rPr>
      </w:pPr>
    </w:p>
    <w:p w14:paraId="28A32316">
      <w:pPr>
        <w:ind w:firstLine="2650" w:firstLineChars="1100"/>
        <w:jc w:val="center"/>
        <w:rPr>
          <w:rFonts w:ascii="宋体" w:hAnsi="宋体" w:cs="宋体"/>
          <w:b/>
          <w:sz w:val="24"/>
        </w:rPr>
      </w:pPr>
    </w:p>
    <w:p w14:paraId="762CB0C4">
      <w:pPr>
        <w:ind w:firstLine="2650" w:firstLineChars="1100"/>
        <w:jc w:val="center"/>
        <w:rPr>
          <w:rFonts w:ascii="宋体" w:hAnsi="宋体" w:cs="宋体"/>
          <w:b/>
          <w:sz w:val="24"/>
        </w:rPr>
      </w:pPr>
    </w:p>
    <w:p w14:paraId="4A02AE7A">
      <w:pPr>
        <w:ind w:firstLine="2650" w:firstLineChars="1100"/>
        <w:jc w:val="center"/>
        <w:rPr>
          <w:rFonts w:ascii="宋体" w:hAnsi="宋体" w:cs="宋体"/>
          <w:b/>
          <w:sz w:val="24"/>
        </w:rPr>
      </w:pPr>
    </w:p>
    <w:p w14:paraId="215C30DA">
      <w:pPr>
        <w:ind w:firstLine="2650" w:firstLineChars="1100"/>
        <w:jc w:val="center"/>
        <w:rPr>
          <w:rFonts w:ascii="宋体" w:hAnsi="宋体" w:cs="宋体"/>
          <w:b/>
          <w:sz w:val="24"/>
        </w:rPr>
      </w:pPr>
    </w:p>
    <w:p w14:paraId="141EA757">
      <w:pPr>
        <w:ind w:firstLine="2650" w:firstLineChars="1100"/>
        <w:jc w:val="center"/>
        <w:rPr>
          <w:rFonts w:ascii="宋体" w:hAnsi="宋体" w:cs="宋体"/>
          <w:b/>
          <w:sz w:val="24"/>
        </w:rPr>
      </w:pPr>
    </w:p>
    <w:p w14:paraId="33EE5B94">
      <w:pPr>
        <w:ind w:firstLine="2650" w:firstLineChars="1100"/>
        <w:jc w:val="center"/>
        <w:rPr>
          <w:rFonts w:ascii="宋体" w:hAnsi="宋体" w:cs="宋体"/>
          <w:b/>
          <w:sz w:val="24"/>
        </w:rPr>
      </w:pPr>
    </w:p>
    <w:p w14:paraId="5C86E6FB">
      <w:pPr>
        <w:ind w:firstLine="2650" w:firstLineChars="1100"/>
        <w:jc w:val="center"/>
        <w:rPr>
          <w:rFonts w:ascii="宋体" w:hAnsi="宋体" w:cs="宋体"/>
          <w:b/>
          <w:sz w:val="24"/>
        </w:rPr>
      </w:pPr>
    </w:p>
    <w:p w14:paraId="5F53575C">
      <w:pPr>
        <w:ind w:firstLine="2650" w:firstLineChars="1100"/>
        <w:jc w:val="center"/>
        <w:rPr>
          <w:rFonts w:ascii="宋体" w:hAnsi="宋体" w:cs="宋体"/>
          <w:b/>
          <w:sz w:val="24"/>
        </w:rPr>
      </w:pPr>
    </w:p>
    <w:p w14:paraId="69C3E681">
      <w:pPr>
        <w:ind w:firstLine="2650" w:firstLineChars="1100"/>
        <w:jc w:val="center"/>
        <w:rPr>
          <w:rFonts w:ascii="宋体" w:hAnsi="宋体" w:cs="宋体"/>
          <w:b/>
          <w:sz w:val="24"/>
        </w:rPr>
      </w:pPr>
    </w:p>
    <w:p w14:paraId="0B5953A3">
      <w:pPr>
        <w:ind w:firstLine="2650" w:firstLineChars="1100"/>
        <w:jc w:val="center"/>
        <w:rPr>
          <w:rFonts w:ascii="宋体" w:hAnsi="宋体" w:cs="宋体"/>
          <w:b/>
          <w:sz w:val="24"/>
        </w:rPr>
      </w:pPr>
    </w:p>
    <w:p w14:paraId="78DD5872">
      <w:pPr>
        <w:ind w:firstLine="2650" w:firstLineChars="1100"/>
        <w:jc w:val="center"/>
        <w:rPr>
          <w:rFonts w:ascii="宋体" w:hAnsi="宋体" w:cs="宋体"/>
          <w:b/>
          <w:sz w:val="24"/>
        </w:rPr>
      </w:pPr>
    </w:p>
    <w:p w14:paraId="7B99CE2F">
      <w:pPr>
        <w:ind w:firstLine="2650" w:firstLineChars="1100"/>
        <w:jc w:val="center"/>
        <w:rPr>
          <w:rFonts w:ascii="宋体" w:hAnsi="宋体" w:cs="宋体"/>
          <w:b/>
          <w:sz w:val="24"/>
        </w:rPr>
      </w:pPr>
    </w:p>
    <w:p w14:paraId="64881E32">
      <w:pPr>
        <w:ind w:firstLine="2650" w:firstLineChars="1100"/>
        <w:jc w:val="center"/>
        <w:rPr>
          <w:rFonts w:ascii="宋体" w:hAnsi="宋体" w:cs="宋体"/>
          <w:b/>
          <w:sz w:val="24"/>
        </w:rPr>
      </w:pPr>
    </w:p>
    <w:p w14:paraId="519B44DB">
      <w:pPr>
        <w:ind w:firstLine="2650" w:firstLineChars="1100"/>
        <w:jc w:val="center"/>
        <w:rPr>
          <w:rFonts w:ascii="宋体" w:hAnsi="宋体" w:cs="宋体"/>
          <w:b/>
          <w:sz w:val="24"/>
        </w:rPr>
      </w:pPr>
    </w:p>
    <w:p w14:paraId="1BC33E17">
      <w:pPr>
        <w:ind w:firstLine="2650" w:firstLineChars="1100"/>
        <w:jc w:val="center"/>
        <w:rPr>
          <w:rFonts w:ascii="宋体" w:hAnsi="宋体" w:cs="宋体"/>
          <w:b/>
          <w:sz w:val="24"/>
        </w:rPr>
      </w:pPr>
    </w:p>
    <w:p w14:paraId="758CC475">
      <w:pPr>
        <w:ind w:firstLine="2650" w:firstLineChars="1100"/>
        <w:jc w:val="center"/>
        <w:rPr>
          <w:rFonts w:ascii="宋体" w:hAnsi="宋体" w:cs="宋体"/>
          <w:b/>
          <w:sz w:val="24"/>
        </w:rPr>
      </w:pPr>
    </w:p>
    <w:p w14:paraId="779956C8">
      <w:pPr>
        <w:ind w:firstLine="2650" w:firstLineChars="1100"/>
        <w:jc w:val="center"/>
        <w:rPr>
          <w:rFonts w:ascii="宋体" w:hAnsi="宋体" w:cs="宋体"/>
          <w:b/>
          <w:sz w:val="24"/>
        </w:rPr>
      </w:pPr>
    </w:p>
    <w:p w14:paraId="10679091">
      <w:pPr>
        <w:ind w:firstLine="2650" w:firstLineChars="1100"/>
        <w:jc w:val="center"/>
        <w:rPr>
          <w:rFonts w:ascii="宋体" w:hAnsi="宋体" w:cs="宋体"/>
          <w:b/>
          <w:sz w:val="24"/>
        </w:rPr>
      </w:pPr>
    </w:p>
    <w:p w14:paraId="499FB854">
      <w:pPr>
        <w:ind w:firstLine="2650" w:firstLineChars="1100"/>
        <w:jc w:val="center"/>
        <w:rPr>
          <w:rFonts w:ascii="宋体" w:hAnsi="宋体" w:cs="宋体"/>
          <w:b/>
          <w:sz w:val="24"/>
        </w:rPr>
      </w:pPr>
    </w:p>
    <w:p w14:paraId="1262ACAC">
      <w:pPr>
        <w:ind w:firstLine="2650" w:firstLineChars="1100"/>
        <w:jc w:val="center"/>
        <w:rPr>
          <w:rFonts w:ascii="宋体" w:hAnsi="宋体" w:cs="宋体"/>
          <w:b/>
          <w:sz w:val="24"/>
        </w:rPr>
      </w:pPr>
    </w:p>
    <w:p w14:paraId="5E16C384">
      <w:pPr>
        <w:pStyle w:val="2"/>
        <w:rPr>
          <w:rFonts w:ascii="宋体" w:hAnsi="宋体" w:cs="宋体"/>
          <w:b/>
          <w:sz w:val="24"/>
        </w:rPr>
      </w:pPr>
    </w:p>
    <w:p w14:paraId="46BF1AC7"/>
    <w:p w14:paraId="4D5D6D43">
      <w:pPr>
        <w:ind w:firstLine="2650" w:firstLineChars="1100"/>
        <w:jc w:val="center"/>
        <w:rPr>
          <w:rFonts w:ascii="宋体" w:hAnsi="宋体" w:cs="宋体"/>
          <w:b/>
          <w:sz w:val="24"/>
        </w:rPr>
      </w:pPr>
    </w:p>
    <w:p w14:paraId="55C59543">
      <w:pPr>
        <w:ind w:firstLine="2650" w:firstLineChars="1100"/>
        <w:jc w:val="center"/>
        <w:rPr>
          <w:rFonts w:ascii="宋体" w:hAnsi="宋体" w:cs="宋体"/>
          <w:b/>
          <w:sz w:val="24"/>
        </w:rPr>
      </w:pPr>
    </w:p>
    <w:p w14:paraId="03DDFDA1">
      <w:pPr>
        <w:jc w:val="center"/>
        <w:rPr>
          <w:rFonts w:ascii="宋体" w:hAnsi="宋体" w:cs="宋体"/>
          <w:b/>
          <w:sz w:val="40"/>
          <w:szCs w:val="40"/>
        </w:rPr>
      </w:pPr>
      <w:r>
        <w:rPr>
          <w:rFonts w:hint="eastAsia" w:ascii="宋体" w:hAnsi="宋体" w:cs="宋体"/>
          <w:b/>
          <w:sz w:val="32"/>
          <w:szCs w:val="32"/>
        </w:rPr>
        <w:t>一、磋商函及报价一览表</w:t>
      </w:r>
    </w:p>
    <w:p w14:paraId="5E5D4789">
      <w:pPr>
        <w:widowControl/>
        <w:spacing w:line="600" w:lineRule="exact"/>
        <w:jc w:val="center"/>
        <w:rPr>
          <w:rFonts w:hint="eastAsia" w:ascii="宋体" w:hAnsi="宋体" w:cs="宋体" w:eastAsiaTheme="minorEastAsia"/>
          <w:b/>
          <w:bCs/>
          <w:color w:val="000000"/>
          <w:kern w:val="0"/>
          <w:sz w:val="32"/>
          <w:szCs w:val="32"/>
          <w:lang w:val="en-US" w:eastAsia="zh-CN"/>
        </w:rPr>
      </w:pPr>
      <w:r>
        <w:rPr>
          <w:rFonts w:hint="eastAsia" w:ascii="宋体" w:hAnsi="宋体" w:cs="宋体"/>
          <w:b/>
          <w:bCs/>
          <w:color w:val="000000"/>
          <w:kern w:val="0"/>
          <w:sz w:val="32"/>
          <w:szCs w:val="32"/>
          <w:lang w:val="en-US" w:eastAsia="zh-CN"/>
        </w:rPr>
        <w:t>磋商函</w:t>
      </w:r>
    </w:p>
    <w:p w14:paraId="7BAC0C31">
      <w:pPr>
        <w:widowControl/>
        <w:spacing w:line="600" w:lineRule="exact"/>
        <w:jc w:val="left"/>
        <w:rPr>
          <w:rFonts w:ascii="宋体" w:hAnsi="宋体" w:cs="宋体"/>
          <w:color w:val="000000"/>
          <w:kern w:val="0"/>
          <w:sz w:val="24"/>
        </w:rPr>
      </w:pPr>
      <w:r>
        <w:rPr>
          <w:rFonts w:hint="eastAsia" w:ascii="宋体" w:hAnsi="宋体" w:cs="宋体"/>
          <w:color w:val="000000"/>
          <w:kern w:val="0"/>
          <w:sz w:val="24"/>
        </w:rPr>
        <w:t>致</w:t>
      </w:r>
      <w:r>
        <w:rPr>
          <w:rFonts w:hint="eastAsia" w:ascii="宋体" w:hAnsi="宋体" w:cs="宋体"/>
          <w:color w:val="000000"/>
          <w:kern w:val="0"/>
          <w:sz w:val="24"/>
          <w:u w:val="single"/>
        </w:rPr>
        <w:t xml:space="preserve">        </w:t>
      </w:r>
      <w:r>
        <w:rPr>
          <w:rFonts w:hint="eastAsia" w:ascii="宋体" w:hAnsi="宋体" w:cs="宋体"/>
          <w:color w:val="000000"/>
          <w:kern w:val="0"/>
          <w:sz w:val="24"/>
        </w:rPr>
        <w:t>（ 采购人名称 ）：</w:t>
      </w:r>
    </w:p>
    <w:p w14:paraId="055E7BB4">
      <w:pPr>
        <w:widowControl/>
        <w:spacing w:line="6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根据已收到贵方的</w:t>
      </w:r>
      <w:r>
        <w:rPr>
          <w:rFonts w:hint="eastAsia" w:ascii="宋体" w:hAnsi="宋体" w:cs="宋体"/>
          <w:color w:val="000000"/>
          <w:kern w:val="0"/>
          <w:sz w:val="24"/>
          <w:u w:val="single"/>
        </w:rPr>
        <w:t xml:space="preserve">       </w:t>
      </w:r>
      <w:r>
        <w:rPr>
          <w:rFonts w:hint="eastAsia" w:ascii="宋体" w:hAnsi="宋体" w:cs="宋体"/>
          <w:color w:val="000000"/>
          <w:kern w:val="0"/>
          <w:sz w:val="24"/>
        </w:rPr>
        <w:t>（项目名称）</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ascii="宋体" w:hAnsi="宋体" w:cs="宋体"/>
          <w:color w:val="000000"/>
          <w:kern w:val="0"/>
          <w:sz w:val="24"/>
          <w:lang w:val="en-US" w:eastAsia="zh-CN"/>
        </w:rPr>
        <w:t>采购、项目</w:t>
      </w:r>
      <w:r>
        <w:rPr>
          <w:rFonts w:hint="eastAsia" w:ascii="宋体" w:hAnsi="宋体" w:cs="宋体"/>
          <w:color w:val="000000"/>
          <w:kern w:val="0"/>
          <w:sz w:val="24"/>
        </w:rPr>
        <w:t>编号）竞争性磋商文件，</w:t>
      </w:r>
      <w:r>
        <w:rPr>
          <w:rFonts w:hint="eastAsia" w:ascii="宋体" w:hAnsi="宋体" w:cs="楷体"/>
          <w:color w:val="000000"/>
          <w:kern w:val="1"/>
          <w:sz w:val="24"/>
        </w:rPr>
        <w:t>经详细研究，我们决定参加</w:t>
      </w:r>
      <w:r>
        <w:rPr>
          <w:rFonts w:hint="eastAsia" w:ascii="宋体" w:hAnsi="宋体" w:cs="楷体"/>
          <w:color w:val="000000"/>
          <w:kern w:val="1"/>
          <w:sz w:val="24"/>
          <w:u w:val="single"/>
        </w:rPr>
        <w:t xml:space="preserve">          </w:t>
      </w:r>
      <w:r>
        <w:rPr>
          <w:rFonts w:hint="eastAsia" w:ascii="宋体" w:hAnsi="宋体" w:cs="楷体"/>
          <w:color w:val="000000"/>
          <w:kern w:val="1"/>
          <w:sz w:val="24"/>
        </w:rPr>
        <w:t>（项目名称）</w:t>
      </w:r>
      <w:r>
        <w:rPr>
          <w:rFonts w:hint="eastAsia" w:ascii="宋体" w:hAnsi="宋体" w:cs="楷体"/>
          <w:kern w:val="1"/>
          <w:sz w:val="24"/>
        </w:rPr>
        <w:t>的全部内容，我方愿意按委托人的要求承担所委托项目的服务工作，</w:t>
      </w:r>
      <w:r>
        <w:rPr>
          <w:rFonts w:hint="eastAsia" w:ascii="宋体" w:hAnsi="宋体" w:cs="宋体"/>
          <w:color w:val="000000"/>
          <w:kern w:val="0"/>
          <w:sz w:val="24"/>
        </w:rPr>
        <w:t>服务周期</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cs="宋体"/>
          <w:color w:val="000000"/>
          <w:kern w:val="0"/>
          <w:sz w:val="24"/>
        </w:rPr>
        <w:t>，质量要求达到：</w:t>
      </w:r>
      <w:r>
        <w:rPr>
          <w:rFonts w:hint="eastAsia" w:ascii="宋体" w:hAnsi="宋体" w:cs="宋体"/>
          <w:color w:val="000000"/>
          <w:kern w:val="0"/>
          <w:sz w:val="24"/>
          <w:u w:val="single"/>
        </w:rPr>
        <w:t xml:space="preserve">     </w:t>
      </w:r>
      <w:r>
        <w:rPr>
          <w:rFonts w:hint="eastAsia" w:ascii="宋体" w:hAnsi="宋体" w:cs="宋体"/>
          <w:color w:val="000000"/>
          <w:kern w:val="0"/>
          <w:sz w:val="24"/>
        </w:rPr>
        <w:t>，服务地点：</w:t>
      </w:r>
      <w:r>
        <w:rPr>
          <w:rFonts w:hint="eastAsia" w:ascii="宋体" w:hAnsi="宋体" w:cs="宋体"/>
          <w:color w:val="000000"/>
          <w:kern w:val="0"/>
          <w:sz w:val="24"/>
          <w:u w:val="single"/>
        </w:rPr>
        <w:t xml:space="preserve">       </w:t>
      </w:r>
      <w:r>
        <w:rPr>
          <w:rFonts w:hint="eastAsia" w:ascii="宋体" w:hAnsi="宋体" w:cs="宋体"/>
          <w:color w:val="000000"/>
          <w:kern w:val="0"/>
          <w:sz w:val="24"/>
        </w:rPr>
        <w:t>；按合同约定实施和完成本项目服务的内容。我方做出以下承诺：</w:t>
      </w:r>
    </w:p>
    <w:p w14:paraId="7EFF44CD">
      <w:pPr>
        <w:widowControl/>
        <w:spacing w:line="6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1、我方同意在本项目竞争性磋商文件中规定的磋商截止日期起日内60（日历天）遵守本响应文件中的承诺且在此期限期满之前均具有约束力。</w:t>
      </w:r>
    </w:p>
    <w:p w14:paraId="6334B64D">
      <w:pPr>
        <w:widowControl/>
        <w:spacing w:line="6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2、我方承诺已经具备《中华人民共和国政府采购法》中规定的参加政府采购活动的供应商应当具备的条件。</w:t>
      </w:r>
    </w:p>
    <w:p w14:paraId="3792F800">
      <w:pPr>
        <w:widowControl/>
        <w:spacing w:line="6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3、我方保证忠实地执行双方所签订的合同，并承担合同规定的责任和义务。</w:t>
      </w:r>
    </w:p>
    <w:p w14:paraId="68B6ABF1">
      <w:pPr>
        <w:widowControl/>
        <w:spacing w:line="6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4、我方承诺完全满足和响应竞争性磋商文件中的各项商务和技术要求，若有偏差，已在响应文件商务条款偏离表中予以明确特别说明。</w:t>
      </w:r>
    </w:p>
    <w:p w14:paraId="226C52AA">
      <w:pPr>
        <w:widowControl/>
        <w:spacing w:line="60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、我方愿意向贵方提供任何与本项</w:t>
      </w:r>
      <w:r>
        <w:rPr>
          <w:rFonts w:hint="eastAsia" w:ascii="宋体" w:hAnsi="宋体" w:cs="宋体"/>
          <w:color w:val="000000"/>
          <w:kern w:val="0"/>
          <w:sz w:val="24"/>
          <w:lang w:val="en-US" w:eastAsia="zh-CN"/>
        </w:rPr>
        <w:t>目</w:t>
      </w:r>
      <w:r>
        <w:rPr>
          <w:rFonts w:hint="eastAsia" w:ascii="宋体" w:hAnsi="宋体" w:cs="宋体"/>
          <w:color w:val="000000"/>
          <w:kern w:val="0"/>
          <w:sz w:val="24"/>
        </w:rPr>
        <w:t>有关的数据、情况和技术资料。若贵方需要，我方愿意提供我方作出的一切承诺的证明材料。</w:t>
      </w:r>
    </w:p>
    <w:p w14:paraId="21891395">
      <w:pPr>
        <w:widowControl/>
        <w:spacing w:line="60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、我方已详细审核全部响应文件及有关附件，确认无误。</w:t>
      </w:r>
    </w:p>
    <w:p w14:paraId="37FEE5D4">
      <w:pPr>
        <w:widowControl/>
        <w:spacing w:line="600" w:lineRule="exact"/>
        <w:ind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7、磋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1EC16CF4">
      <w:pPr>
        <w:spacing w:line="480" w:lineRule="auto"/>
        <w:jc w:val="left"/>
        <w:rPr>
          <w:rFonts w:ascii="宋体" w:hAnsi="宋体" w:cs="楷体"/>
          <w:color w:val="000000"/>
          <w:kern w:val="1"/>
          <w:sz w:val="24"/>
        </w:rPr>
      </w:pPr>
      <w:r>
        <w:rPr>
          <w:rFonts w:hint="eastAsia" w:ascii="宋体" w:hAnsi="宋体" w:cs="宋体"/>
          <w:color w:val="000000"/>
          <w:kern w:val="0"/>
          <w:sz w:val="24"/>
        </w:rPr>
        <w:t>供应商：</w:t>
      </w:r>
      <w:r>
        <w:rPr>
          <w:rFonts w:hint="eastAsia" w:ascii="宋体" w:hAnsi="宋体" w:cs="楷体"/>
          <w:color w:val="000000"/>
          <w:kern w:val="1"/>
          <w:sz w:val="24"/>
          <w:u w:val="single"/>
        </w:rPr>
        <w:t xml:space="preserve">               </w:t>
      </w:r>
      <w:r>
        <w:rPr>
          <w:rFonts w:hint="eastAsia" w:ascii="宋体" w:hAnsi="宋体" w:cs="楷体"/>
          <w:color w:val="000000"/>
          <w:kern w:val="1"/>
          <w:sz w:val="24"/>
        </w:rPr>
        <w:t>（盖单位公章）</w:t>
      </w:r>
    </w:p>
    <w:p w14:paraId="25AD1244">
      <w:pPr>
        <w:spacing w:line="480" w:lineRule="auto"/>
        <w:jc w:val="left"/>
        <w:rPr>
          <w:rFonts w:ascii="宋体" w:hAnsi="宋体" w:cs="楷体"/>
          <w:color w:val="000000"/>
          <w:kern w:val="1"/>
          <w:sz w:val="24"/>
        </w:rPr>
      </w:pPr>
      <w:r>
        <w:rPr>
          <w:rFonts w:hint="eastAsia"/>
          <w:snapToGrid w:val="0"/>
          <w:color w:val="000000"/>
          <w:spacing w:val="-5"/>
          <w:kern w:val="0"/>
          <w:sz w:val="24"/>
        </w:rPr>
        <w:t>法定代表人或授权委托人</w:t>
      </w:r>
      <w:r>
        <w:rPr>
          <w:rFonts w:hint="eastAsia" w:ascii="宋体" w:hAnsi="宋体" w:cs="楷体"/>
          <w:color w:val="000000"/>
          <w:kern w:val="1"/>
          <w:sz w:val="24"/>
        </w:rPr>
        <w:t>：</w:t>
      </w:r>
      <w:r>
        <w:rPr>
          <w:rFonts w:hint="eastAsia" w:ascii="宋体" w:hAnsi="宋体" w:cs="楷体"/>
          <w:color w:val="000000"/>
          <w:kern w:val="1"/>
          <w:sz w:val="24"/>
          <w:u w:val="single"/>
        </w:rPr>
        <w:t xml:space="preserve">                  </w:t>
      </w:r>
      <w:r>
        <w:rPr>
          <w:rFonts w:hint="eastAsia" w:ascii="宋体" w:hAnsi="宋体" w:cs="楷体"/>
          <w:color w:val="000000"/>
          <w:kern w:val="1"/>
          <w:sz w:val="24"/>
        </w:rPr>
        <w:t>（签字或盖章）</w:t>
      </w:r>
    </w:p>
    <w:p w14:paraId="31624979">
      <w:pPr>
        <w:spacing w:line="480" w:lineRule="auto"/>
        <w:jc w:val="left"/>
        <w:rPr>
          <w:rFonts w:ascii="宋体" w:hAnsi="宋体" w:cs="楷体"/>
          <w:color w:val="000000"/>
          <w:kern w:val="1"/>
          <w:sz w:val="24"/>
        </w:rPr>
      </w:pPr>
      <w:r>
        <w:rPr>
          <w:rFonts w:hint="eastAsia" w:ascii="宋体" w:hAnsi="宋体" w:cs="宋体"/>
          <w:color w:val="000000"/>
          <w:kern w:val="0"/>
          <w:sz w:val="24"/>
        </w:rPr>
        <w:t>日期：</w:t>
      </w:r>
      <w:r>
        <w:rPr>
          <w:rFonts w:hint="eastAsia" w:ascii="宋体" w:hAnsi="宋体" w:cs="楷体"/>
          <w:color w:val="000000"/>
          <w:kern w:val="1"/>
          <w:sz w:val="24"/>
        </w:rPr>
        <w:t>____年____月_____日</w:t>
      </w:r>
    </w:p>
    <w:p w14:paraId="4379A037">
      <w:pPr>
        <w:spacing w:before="91" w:line="219" w:lineRule="auto"/>
        <w:jc w:val="center"/>
        <w:rPr>
          <w:rFonts w:ascii="宋体" w:hAnsi="宋体" w:eastAsia="宋体" w:cs="宋体"/>
          <w:sz w:val="32"/>
          <w:szCs w:val="32"/>
        </w:rPr>
      </w:pPr>
      <w:r>
        <w:rPr>
          <w:rFonts w:ascii="宋体" w:hAnsi="宋体" w:eastAsia="宋体" w:cs="宋体"/>
          <w:b/>
          <w:bCs/>
          <w:spacing w:val="-3"/>
          <w:sz w:val="32"/>
          <w:szCs w:val="32"/>
        </w:rPr>
        <w:t>报价一览表</w:t>
      </w:r>
    </w:p>
    <w:p w14:paraId="6134EC63">
      <w:pPr>
        <w:spacing w:before="227" w:line="220" w:lineRule="auto"/>
        <w:ind w:left="43"/>
        <w:rPr>
          <w:rFonts w:ascii="宋体" w:hAnsi="宋体" w:eastAsia="宋体" w:cs="宋体"/>
          <w:sz w:val="24"/>
        </w:rPr>
      </w:pPr>
      <w:r>
        <w:rPr>
          <w:rFonts w:ascii="宋体" w:hAnsi="宋体" w:eastAsia="宋体" w:cs="宋体"/>
          <w:spacing w:val="-2"/>
          <w:sz w:val="24"/>
        </w:rPr>
        <w:t>项目名称：</w:t>
      </w:r>
    </w:p>
    <w:p w14:paraId="156D6EC2">
      <w:pPr>
        <w:spacing w:before="153" w:line="219" w:lineRule="auto"/>
        <w:ind w:left="43"/>
        <w:rPr>
          <w:rFonts w:ascii="宋体" w:hAnsi="宋体" w:eastAsia="宋体" w:cs="宋体"/>
          <w:sz w:val="24"/>
        </w:rPr>
      </w:pPr>
      <w:r>
        <w:rPr>
          <w:rFonts w:hint="eastAsia" w:ascii="宋体" w:hAnsi="宋体" w:eastAsia="宋体" w:cs="宋体"/>
          <w:spacing w:val="-2"/>
          <w:sz w:val="24"/>
          <w:lang w:val="en-US" w:eastAsia="zh-CN"/>
        </w:rPr>
        <w:t>采购、</w:t>
      </w:r>
      <w:r>
        <w:rPr>
          <w:rFonts w:ascii="宋体" w:hAnsi="宋体" w:eastAsia="宋体" w:cs="宋体"/>
          <w:spacing w:val="-2"/>
          <w:sz w:val="24"/>
        </w:rPr>
        <w:t>项目编号：</w:t>
      </w:r>
    </w:p>
    <w:p w14:paraId="4918B0A3">
      <w:pPr>
        <w:spacing w:before="153" w:line="219" w:lineRule="auto"/>
        <w:ind w:left="38"/>
        <w:rPr>
          <w:rFonts w:ascii="宋体" w:hAnsi="宋体" w:eastAsia="宋体" w:cs="宋体"/>
          <w:sz w:val="24"/>
        </w:rPr>
      </w:pPr>
      <w:r>
        <w:rPr>
          <w:rFonts w:ascii="宋体" w:hAnsi="宋体" w:eastAsia="宋体" w:cs="宋体"/>
          <w:sz w:val="24"/>
        </w:rPr>
        <w:t>磋商供应商名称：</w:t>
      </w:r>
    </w:p>
    <w:tbl>
      <w:tblPr>
        <w:tblStyle w:val="42"/>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00"/>
        <w:gridCol w:w="966"/>
        <w:gridCol w:w="1350"/>
        <w:gridCol w:w="1584"/>
        <w:gridCol w:w="1929"/>
      </w:tblGrid>
      <w:tr w14:paraId="27D7F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31" w:type="dxa"/>
            <w:vAlign w:val="center"/>
          </w:tcPr>
          <w:p w14:paraId="2279C3D4">
            <w:pPr>
              <w:pStyle w:val="41"/>
              <w:spacing w:before="65" w:line="229" w:lineRule="auto"/>
              <w:jc w:val="center"/>
              <w:rPr>
                <w:sz w:val="20"/>
                <w:szCs w:val="20"/>
              </w:rPr>
            </w:pPr>
            <w:r>
              <w:rPr>
                <w:spacing w:val="6"/>
                <w:sz w:val="20"/>
                <w:szCs w:val="20"/>
              </w:rPr>
              <w:t>序号</w:t>
            </w:r>
          </w:p>
        </w:tc>
        <w:tc>
          <w:tcPr>
            <w:tcW w:w="2800" w:type="dxa"/>
            <w:vAlign w:val="center"/>
          </w:tcPr>
          <w:p w14:paraId="446D51FE">
            <w:pPr>
              <w:pStyle w:val="41"/>
              <w:spacing w:before="65" w:line="227" w:lineRule="auto"/>
              <w:jc w:val="center"/>
              <w:rPr>
                <w:sz w:val="20"/>
                <w:szCs w:val="20"/>
              </w:rPr>
            </w:pPr>
            <w:r>
              <w:rPr>
                <w:spacing w:val="7"/>
                <w:sz w:val="20"/>
                <w:szCs w:val="20"/>
              </w:rPr>
              <w:t>货物名称</w:t>
            </w:r>
          </w:p>
        </w:tc>
        <w:tc>
          <w:tcPr>
            <w:tcW w:w="966" w:type="dxa"/>
            <w:vAlign w:val="center"/>
          </w:tcPr>
          <w:p w14:paraId="79CAB0AE">
            <w:pPr>
              <w:pStyle w:val="41"/>
              <w:spacing w:before="65" w:line="228" w:lineRule="auto"/>
              <w:jc w:val="center"/>
              <w:rPr>
                <w:sz w:val="20"/>
                <w:szCs w:val="20"/>
              </w:rPr>
            </w:pPr>
            <w:r>
              <w:rPr>
                <w:spacing w:val="5"/>
                <w:sz w:val="20"/>
                <w:szCs w:val="20"/>
              </w:rPr>
              <w:t>数量</w:t>
            </w:r>
          </w:p>
        </w:tc>
        <w:tc>
          <w:tcPr>
            <w:tcW w:w="1350" w:type="dxa"/>
            <w:vAlign w:val="center"/>
          </w:tcPr>
          <w:p w14:paraId="2D061E4B">
            <w:pPr>
              <w:pStyle w:val="41"/>
              <w:spacing w:before="65" w:line="228" w:lineRule="auto"/>
              <w:jc w:val="center"/>
              <w:rPr>
                <w:sz w:val="20"/>
                <w:szCs w:val="20"/>
              </w:rPr>
            </w:pPr>
            <w:r>
              <w:rPr>
                <w:spacing w:val="5"/>
                <w:sz w:val="20"/>
                <w:szCs w:val="20"/>
              </w:rPr>
              <w:t>单位</w:t>
            </w:r>
          </w:p>
        </w:tc>
        <w:tc>
          <w:tcPr>
            <w:tcW w:w="1584" w:type="dxa"/>
            <w:vAlign w:val="center"/>
          </w:tcPr>
          <w:p w14:paraId="63BC5121">
            <w:pPr>
              <w:pStyle w:val="41"/>
              <w:spacing w:before="65" w:line="228" w:lineRule="auto"/>
              <w:jc w:val="center"/>
              <w:rPr>
                <w:sz w:val="20"/>
                <w:szCs w:val="20"/>
              </w:rPr>
            </w:pPr>
            <w:r>
              <w:rPr>
                <w:spacing w:val="10"/>
                <w:sz w:val="20"/>
                <w:szCs w:val="20"/>
              </w:rPr>
              <w:t>合同履行期限</w:t>
            </w:r>
          </w:p>
        </w:tc>
        <w:tc>
          <w:tcPr>
            <w:tcW w:w="1929" w:type="dxa"/>
            <w:vAlign w:val="center"/>
          </w:tcPr>
          <w:p w14:paraId="65DF4F7B">
            <w:pPr>
              <w:pStyle w:val="41"/>
              <w:spacing w:before="65" w:line="227" w:lineRule="auto"/>
              <w:jc w:val="center"/>
              <w:rPr>
                <w:sz w:val="20"/>
                <w:szCs w:val="20"/>
              </w:rPr>
            </w:pPr>
            <w:r>
              <w:rPr>
                <w:spacing w:val="8"/>
                <w:sz w:val="20"/>
                <w:szCs w:val="20"/>
              </w:rPr>
              <w:t>交货地点</w:t>
            </w:r>
          </w:p>
        </w:tc>
      </w:tr>
      <w:tr w14:paraId="7C2D7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31" w:type="dxa"/>
            <w:vAlign w:val="center"/>
          </w:tcPr>
          <w:p w14:paraId="215A28BB">
            <w:pPr>
              <w:pStyle w:val="41"/>
              <w:spacing w:before="65" w:line="227" w:lineRule="auto"/>
              <w:jc w:val="center"/>
              <w:rPr>
                <w:spacing w:val="7"/>
                <w:sz w:val="20"/>
                <w:szCs w:val="20"/>
              </w:rPr>
            </w:pPr>
            <w:r>
              <w:rPr>
                <w:spacing w:val="7"/>
                <w:sz w:val="20"/>
                <w:szCs w:val="20"/>
              </w:rPr>
              <w:t>1</w:t>
            </w:r>
          </w:p>
        </w:tc>
        <w:tc>
          <w:tcPr>
            <w:tcW w:w="2800" w:type="dxa"/>
            <w:vAlign w:val="center"/>
          </w:tcPr>
          <w:p w14:paraId="299D3A84">
            <w:pPr>
              <w:pStyle w:val="41"/>
              <w:spacing w:before="65" w:line="227" w:lineRule="auto"/>
              <w:jc w:val="center"/>
              <w:rPr>
                <w:spacing w:val="7"/>
                <w:sz w:val="20"/>
                <w:szCs w:val="20"/>
                <w:lang w:eastAsia="zh-CN"/>
              </w:rPr>
            </w:pPr>
            <w:r>
              <w:rPr>
                <w:rFonts w:hint="eastAsia"/>
                <w:spacing w:val="-6"/>
                <w:sz w:val="24"/>
                <w:szCs w:val="24"/>
                <w:lang w:eastAsia="zh-CN"/>
              </w:rPr>
              <w:t>蔬果、禽蛋、禽畜肉、水产品、饮品、米面粮油、调料干杂等食材供应</w:t>
            </w:r>
          </w:p>
        </w:tc>
        <w:tc>
          <w:tcPr>
            <w:tcW w:w="966" w:type="dxa"/>
            <w:vAlign w:val="center"/>
          </w:tcPr>
          <w:p w14:paraId="6E577E5B">
            <w:pPr>
              <w:pStyle w:val="41"/>
              <w:spacing w:before="65" w:line="227" w:lineRule="auto"/>
              <w:jc w:val="center"/>
              <w:rPr>
                <w:spacing w:val="7"/>
                <w:sz w:val="20"/>
                <w:szCs w:val="20"/>
              </w:rPr>
            </w:pPr>
            <w:r>
              <w:rPr>
                <w:spacing w:val="7"/>
                <w:sz w:val="20"/>
                <w:szCs w:val="20"/>
              </w:rPr>
              <w:t>1</w:t>
            </w:r>
          </w:p>
        </w:tc>
        <w:tc>
          <w:tcPr>
            <w:tcW w:w="1350" w:type="dxa"/>
            <w:vAlign w:val="center"/>
          </w:tcPr>
          <w:p w14:paraId="2592B1E7">
            <w:pPr>
              <w:pStyle w:val="41"/>
              <w:spacing w:before="65" w:line="227" w:lineRule="auto"/>
              <w:jc w:val="center"/>
              <w:rPr>
                <w:spacing w:val="7"/>
                <w:sz w:val="20"/>
                <w:szCs w:val="20"/>
              </w:rPr>
            </w:pPr>
            <w:r>
              <w:rPr>
                <w:spacing w:val="7"/>
                <w:sz w:val="20"/>
                <w:szCs w:val="20"/>
              </w:rPr>
              <w:t>批</w:t>
            </w:r>
          </w:p>
        </w:tc>
        <w:tc>
          <w:tcPr>
            <w:tcW w:w="1584" w:type="dxa"/>
            <w:vAlign w:val="center"/>
          </w:tcPr>
          <w:p w14:paraId="3E33BB8E">
            <w:pPr>
              <w:pStyle w:val="41"/>
              <w:spacing w:before="65" w:line="227" w:lineRule="auto"/>
              <w:jc w:val="center"/>
              <w:rPr>
                <w:spacing w:val="7"/>
                <w:sz w:val="20"/>
                <w:szCs w:val="20"/>
                <w:lang w:eastAsia="zh-CN"/>
              </w:rPr>
            </w:pPr>
            <w:r>
              <w:rPr>
                <w:rFonts w:hint="eastAsia"/>
                <w:spacing w:val="7"/>
                <w:sz w:val="20"/>
                <w:szCs w:val="20"/>
                <w:lang w:eastAsia="zh-CN"/>
              </w:rPr>
              <w:t>1年</w:t>
            </w:r>
          </w:p>
        </w:tc>
        <w:tc>
          <w:tcPr>
            <w:tcW w:w="1929" w:type="dxa"/>
            <w:vAlign w:val="center"/>
          </w:tcPr>
          <w:p w14:paraId="30AFF86C">
            <w:pPr>
              <w:pStyle w:val="41"/>
              <w:spacing w:before="65" w:line="227" w:lineRule="auto"/>
              <w:jc w:val="center"/>
              <w:rPr>
                <w:spacing w:val="7"/>
                <w:sz w:val="20"/>
                <w:szCs w:val="20"/>
              </w:rPr>
            </w:pPr>
          </w:p>
        </w:tc>
      </w:tr>
      <w:tr w14:paraId="0F60B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60" w:type="dxa"/>
            <w:gridSpan w:val="6"/>
            <w:vAlign w:val="center"/>
          </w:tcPr>
          <w:p w14:paraId="50EDCDEC">
            <w:pPr>
              <w:pStyle w:val="41"/>
              <w:spacing w:before="78" w:line="219" w:lineRule="auto"/>
              <w:ind w:firstLine="228" w:firstLineChars="100"/>
              <w:rPr>
                <w:sz w:val="24"/>
                <w:szCs w:val="24"/>
              </w:rPr>
            </w:pPr>
            <w:r>
              <w:rPr>
                <w:spacing w:val="-6"/>
                <w:sz w:val="24"/>
                <w:szCs w:val="24"/>
              </w:rPr>
              <w:t>报价（折扣）：</w:t>
            </w:r>
            <w:r>
              <w:rPr>
                <w:spacing w:val="-6"/>
                <w:sz w:val="24"/>
                <w:szCs w:val="24"/>
                <w:u w:val="single"/>
              </w:rPr>
              <w:t xml:space="preserve">           </w:t>
            </w:r>
            <w:r>
              <w:rPr>
                <w:spacing w:val="-6"/>
                <w:sz w:val="24"/>
                <w:szCs w:val="24"/>
              </w:rPr>
              <w:t xml:space="preserve"> %</w:t>
            </w:r>
          </w:p>
        </w:tc>
      </w:tr>
      <w:tr w14:paraId="65B1D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460" w:type="dxa"/>
            <w:gridSpan w:val="6"/>
            <w:vAlign w:val="center"/>
          </w:tcPr>
          <w:p w14:paraId="597EF0B2">
            <w:pPr>
              <w:pStyle w:val="41"/>
              <w:spacing w:before="118" w:line="366" w:lineRule="auto"/>
              <w:ind w:left="118" w:right="111" w:firstLine="485"/>
              <w:rPr>
                <w:b/>
                <w:bCs/>
                <w:spacing w:val="-3"/>
                <w:sz w:val="24"/>
                <w:szCs w:val="24"/>
                <w:lang w:eastAsia="zh-CN"/>
              </w:rPr>
            </w:pPr>
            <w:r>
              <w:rPr>
                <w:spacing w:val="-3"/>
                <w:sz w:val="24"/>
                <w:szCs w:val="24"/>
                <w:lang w:eastAsia="zh-CN"/>
              </w:rPr>
              <w:t>备注：</w:t>
            </w:r>
            <w:r>
              <w:rPr>
                <w:rFonts w:hint="eastAsia"/>
                <w:b/>
                <w:bCs/>
                <w:spacing w:val="-3"/>
                <w:sz w:val="24"/>
                <w:szCs w:val="24"/>
                <w:lang w:eastAsia="zh-CN"/>
              </w:rPr>
              <w:t>综合执行单价=（三门峡市发展和改革委员会同期公布的三门峡市重要农副产品每日价格表单价×70%+供应商报价×30%）×成交折扣</w:t>
            </w:r>
          </w:p>
          <w:p w14:paraId="0DE0B3B9">
            <w:pPr>
              <w:overflowPunct w:val="0"/>
              <w:adjustRightInd w:val="0"/>
              <w:snapToGrid w:val="0"/>
              <w:spacing w:line="360" w:lineRule="auto"/>
              <w:ind w:firstLine="460" w:firstLineChars="200"/>
              <w:jc w:val="left"/>
              <w:rPr>
                <w:rFonts w:ascii="宋体" w:hAnsi="宋体" w:eastAsia="宋体" w:cs="宋体"/>
                <w:color w:val="000000"/>
                <w:sz w:val="24"/>
              </w:rPr>
            </w:pPr>
            <w:r>
              <w:rPr>
                <w:snapToGrid w:val="0"/>
                <w:color w:val="000000"/>
                <w:spacing w:val="-5"/>
                <w:kern w:val="0"/>
                <w:sz w:val="24"/>
              </w:rPr>
              <w:t>注：</w:t>
            </w:r>
            <w:r>
              <w:rPr>
                <w:rFonts w:hint="eastAsia" w:ascii="宋体" w:hAnsi="宋体" w:eastAsia="宋体" w:cs="宋体"/>
                <w:color w:val="000000"/>
                <w:sz w:val="24"/>
              </w:rPr>
              <w:t>1、依据三门峡市发展和改革委员会同期公布的三门峡市重要农副产品价格表，最终确定的综合执行单价最高不得高于三门峡市发展和改革委员会同期公布的三门峡市重要农副产品价格表单价的10%。</w:t>
            </w:r>
          </w:p>
          <w:p w14:paraId="695E1637">
            <w:pPr>
              <w:overflowPunct w:val="0"/>
              <w:adjustRightInd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2、其中三门峡市发展和改革委员会同期公布的三门峡市重要农副产品每日价格表中存在未列明的重要农副产品，综合执行单价按照如下公式计算：</w:t>
            </w:r>
          </w:p>
          <w:p w14:paraId="7DDEA7CD">
            <w:pPr>
              <w:overflowPunct w:val="0"/>
              <w:adjustRightInd w:val="0"/>
              <w:snapToGrid w:val="0"/>
              <w:spacing w:line="360" w:lineRule="auto"/>
              <w:ind w:firstLine="480" w:firstLineChars="200"/>
              <w:jc w:val="left"/>
              <w:rPr>
                <w:sz w:val="24"/>
              </w:rPr>
            </w:pPr>
            <w:r>
              <w:rPr>
                <w:rFonts w:hint="eastAsia" w:ascii="宋体" w:hAnsi="宋体" w:eastAsia="宋体" w:cs="宋体"/>
                <w:color w:val="000000"/>
                <w:sz w:val="24"/>
              </w:rPr>
              <w:t>综合执行单价=（本地批发1市场调研单价×40%+本地批发2市场调研单价×30%+供应商报价×30%）×成交折扣</w:t>
            </w:r>
          </w:p>
        </w:tc>
      </w:tr>
      <w:tr w14:paraId="71FBF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460" w:type="dxa"/>
            <w:gridSpan w:val="6"/>
            <w:vAlign w:val="center"/>
          </w:tcPr>
          <w:p w14:paraId="186DD190">
            <w:pPr>
              <w:pStyle w:val="41"/>
              <w:spacing w:before="78" w:line="219" w:lineRule="auto"/>
              <w:rPr>
                <w:sz w:val="24"/>
                <w:szCs w:val="24"/>
                <w:lang w:eastAsia="zh-CN"/>
              </w:rPr>
            </w:pPr>
            <w:r>
              <w:rPr>
                <w:spacing w:val="-6"/>
                <w:sz w:val="24"/>
                <w:szCs w:val="24"/>
                <w:lang w:eastAsia="zh-CN"/>
              </w:rPr>
              <w:t>项目负责人</w:t>
            </w:r>
            <w:r>
              <w:rPr>
                <w:spacing w:val="4"/>
                <w:sz w:val="24"/>
                <w:szCs w:val="24"/>
                <w:lang w:eastAsia="zh-CN"/>
              </w:rPr>
              <w:t>：</w:t>
            </w:r>
            <w:r>
              <w:rPr>
                <w:spacing w:val="1"/>
                <w:sz w:val="24"/>
                <w:szCs w:val="24"/>
                <w:u w:val="single"/>
                <w:lang w:eastAsia="zh-CN"/>
              </w:rPr>
              <w:t xml:space="preserve">                </w:t>
            </w:r>
            <w:r>
              <w:rPr>
                <w:spacing w:val="31"/>
                <w:sz w:val="24"/>
                <w:szCs w:val="24"/>
                <w:lang w:eastAsia="zh-CN"/>
              </w:rPr>
              <w:t xml:space="preserve"> </w:t>
            </w:r>
            <w:r>
              <w:rPr>
                <w:spacing w:val="4"/>
                <w:sz w:val="24"/>
                <w:szCs w:val="24"/>
                <w:lang w:eastAsia="zh-CN"/>
              </w:rPr>
              <w:t>；</w:t>
            </w:r>
            <w:r>
              <w:rPr>
                <w:spacing w:val="-6"/>
                <w:sz w:val="24"/>
                <w:szCs w:val="24"/>
                <w:lang w:eastAsia="zh-CN"/>
              </w:rPr>
              <w:t>电话</w:t>
            </w:r>
            <w:r>
              <w:rPr>
                <w:spacing w:val="4"/>
                <w:sz w:val="24"/>
                <w:szCs w:val="24"/>
                <w:lang w:eastAsia="zh-CN"/>
              </w:rPr>
              <w:t>：</w:t>
            </w:r>
            <w:r>
              <w:rPr>
                <w:sz w:val="24"/>
                <w:szCs w:val="24"/>
                <w:u w:val="single"/>
                <w:lang w:eastAsia="zh-CN"/>
              </w:rPr>
              <w:t xml:space="preserve">              </w:t>
            </w:r>
            <w:r>
              <w:rPr>
                <w:spacing w:val="4"/>
                <w:sz w:val="24"/>
                <w:szCs w:val="24"/>
                <w:lang w:eastAsia="zh-CN"/>
              </w:rPr>
              <w:t>；</w:t>
            </w:r>
          </w:p>
        </w:tc>
      </w:tr>
      <w:tr w14:paraId="254B5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9460" w:type="dxa"/>
            <w:gridSpan w:val="6"/>
            <w:vAlign w:val="center"/>
          </w:tcPr>
          <w:p w14:paraId="69CDFA18">
            <w:pPr>
              <w:pStyle w:val="41"/>
              <w:spacing w:before="78" w:line="360" w:lineRule="auto"/>
              <w:ind w:firstLine="456" w:firstLineChars="200"/>
              <w:rPr>
                <w:snapToGrid w:val="0"/>
                <w:color w:val="000000"/>
                <w:spacing w:val="-5"/>
                <w:kern w:val="0"/>
                <w:sz w:val="24"/>
                <w:szCs w:val="24"/>
                <w:lang w:eastAsia="zh-CN"/>
              </w:rPr>
            </w:pPr>
            <w:r>
              <w:rPr>
                <w:rFonts w:hint="eastAsia"/>
                <w:spacing w:val="-6"/>
                <w:sz w:val="24"/>
                <w:szCs w:val="24"/>
                <w:lang w:eastAsia="zh-CN"/>
              </w:rPr>
              <w:t>备注：本项目采用折扣报价，成交折扣在整个合同执行过程中，不因国家政策变化而变动。根据成交折扣计算出的实际支付金额包含所供货物价格、运送到甲方指定地点所发 生的运费、装卸费、调换等环节所发生的费用及其他相关费用和所需缴纳的一切相关税 费。实际支付金额不得超过该项目预算金额。</w:t>
            </w:r>
          </w:p>
        </w:tc>
      </w:tr>
    </w:tbl>
    <w:p w14:paraId="18249D59">
      <w:pPr>
        <w:pStyle w:val="41"/>
        <w:widowControl/>
        <w:kinsoku w:val="0"/>
        <w:autoSpaceDE w:val="0"/>
        <w:autoSpaceDN w:val="0"/>
        <w:adjustRightInd w:val="0"/>
        <w:snapToGrid w:val="0"/>
        <w:spacing w:line="366" w:lineRule="auto"/>
        <w:ind w:right="47"/>
        <w:textAlignment w:val="baseline"/>
        <w:rPr>
          <w:snapToGrid w:val="0"/>
          <w:color w:val="000000"/>
          <w:spacing w:val="-5"/>
          <w:kern w:val="0"/>
          <w:lang w:eastAsia="zh-CN"/>
        </w:rPr>
      </w:pPr>
    </w:p>
    <w:p w14:paraId="598B6EC0">
      <w:pPr>
        <w:pStyle w:val="41"/>
        <w:widowControl/>
        <w:kinsoku w:val="0"/>
        <w:autoSpaceDE w:val="0"/>
        <w:autoSpaceDN w:val="0"/>
        <w:adjustRightInd w:val="0"/>
        <w:snapToGrid w:val="0"/>
        <w:spacing w:line="366" w:lineRule="auto"/>
        <w:ind w:left="119" w:right="47" w:firstLine="481"/>
        <w:jc w:val="center"/>
        <w:textAlignment w:val="baseline"/>
        <w:rPr>
          <w:snapToGrid w:val="0"/>
          <w:color w:val="000000"/>
          <w:spacing w:val="-5"/>
          <w:kern w:val="0"/>
          <w:sz w:val="24"/>
          <w:szCs w:val="24"/>
          <w:lang w:eastAsia="zh-CN"/>
        </w:rPr>
      </w:pPr>
      <w:r>
        <w:rPr>
          <w:rFonts w:hint="eastAsia"/>
          <w:snapToGrid w:val="0"/>
          <w:color w:val="000000"/>
          <w:spacing w:val="-5"/>
          <w:kern w:val="0"/>
          <w:sz w:val="24"/>
          <w:szCs w:val="24"/>
          <w:lang w:eastAsia="zh-CN"/>
        </w:rPr>
        <w:t xml:space="preserve">            供应商：</w:t>
      </w:r>
      <w:r>
        <w:rPr>
          <w:rFonts w:hint="eastAsia"/>
          <w:snapToGrid w:val="0"/>
          <w:color w:val="000000"/>
          <w:spacing w:val="-5"/>
          <w:kern w:val="0"/>
          <w:sz w:val="24"/>
          <w:szCs w:val="24"/>
          <w:u w:val="single"/>
          <w:lang w:eastAsia="zh-CN"/>
        </w:rPr>
        <w:t xml:space="preserve">                  </w:t>
      </w:r>
      <w:r>
        <w:rPr>
          <w:rFonts w:hint="eastAsia"/>
          <w:snapToGrid w:val="0"/>
          <w:color w:val="000000"/>
          <w:spacing w:val="-5"/>
          <w:kern w:val="0"/>
          <w:sz w:val="24"/>
          <w:szCs w:val="24"/>
          <w:lang w:eastAsia="zh-CN"/>
        </w:rPr>
        <w:t>（全称并加盖公章）</w:t>
      </w:r>
    </w:p>
    <w:p w14:paraId="4E212B5E">
      <w:pPr>
        <w:pStyle w:val="41"/>
        <w:widowControl/>
        <w:kinsoku w:val="0"/>
        <w:autoSpaceDE w:val="0"/>
        <w:autoSpaceDN w:val="0"/>
        <w:adjustRightInd w:val="0"/>
        <w:snapToGrid w:val="0"/>
        <w:spacing w:line="366" w:lineRule="auto"/>
        <w:ind w:left="119" w:right="47" w:firstLine="481"/>
        <w:jc w:val="right"/>
        <w:textAlignment w:val="baseline"/>
        <w:rPr>
          <w:snapToGrid w:val="0"/>
          <w:color w:val="000000"/>
          <w:spacing w:val="-5"/>
          <w:kern w:val="0"/>
          <w:sz w:val="24"/>
          <w:szCs w:val="24"/>
          <w:lang w:eastAsia="zh-CN"/>
        </w:rPr>
      </w:pPr>
      <w:r>
        <w:rPr>
          <w:rFonts w:hint="eastAsia"/>
          <w:snapToGrid w:val="0"/>
          <w:color w:val="000000"/>
          <w:spacing w:val="-5"/>
          <w:kern w:val="0"/>
          <w:sz w:val="24"/>
          <w:szCs w:val="24"/>
          <w:lang w:eastAsia="zh-CN"/>
        </w:rPr>
        <w:t>法定代表人或授权委托人：</w:t>
      </w:r>
      <w:r>
        <w:rPr>
          <w:rFonts w:hint="eastAsia"/>
          <w:snapToGrid w:val="0"/>
          <w:color w:val="000000"/>
          <w:spacing w:val="-5"/>
          <w:kern w:val="0"/>
          <w:sz w:val="24"/>
          <w:szCs w:val="24"/>
          <w:u w:val="single"/>
          <w:lang w:eastAsia="zh-CN"/>
        </w:rPr>
        <w:t xml:space="preserve">               </w:t>
      </w:r>
      <w:r>
        <w:rPr>
          <w:rFonts w:hint="eastAsia"/>
          <w:snapToGrid w:val="0"/>
          <w:color w:val="000000"/>
          <w:spacing w:val="-5"/>
          <w:kern w:val="0"/>
          <w:sz w:val="24"/>
          <w:szCs w:val="24"/>
          <w:lang w:eastAsia="zh-CN"/>
        </w:rPr>
        <w:t>（签字或盖章）</w:t>
      </w:r>
    </w:p>
    <w:p w14:paraId="1C4F2D71">
      <w:pPr>
        <w:pStyle w:val="41"/>
        <w:widowControl/>
        <w:kinsoku w:val="0"/>
        <w:autoSpaceDE w:val="0"/>
        <w:autoSpaceDN w:val="0"/>
        <w:adjustRightInd w:val="0"/>
        <w:snapToGrid w:val="0"/>
        <w:spacing w:line="366" w:lineRule="auto"/>
        <w:ind w:right="47" w:firstLine="2990" w:firstLineChars="1300"/>
        <w:textAlignment w:val="baseline"/>
        <w:rPr>
          <w:sz w:val="24"/>
          <w:szCs w:val="24"/>
          <w:lang w:eastAsia="zh-CN"/>
        </w:rPr>
        <w:sectPr>
          <w:headerReference r:id="rId4" w:type="default"/>
          <w:pgSz w:w="11905" w:h="16839"/>
          <w:pgMar w:top="1417" w:right="1417" w:bottom="1644" w:left="1417" w:header="714" w:footer="850" w:gutter="0"/>
          <w:pgNumType w:fmt="decimal"/>
          <w:cols w:space="720" w:num="1"/>
        </w:sectPr>
      </w:pPr>
      <w:r>
        <w:rPr>
          <w:rFonts w:hint="eastAsia"/>
          <w:snapToGrid w:val="0"/>
          <w:color w:val="000000"/>
          <w:spacing w:val="-5"/>
          <w:kern w:val="0"/>
          <w:sz w:val="24"/>
          <w:szCs w:val="24"/>
          <w:lang w:eastAsia="zh-CN"/>
        </w:rPr>
        <w:t>日   期 ：</w:t>
      </w:r>
      <w:r>
        <w:rPr>
          <w:rFonts w:hint="eastAsia"/>
          <w:snapToGrid w:val="0"/>
          <w:color w:val="000000"/>
          <w:spacing w:val="-5"/>
          <w:kern w:val="0"/>
          <w:sz w:val="24"/>
          <w:szCs w:val="24"/>
          <w:u w:val="single"/>
          <w:lang w:eastAsia="zh-CN"/>
        </w:rPr>
        <w:t xml:space="preserve">                  </w:t>
      </w:r>
    </w:p>
    <w:p w14:paraId="3F8E7031">
      <w:pPr>
        <w:pStyle w:val="14"/>
        <w:spacing w:line="360" w:lineRule="auto"/>
        <w:jc w:val="center"/>
        <w:rPr>
          <w:rFonts w:ascii="宋体" w:hAnsi="宋体"/>
          <w:b/>
          <w:bCs/>
          <w:kern w:val="0"/>
          <w:sz w:val="32"/>
          <w:szCs w:val="32"/>
        </w:rPr>
      </w:pPr>
      <w:r>
        <w:rPr>
          <w:rFonts w:hint="eastAsia" w:ascii="宋体" w:hAnsi="宋体"/>
          <w:b/>
          <w:bCs/>
          <w:kern w:val="0"/>
          <w:sz w:val="32"/>
          <w:szCs w:val="32"/>
        </w:rPr>
        <w:t>二、</w:t>
      </w:r>
      <w:r>
        <w:rPr>
          <w:rFonts w:ascii="宋体" w:hAnsi="宋体"/>
          <w:b/>
          <w:bCs/>
          <w:kern w:val="0"/>
          <w:sz w:val="32"/>
          <w:szCs w:val="32"/>
        </w:rPr>
        <w:t>法定代表人身份证明</w:t>
      </w:r>
    </w:p>
    <w:p w14:paraId="3C6BDC81">
      <w:pPr>
        <w:spacing w:line="440" w:lineRule="exact"/>
        <w:rPr>
          <w:rFonts w:ascii="宋体" w:hAnsi="宋体"/>
          <w:sz w:val="24"/>
          <w:szCs w:val="21"/>
        </w:rPr>
      </w:pPr>
    </w:p>
    <w:p w14:paraId="6300A34E">
      <w:pPr>
        <w:spacing w:line="440" w:lineRule="exact"/>
        <w:rPr>
          <w:rFonts w:ascii="宋体" w:hAnsi="宋体"/>
          <w:sz w:val="24"/>
          <w:szCs w:val="21"/>
        </w:rPr>
      </w:pPr>
      <w:r>
        <w:rPr>
          <w:rFonts w:ascii="宋体" w:hAnsi="宋体"/>
          <w:sz w:val="24"/>
          <w:szCs w:val="21"/>
        </w:rPr>
        <w:t>供应商名称：</w:t>
      </w:r>
      <w:r>
        <w:rPr>
          <w:rFonts w:ascii="宋体" w:hAnsi="宋体"/>
          <w:sz w:val="24"/>
          <w:szCs w:val="21"/>
          <w:u w:val="single"/>
        </w:rPr>
        <w:t xml:space="preserve">                            </w:t>
      </w:r>
      <w:r>
        <w:rPr>
          <w:rFonts w:ascii="宋体" w:hAnsi="宋体"/>
          <w:sz w:val="24"/>
          <w:szCs w:val="21"/>
        </w:rPr>
        <w:t xml:space="preserve"> </w:t>
      </w:r>
    </w:p>
    <w:p w14:paraId="579BFA3C">
      <w:pPr>
        <w:spacing w:line="440" w:lineRule="exact"/>
        <w:rPr>
          <w:rFonts w:ascii="宋体" w:hAnsi="宋体"/>
          <w:sz w:val="24"/>
          <w:szCs w:val="21"/>
        </w:rPr>
      </w:pPr>
      <w:r>
        <w:rPr>
          <w:rFonts w:ascii="宋体" w:hAnsi="宋体"/>
          <w:sz w:val="24"/>
          <w:szCs w:val="21"/>
        </w:rPr>
        <w:t>单位性质：</w:t>
      </w:r>
      <w:r>
        <w:rPr>
          <w:rFonts w:ascii="宋体" w:hAnsi="宋体"/>
          <w:sz w:val="24"/>
          <w:szCs w:val="21"/>
          <w:u w:val="single"/>
        </w:rPr>
        <w:t xml:space="preserve">                               </w:t>
      </w:r>
      <w:r>
        <w:rPr>
          <w:rFonts w:ascii="宋体" w:hAnsi="宋体"/>
          <w:sz w:val="24"/>
          <w:szCs w:val="21"/>
        </w:rPr>
        <w:t xml:space="preserve"> </w:t>
      </w:r>
    </w:p>
    <w:p w14:paraId="5AE106F8">
      <w:pPr>
        <w:spacing w:line="440" w:lineRule="exact"/>
        <w:rPr>
          <w:rFonts w:ascii="宋体" w:hAnsi="宋体"/>
          <w:sz w:val="24"/>
          <w:szCs w:val="21"/>
        </w:rPr>
      </w:pPr>
      <w:r>
        <w:rPr>
          <w:rFonts w:ascii="宋体" w:hAnsi="宋体"/>
          <w:sz w:val="24"/>
          <w:szCs w:val="21"/>
        </w:rPr>
        <w:t>地址：</w:t>
      </w:r>
      <w:r>
        <w:rPr>
          <w:rFonts w:ascii="宋体" w:hAnsi="宋体"/>
          <w:sz w:val="24"/>
          <w:szCs w:val="21"/>
          <w:u w:val="single"/>
        </w:rPr>
        <w:t xml:space="preserve">                                   </w:t>
      </w:r>
    </w:p>
    <w:p w14:paraId="06E62E98">
      <w:pPr>
        <w:spacing w:line="440" w:lineRule="exact"/>
        <w:rPr>
          <w:rFonts w:ascii="宋体" w:hAnsi="宋体"/>
          <w:sz w:val="24"/>
          <w:szCs w:val="21"/>
        </w:rPr>
      </w:pPr>
      <w:r>
        <w:rPr>
          <w:rFonts w:ascii="宋体" w:hAnsi="宋体"/>
          <w:sz w:val="24"/>
          <w:szCs w:val="21"/>
        </w:rPr>
        <w:t>成立时间：</w:t>
      </w:r>
      <w:r>
        <w:rPr>
          <w:rFonts w:ascii="宋体" w:hAnsi="宋体"/>
          <w:sz w:val="24"/>
          <w:szCs w:val="21"/>
          <w:u w:val="single"/>
        </w:rPr>
        <w:t xml:space="preserve">         </w:t>
      </w:r>
      <w:r>
        <w:rPr>
          <w:rFonts w:ascii="宋体" w:hAnsi="宋体"/>
          <w:sz w:val="24"/>
          <w:szCs w:val="21"/>
        </w:rPr>
        <w:t xml:space="preserve"> 年</w:t>
      </w:r>
      <w:r>
        <w:rPr>
          <w:rFonts w:ascii="宋体" w:hAnsi="宋体"/>
          <w:sz w:val="24"/>
          <w:szCs w:val="21"/>
          <w:u w:val="single"/>
        </w:rPr>
        <w:t xml:space="preserve">       </w:t>
      </w:r>
      <w:r>
        <w:rPr>
          <w:rFonts w:ascii="宋体" w:hAnsi="宋体"/>
          <w:sz w:val="24"/>
          <w:szCs w:val="21"/>
        </w:rPr>
        <w:t xml:space="preserve"> 月</w:t>
      </w:r>
      <w:r>
        <w:rPr>
          <w:rFonts w:ascii="宋体" w:hAnsi="宋体"/>
          <w:sz w:val="24"/>
          <w:szCs w:val="21"/>
          <w:u w:val="single"/>
        </w:rPr>
        <w:t xml:space="preserve">       </w:t>
      </w:r>
      <w:r>
        <w:rPr>
          <w:rFonts w:ascii="宋体" w:hAnsi="宋体"/>
          <w:sz w:val="24"/>
          <w:szCs w:val="21"/>
        </w:rPr>
        <w:t xml:space="preserve"> 日</w:t>
      </w:r>
    </w:p>
    <w:p w14:paraId="4A48AC18">
      <w:pPr>
        <w:spacing w:line="440" w:lineRule="exact"/>
        <w:rPr>
          <w:rFonts w:ascii="宋体" w:hAnsi="宋体"/>
          <w:sz w:val="24"/>
          <w:szCs w:val="21"/>
        </w:rPr>
      </w:pPr>
      <w:r>
        <w:rPr>
          <w:rFonts w:ascii="宋体" w:hAnsi="宋体"/>
          <w:sz w:val="24"/>
          <w:szCs w:val="21"/>
        </w:rPr>
        <w:t>经营期限：</w:t>
      </w:r>
      <w:r>
        <w:rPr>
          <w:rFonts w:ascii="宋体" w:hAnsi="宋体"/>
          <w:sz w:val="24"/>
          <w:szCs w:val="21"/>
          <w:u w:val="single"/>
        </w:rPr>
        <w:t xml:space="preserve">                               </w:t>
      </w:r>
    </w:p>
    <w:p w14:paraId="588D91FC">
      <w:pPr>
        <w:spacing w:line="440" w:lineRule="exact"/>
        <w:rPr>
          <w:rFonts w:ascii="宋体" w:hAnsi="宋体"/>
          <w:sz w:val="24"/>
          <w:szCs w:val="21"/>
        </w:rPr>
      </w:pPr>
      <w:r>
        <w:rPr>
          <w:rFonts w:ascii="宋体" w:hAnsi="宋体"/>
          <w:sz w:val="24"/>
          <w:szCs w:val="21"/>
        </w:rPr>
        <w:t>姓名：</w:t>
      </w:r>
      <w:r>
        <w:rPr>
          <w:rFonts w:ascii="宋体" w:hAnsi="宋体"/>
          <w:sz w:val="24"/>
          <w:szCs w:val="21"/>
          <w:u w:val="single"/>
        </w:rPr>
        <w:t xml:space="preserve">        </w:t>
      </w:r>
      <w:r>
        <w:rPr>
          <w:rFonts w:ascii="宋体" w:hAnsi="宋体"/>
          <w:sz w:val="24"/>
          <w:szCs w:val="21"/>
        </w:rPr>
        <w:t xml:space="preserve"> 性别：</w:t>
      </w:r>
      <w:r>
        <w:rPr>
          <w:rFonts w:ascii="宋体" w:hAnsi="宋体"/>
          <w:sz w:val="24"/>
          <w:szCs w:val="21"/>
          <w:u w:val="single"/>
        </w:rPr>
        <w:t xml:space="preserve">         </w:t>
      </w:r>
      <w:r>
        <w:rPr>
          <w:rFonts w:ascii="宋体" w:hAnsi="宋体"/>
          <w:sz w:val="24"/>
          <w:szCs w:val="21"/>
        </w:rPr>
        <w:t xml:space="preserve"> 年龄：</w:t>
      </w:r>
      <w:r>
        <w:rPr>
          <w:rFonts w:ascii="宋体" w:hAnsi="宋体"/>
          <w:sz w:val="24"/>
          <w:szCs w:val="21"/>
          <w:u w:val="single"/>
        </w:rPr>
        <w:t xml:space="preserve">        </w:t>
      </w:r>
      <w:r>
        <w:rPr>
          <w:rFonts w:ascii="宋体" w:hAnsi="宋体"/>
          <w:sz w:val="24"/>
          <w:szCs w:val="21"/>
        </w:rPr>
        <w:t>职务：</w:t>
      </w:r>
      <w:r>
        <w:rPr>
          <w:rFonts w:ascii="宋体" w:hAnsi="宋体"/>
          <w:sz w:val="24"/>
          <w:szCs w:val="21"/>
          <w:u w:val="single"/>
        </w:rPr>
        <w:t xml:space="preserve">        </w:t>
      </w:r>
    </w:p>
    <w:p w14:paraId="3F23C5F1">
      <w:pPr>
        <w:spacing w:line="440" w:lineRule="exact"/>
        <w:rPr>
          <w:rFonts w:ascii="宋体" w:hAnsi="宋体"/>
          <w:sz w:val="24"/>
          <w:szCs w:val="21"/>
        </w:rPr>
      </w:pPr>
      <w:r>
        <w:rPr>
          <w:rFonts w:ascii="宋体" w:hAnsi="宋体"/>
          <w:sz w:val="24"/>
          <w:szCs w:val="21"/>
        </w:rPr>
        <w:t>系</w:t>
      </w:r>
      <w:r>
        <w:rPr>
          <w:rFonts w:ascii="宋体" w:hAnsi="宋体"/>
          <w:sz w:val="24"/>
          <w:szCs w:val="21"/>
          <w:u w:val="single"/>
        </w:rPr>
        <w:t xml:space="preserve">                             </w:t>
      </w:r>
      <w:r>
        <w:rPr>
          <w:rFonts w:ascii="宋体" w:hAnsi="宋体"/>
          <w:sz w:val="24"/>
          <w:szCs w:val="21"/>
        </w:rPr>
        <w:t xml:space="preserve"> （供应商名称）的法定代表人。</w:t>
      </w:r>
    </w:p>
    <w:p w14:paraId="353BA7F2">
      <w:pPr>
        <w:spacing w:line="440" w:lineRule="exact"/>
        <w:ind w:firstLine="480" w:firstLineChars="200"/>
        <w:rPr>
          <w:rFonts w:ascii="宋体" w:hAnsi="宋体"/>
          <w:sz w:val="24"/>
          <w:szCs w:val="21"/>
        </w:rPr>
      </w:pPr>
      <w:r>
        <w:rPr>
          <w:rFonts w:ascii="宋体" w:hAnsi="宋体"/>
          <w:sz w:val="24"/>
          <w:szCs w:val="21"/>
        </w:rPr>
        <w:t>特此证明。</w:t>
      </w:r>
    </w:p>
    <w:p w14:paraId="61E8200A">
      <w:pPr>
        <w:spacing w:line="440" w:lineRule="exact"/>
        <w:rPr>
          <w:rFonts w:ascii="宋体" w:hAnsi="宋体"/>
          <w:sz w:val="24"/>
          <w:szCs w:val="21"/>
        </w:rPr>
      </w:pPr>
    </w:p>
    <w:p w14:paraId="12A546B5">
      <w:pPr>
        <w:spacing w:line="440" w:lineRule="exact"/>
        <w:rPr>
          <w:rFonts w:ascii="宋体" w:hAnsi="宋体"/>
          <w:sz w:val="24"/>
          <w:szCs w:val="21"/>
        </w:rPr>
      </w:pPr>
    </w:p>
    <w:p w14:paraId="5BB70077">
      <w:pPr>
        <w:spacing w:line="440" w:lineRule="exact"/>
        <w:jc w:val="right"/>
        <w:rPr>
          <w:rFonts w:ascii="宋体" w:hAnsi="宋体"/>
          <w:sz w:val="24"/>
          <w:szCs w:val="21"/>
        </w:rPr>
      </w:pPr>
      <w:r>
        <w:rPr>
          <w:rFonts w:ascii="宋体" w:hAnsi="宋体"/>
          <w:sz w:val="24"/>
          <w:szCs w:val="21"/>
        </w:rPr>
        <w:t xml:space="preserve">                          供应商：</w:t>
      </w:r>
      <w:r>
        <w:rPr>
          <w:rFonts w:ascii="宋体" w:hAnsi="宋体"/>
          <w:sz w:val="24"/>
          <w:szCs w:val="21"/>
          <w:u w:val="single"/>
        </w:rPr>
        <w:t xml:space="preserve">                 </w:t>
      </w:r>
      <w:r>
        <w:rPr>
          <w:rFonts w:ascii="宋体" w:hAnsi="宋体"/>
          <w:sz w:val="24"/>
          <w:szCs w:val="21"/>
        </w:rPr>
        <w:t>（盖单位公章）</w:t>
      </w:r>
    </w:p>
    <w:p w14:paraId="2B5EA276">
      <w:pPr>
        <w:spacing w:line="440" w:lineRule="exact"/>
        <w:jc w:val="right"/>
        <w:rPr>
          <w:rFonts w:ascii="宋体" w:hAnsi="宋体"/>
          <w:sz w:val="24"/>
          <w:szCs w:val="21"/>
        </w:rPr>
      </w:pPr>
      <w:r>
        <w:rPr>
          <w:rFonts w:ascii="宋体" w:hAnsi="宋体"/>
          <w:sz w:val="24"/>
          <w:szCs w:val="21"/>
        </w:rPr>
        <w:t xml:space="preserve">                                   </w:t>
      </w: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072CB9F9">
      <w:pPr>
        <w:spacing w:line="440" w:lineRule="exact"/>
        <w:jc w:val="right"/>
        <w:rPr>
          <w:rFonts w:ascii="宋体" w:hAnsi="宋体"/>
          <w:sz w:val="24"/>
          <w:szCs w:val="21"/>
        </w:rPr>
      </w:pPr>
    </w:p>
    <w:p w14:paraId="104D4AE7">
      <w:pPr>
        <w:spacing w:line="440" w:lineRule="exact"/>
        <w:jc w:val="right"/>
        <w:rPr>
          <w:rFonts w:ascii="宋体" w:hAnsi="宋体"/>
          <w:sz w:val="24"/>
          <w:szCs w:val="21"/>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000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vAlign w:val="center"/>
          </w:tcPr>
          <w:p w14:paraId="77F2E492">
            <w:pPr>
              <w:spacing w:line="480" w:lineRule="exact"/>
              <w:jc w:val="center"/>
              <w:rPr>
                <w:rFonts w:ascii="宋体" w:hAnsi="宋体"/>
                <w:sz w:val="32"/>
                <w:szCs w:val="32"/>
              </w:rPr>
            </w:pPr>
            <w:r>
              <w:rPr>
                <w:rFonts w:ascii="宋体" w:hAnsi="宋体"/>
                <w:sz w:val="32"/>
                <w:szCs w:val="32"/>
              </w:rPr>
              <w:t>法定代表人身份证</w:t>
            </w:r>
            <w:r>
              <w:rPr>
                <w:rFonts w:hint="eastAsia" w:ascii="宋体" w:hAnsi="宋体"/>
                <w:sz w:val="32"/>
                <w:szCs w:val="32"/>
              </w:rPr>
              <w:t>复印件</w:t>
            </w:r>
          </w:p>
          <w:p w14:paraId="48459D6D">
            <w:pPr>
              <w:spacing w:line="480" w:lineRule="exact"/>
              <w:jc w:val="center"/>
              <w:rPr>
                <w:rFonts w:ascii="宋体" w:hAnsi="宋体"/>
                <w:sz w:val="24"/>
                <w:szCs w:val="21"/>
              </w:rPr>
            </w:pPr>
          </w:p>
        </w:tc>
      </w:tr>
    </w:tbl>
    <w:p w14:paraId="3F354A00">
      <w:pPr>
        <w:keepNext/>
        <w:keepLines/>
        <w:spacing w:line="360" w:lineRule="auto"/>
        <w:jc w:val="center"/>
        <w:outlineLvl w:val="1"/>
        <w:rPr>
          <w:rFonts w:ascii="宋体" w:hAnsi="宋体"/>
          <w:b/>
          <w:bCs/>
          <w:kern w:val="0"/>
          <w:sz w:val="24"/>
        </w:rPr>
      </w:pPr>
      <w:bookmarkStart w:id="164" w:name="_Toc380755773"/>
      <w:bookmarkStart w:id="165" w:name="_Toc152042581"/>
      <w:bookmarkStart w:id="166" w:name="_Toc152045792"/>
      <w:bookmarkStart w:id="167" w:name="_Toc144974861"/>
      <w:bookmarkStart w:id="168" w:name="_Toc367029174"/>
      <w:bookmarkStart w:id="169" w:name="_Toc359234641"/>
    </w:p>
    <w:bookmarkEnd w:id="164"/>
    <w:bookmarkEnd w:id="165"/>
    <w:bookmarkEnd w:id="166"/>
    <w:bookmarkEnd w:id="167"/>
    <w:bookmarkEnd w:id="168"/>
    <w:bookmarkEnd w:id="169"/>
    <w:p w14:paraId="0912B36A">
      <w:pPr>
        <w:rPr>
          <w:rFonts w:ascii="宋体" w:hAnsi="宋体"/>
          <w:sz w:val="24"/>
          <w:szCs w:val="20"/>
          <w:lang w:val="zh-CN"/>
        </w:rPr>
      </w:pPr>
    </w:p>
    <w:p w14:paraId="4AF00933">
      <w:pPr>
        <w:rPr>
          <w:rFonts w:ascii="宋体" w:hAnsi="宋体"/>
          <w:sz w:val="24"/>
          <w:szCs w:val="20"/>
          <w:lang w:val="zh-CN"/>
        </w:rPr>
      </w:pPr>
    </w:p>
    <w:p w14:paraId="159C0880">
      <w:pPr>
        <w:rPr>
          <w:rFonts w:ascii="宋体" w:hAnsi="宋体"/>
          <w:sz w:val="24"/>
          <w:szCs w:val="20"/>
          <w:lang w:val="zh-CN"/>
        </w:rPr>
      </w:pPr>
    </w:p>
    <w:p w14:paraId="4F2512D7">
      <w:pPr>
        <w:rPr>
          <w:rFonts w:ascii="宋体" w:hAnsi="宋体"/>
          <w:sz w:val="24"/>
          <w:szCs w:val="20"/>
          <w:lang w:val="zh-CN"/>
        </w:rPr>
      </w:pPr>
    </w:p>
    <w:p w14:paraId="1ABB202F">
      <w:pPr>
        <w:rPr>
          <w:rFonts w:ascii="宋体" w:hAnsi="宋体"/>
          <w:sz w:val="24"/>
          <w:szCs w:val="20"/>
          <w:lang w:val="zh-CN"/>
        </w:rPr>
      </w:pPr>
    </w:p>
    <w:p w14:paraId="15C7133A">
      <w:pPr>
        <w:keepNext/>
        <w:keepLines/>
        <w:spacing w:line="360" w:lineRule="auto"/>
        <w:jc w:val="center"/>
        <w:outlineLvl w:val="1"/>
        <w:rPr>
          <w:rFonts w:ascii="宋体" w:hAnsi="宋体"/>
          <w:b/>
          <w:bCs/>
          <w:kern w:val="0"/>
          <w:sz w:val="30"/>
          <w:szCs w:val="30"/>
        </w:rPr>
      </w:pPr>
      <w:r>
        <w:rPr>
          <w:rFonts w:hint="eastAsia" w:ascii="宋体" w:hAnsi="宋体"/>
          <w:b/>
          <w:bCs/>
          <w:kern w:val="0"/>
          <w:sz w:val="30"/>
          <w:szCs w:val="30"/>
        </w:rPr>
        <w:t>三</w:t>
      </w:r>
      <w:r>
        <w:rPr>
          <w:rFonts w:ascii="宋体" w:hAnsi="宋体"/>
          <w:b/>
          <w:bCs/>
          <w:kern w:val="0"/>
          <w:sz w:val="30"/>
          <w:szCs w:val="30"/>
        </w:rPr>
        <w:t>、</w:t>
      </w:r>
      <w:r>
        <w:rPr>
          <w:rFonts w:hint="eastAsia" w:ascii="宋体" w:hAnsi="宋体"/>
          <w:b/>
          <w:bCs/>
          <w:kern w:val="0"/>
          <w:sz w:val="30"/>
          <w:szCs w:val="30"/>
        </w:rPr>
        <w:t>法定代表人</w:t>
      </w:r>
      <w:r>
        <w:rPr>
          <w:rFonts w:ascii="宋体" w:hAnsi="宋体"/>
          <w:b/>
          <w:bCs/>
          <w:kern w:val="0"/>
          <w:sz w:val="30"/>
          <w:szCs w:val="30"/>
        </w:rPr>
        <w:t>授权委托书</w:t>
      </w:r>
    </w:p>
    <w:p w14:paraId="2A80FC64">
      <w:pPr>
        <w:spacing w:line="440" w:lineRule="exact"/>
        <w:rPr>
          <w:rFonts w:ascii="宋体" w:hAnsi="宋体"/>
          <w:sz w:val="24"/>
          <w:szCs w:val="21"/>
        </w:rPr>
      </w:pPr>
    </w:p>
    <w:p w14:paraId="339247AC">
      <w:pPr>
        <w:topLinePunct/>
        <w:spacing w:line="440" w:lineRule="exact"/>
        <w:ind w:firstLine="480" w:firstLineChars="200"/>
        <w:rPr>
          <w:rFonts w:ascii="宋体" w:hAnsi="宋体"/>
          <w:sz w:val="24"/>
          <w:szCs w:val="21"/>
        </w:rPr>
      </w:pPr>
      <w:r>
        <w:rPr>
          <w:rFonts w:ascii="宋体" w:hAnsi="宋体"/>
          <w:sz w:val="24"/>
          <w:szCs w:val="21"/>
        </w:rPr>
        <w:t>本人</w:t>
      </w:r>
      <w:r>
        <w:rPr>
          <w:rFonts w:ascii="宋体" w:hAnsi="宋体"/>
          <w:sz w:val="24"/>
          <w:szCs w:val="21"/>
          <w:u w:val="single"/>
        </w:rPr>
        <w:t xml:space="preserve">       </w:t>
      </w:r>
      <w:r>
        <w:rPr>
          <w:rFonts w:ascii="宋体" w:hAnsi="宋体"/>
          <w:sz w:val="24"/>
          <w:szCs w:val="21"/>
        </w:rPr>
        <w:t>（姓名）系</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ascii="宋体" w:hAnsi="宋体"/>
          <w:sz w:val="24"/>
          <w:szCs w:val="21"/>
        </w:rPr>
        <w:t>（供应商名称）的法定代表人，现委托</w:t>
      </w:r>
      <w:r>
        <w:rPr>
          <w:rFonts w:ascii="宋体" w:hAnsi="宋体"/>
          <w:sz w:val="24"/>
          <w:szCs w:val="21"/>
          <w:u w:val="single"/>
        </w:rPr>
        <w:t xml:space="preserve">        </w:t>
      </w:r>
      <w:r>
        <w:rPr>
          <w:rFonts w:ascii="宋体" w:hAnsi="宋体"/>
          <w:sz w:val="24"/>
          <w:szCs w:val="21"/>
        </w:rPr>
        <w:t>（姓名）为我方代理人。代理人根据授权，以我方名义签署、澄清、说明、补正、递交、撤回、修改</w:t>
      </w:r>
      <w:r>
        <w:rPr>
          <w:rFonts w:ascii="宋体" w:hAnsi="宋体"/>
          <w:sz w:val="24"/>
          <w:szCs w:val="21"/>
          <w:u w:val="single"/>
        </w:rPr>
        <w:t xml:space="preserve">          </w:t>
      </w:r>
      <w:r>
        <w:rPr>
          <w:rFonts w:ascii="宋体" w:hAnsi="宋体"/>
          <w:sz w:val="24"/>
          <w:szCs w:val="21"/>
        </w:rPr>
        <w:t>（项目名称）</w:t>
      </w:r>
      <w:r>
        <w:rPr>
          <w:rFonts w:hint="eastAsia" w:ascii="宋体" w:hAnsi="宋体"/>
          <w:sz w:val="24"/>
          <w:szCs w:val="21"/>
        </w:rPr>
        <w:t>磋商</w:t>
      </w:r>
      <w:r>
        <w:rPr>
          <w:rFonts w:ascii="宋体" w:hAnsi="宋体"/>
          <w:sz w:val="24"/>
          <w:szCs w:val="21"/>
        </w:rPr>
        <w:t>文件、签订合同和处理有关事宜，其法律后果由我方承担。</w:t>
      </w:r>
    </w:p>
    <w:p w14:paraId="3295B839">
      <w:pPr>
        <w:spacing w:line="440" w:lineRule="exact"/>
        <w:rPr>
          <w:rFonts w:ascii="宋体" w:hAnsi="宋体"/>
          <w:sz w:val="24"/>
          <w:szCs w:val="21"/>
        </w:rPr>
      </w:pPr>
      <w:r>
        <w:rPr>
          <w:rFonts w:ascii="宋体" w:hAnsi="宋体"/>
          <w:sz w:val="24"/>
          <w:szCs w:val="21"/>
        </w:rPr>
        <w:t xml:space="preserve">    委托期限：</w:t>
      </w:r>
      <w:r>
        <w:rPr>
          <w:rFonts w:ascii="宋体" w:hAnsi="宋体"/>
          <w:sz w:val="24"/>
          <w:szCs w:val="21"/>
          <w:u w:val="single"/>
        </w:rPr>
        <w:t xml:space="preserve">             </w:t>
      </w:r>
      <w:r>
        <w:rPr>
          <w:rFonts w:ascii="宋体" w:hAnsi="宋体"/>
          <w:sz w:val="24"/>
          <w:szCs w:val="21"/>
        </w:rPr>
        <w:t>。</w:t>
      </w:r>
    </w:p>
    <w:p w14:paraId="2B7AD593">
      <w:pPr>
        <w:spacing w:line="440" w:lineRule="exact"/>
        <w:ind w:firstLine="480" w:firstLineChars="200"/>
        <w:rPr>
          <w:rFonts w:ascii="宋体" w:hAnsi="宋体"/>
          <w:sz w:val="24"/>
          <w:szCs w:val="21"/>
        </w:rPr>
      </w:pPr>
      <w:r>
        <w:rPr>
          <w:rFonts w:ascii="宋体" w:hAnsi="宋体"/>
          <w:sz w:val="24"/>
          <w:szCs w:val="21"/>
        </w:rPr>
        <w:t>代理人无转委托权。</w:t>
      </w:r>
    </w:p>
    <w:p w14:paraId="31681BCD">
      <w:pPr>
        <w:spacing w:line="440" w:lineRule="exact"/>
        <w:ind w:firstLine="480" w:firstLineChars="200"/>
        <w:rPr>
          <w:rFonts w:ascii="宋体" w:hAnsi="宋体"/>
          <w:sz w:val="24"/>
          <w:szCs w:val="21"/>
        </w:rPr>
      </w:pPr>
      <w:r>
        <w:rPr>
          <w:rFonts w:ascii="宋体" w:hAnsi="宋体"/>
          <w:sz w:val="24"/>
          <w:szCs w:val="21"/>
        </w:rPr>
        <w:t>附：</w:t>
      </w:r>
      <w:r>
        <w:rPr>
          <w:rFonts w:hint="eastAsia" w:ascii="宋体" w:hAnsi="宋体"/>
          <w:sz w:val="24"/>
          <w:szCs w:val="21"/>
        </w:rPr>
        <w:t>1、</w:t>
      </w:r>
      <w:r>
        <w:rPr>
          <w:rFonts w:ascii="宋体" w:hAnsi="宋体"/>
          <w:sz w:val="24"/>
          <w:szCs w:val="21"/>
        </w:rPr>
        <w:t>法定代表人身份证正、反面</w:t>
      </w:r>
      <w:r>
        <w:rPr>
          <w:rFonts w:hint="eastAsia" w:ascii="宋体" w:hAnsi="宋体"/>
          <w:sz w:val="24"/>
          <w:szCs w:val="21"/>
        </w:rPr>
        <w:t>复印件</w:t>
      </w:r>
    </w:p>
    <w:p w14:paraId="404EA258">
      <w:pPr>
        <w:spacing w:line="440" w:lineRule="exact"/>
        <w:ind w:firstLine="960" w:firstLineChars="400"/>
        <w:rPr>
          <w:rFonts w:ascii="宋体" w:hAnsi="宋体"/>
          <w:sz w:val="24"/>
          <w:szCs w:val="21"/>
        </w:rPr>
      </w:pPr>
      <w:r>
        <w:rPr>
          <w:rFonts w:hint="eastAsia" w:ascii="宋体" w:hAnsi="宋体"/>
          <w:sz w:val="24"/>
          <w:szCs w:val="21"/>
        </w:rPr>
        <w:t>2、</w:t>
      </w:r>
      <w:r>
        <w:rPr>
          <w:rFonts w:ascii="宋体" w:hAnsi="宋体"/>
          <w:sz w:val="24"/>
          <w:szCs w:val="21"/>
        </w:rPr>
        <w:t>委托代理人</w:t>
      </w:r>
      <w:r>
        <w:rPr>
          <w:rFonts w:hint="eastAsia" w:ascii="宋体" w:hAnsi="宋体"/>
          <w:sz w:val="24"/>
          <w:szCs w:val="21"/>
        </w:rPr>
        <w:t>身份证正、反面复印件</w:t>
      </w:r>
    </w:p>
    <w:p w14:paraId="7583122A">
      <w:pPr>
        <w:spacing w:line="440" w:lineRule="exact"/>
        <w:rPr>
          <w:rFonts w:ascii="宋体" w:hAnsi="宋体"/>
          <w:sz w:val="24"/>
          <w:szCs w:val="21"/>
        </w:rPr>
      </w:pPr>
    </w:p>
    <w:p w14:paraId="1C62D4DF">
      <w:pPr>
        <w:spacing w:line="440" w:lineRule="exact"/>
        <w:rPr>
          <w:rFonts w:ascii="宋体" w:hAnsi="宋体"/>
          <w:sz w:val="24"/>
          <w:szCs w:val="21"/>
        </w:rPr>
      </w:pPr>
    </w:p>
    <w:p w14:paraId="0B639EA8">
      <w:pPr>
        <w:spacing w:line="440" w:lineRule="exact"/>
        <w:ind w:firstLine="2126" w:firstLineChars="886"/>
        <w:rPr>
          <w:rFonts w:ascii="宋体" w:hAnsi="宋体"/>
          <w:sz w:val="24"/>
          <w:szCs w:val="21"/>
        </w:rPr>
      </w:pPr>
    </w:p>
    <w:p w14:paraId="7F58E2B0">
      <w:pPr>
        <w:spacing w:line="440" w:lineRule="exact"/>
        <w:ind w:firstLine="2126" w:firstLineChars="886"/>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6552E782">
      <w:pPr>
        <w:spacing w:line="440" w:lineRule="exact"/>
        <w:ind w:right="56" w:firstLine="2126" w:firstLineChars="886"/>
        <w:rPr>
          <w:rFonts w:ascii="宋体" w:hAnsi="宋体"/>
          <w:sz w:val="24"/>
          <w:szCs w:val="21"/>
        </w:rPr>
      </w:pPr>
      <w:r>
        <w:rPr>
          <w:rFonts w:ascii="宋体" w:hAnsi="宋体"/>
          <w:sz w:val="24"/>
          <w:szCs w:val="21"/>
        </w:rPr>
        <w:t>法定代表人：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w:t>
      </w:r>
      <w:r>
        <w:rPr>
          <w:rFonts w:ascii="宋体" w:hAnsi="宋体"/>
          <w:sz w:val="24"/>
          <w:szCs w:val="21"/>
        </w:rPr>
        <w:t>或盖章）</w:t>
      </w:r>
    </w:p>
    <w:p w14:paraId="756773B9">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297FC4D7">
      <w:pPr>
        <w:spacing w:line="440" w:lineRule="exact"/>
        <w:ind w:right="56" w:firstLine="2126" w:firstLineChars="886"/>
        <w:rPr>
          <w:rFonts w:ascii="宋体" w:hAnsi="宋体"/>
          <w:sz w:val="24"/>
          <w:szCs w:val="21"/>
        </w:rPr>
      </w:pPr>
      <w:r>
        <w:rPr>
          <w:rFonts w:hint="eastAsia" w:ascii="宋体" w:hAnsi="宋体"/>
          <w:sz w:val="24"/>
          <w:szCs w:val="21"/>
        </w:rPr>
        <w:t>授权委托人</w:t>
      </w:r>
      <w:r>
        <w:rPr>
          <w:rFonts w:ascii="宋体" w:hAnsi="宋体"/>
          <w:sz w:val="24"/>
          <w:szCs w:val="21"/>
        </w:rPr>
        <w:t>：</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ascii="宋体" w:hAnsi="宋体"/>
          <w:sz w:val="24"/>
          <w:szCs w:val="21"/>
        </w:rPr>
        <w:t>（签字或盖章）</w:t>
      </w:r>
    </w:p>
    <w:p w14:paraId="6E8B69A7">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0841BA38">
      <w:pPr>
        <w:spacing w:line="440" w:lineRule="exact"/>
        <w:rPr>
          <w:rFonts w:ascii="宋体" w:hAnsi="宋体"/>
          <w:sz w:val="24"/>
          <w:szCs w:val="21"/>
          <w:u w:val="single"/>
        </w:rPr>
      </w:pPr>
      <w:r>
        <w:rPr>
          <w:rFonts w:hint="eastAsia" w:ascii="宋体" w:hAnsi="宋体"/>
          <w:sz w:val="24"/>
          <w:szCs w:val="21"/>
        </w:rPr>
        <w:t xml:space="preserve">                  联系电话：</w:t>
      </w:r>
      <w:r>
        <w:rPr>
          <w:rFonts w:hint="eastAsia" w:ascii="宋体" w:hAnsi="宋体"/>
          <w:sz w:val="24"/>
          <w:szCs w:val="21"/>
          <w:u w:val="single"/>
        </w:rPr>
        <w:t xml:space="preserve">                         </w:t>
      </w:r>
    </w:p>
    <w:p w14:paraId="4F9E6625">
      <w:pPr>
        <w:spacing w:line="440" w:lineRule="exact"/>
        <w:ind w:right="1380" w:firstLine="2160" w:firstLineChars="900"/>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19164817">
      <w:pPr>
        <w:rPr>
          <w:rFonts w:ascii="宋体" w:hAnsi="宋体"/>
          <w:sz w:val="24"/>
          <w:szCs w:val="20"/>
        </w:rPr>
      </w:pPr>
    </w:p>
    <w:p w14:paraId="09D036A0">
      <w:pPr>
        <w:pStyle w:val="14"/>
        <w:spacing w:line="360" w:lineRule="auto"/>
        <w:rPr>
          <w:rFonts w:ascii="宋体" w:hAnsi="宋体" w:cs="宋体"/>
          <w:color w:val="000000"/>
          <w:kern w:val="0"/>
          <w:sz w:val="24"/>
        </w:rPr>
      </w:pPr>
      <w:r>
        <w:rPr>
          <w:rFonts w:hint="eastAsia" w:ascii="宋体" w:hAnsi="宋体" w:cs="宋体"/>
          <w:color w:val="000000"/>
          <w:kern w:val="0"/>
          <w:sz w:val="24"/>
        </w:rPr>
        <w:t xml:space="preserve">    </w:t>
      </w:r>
    </w:p>
    <w:p w14:paraId="17C82D11">
      <w:pPr>
        <w:pStyle w:val="14"/>
        <w:spacing w:line="360" w:lineRule="auto"/>
        <w:rPr>
          <w:rFonts w:ascii="宋体" w:hAnsi="宋体" w:cs="宋体"/>
          <w:color w:val="000000"/>
          <w:kern w:val="0"/>
          <w:sz w:val="24"/>
        </w:rPr>
      </w:pPr>
    </w:p>
    <w:p w14:paraId="774FC011">
      <w:pPr>
        <w:pStyle w:val="14"/>
        <w:spacing w:line="360" w:lineRule="auto"/>
        <w:rPr>
          <w:rFonts w:ascii="宋体" w:hAnsi="宋体" w:cs="宋体"/>
          <w:color w:val="000000"/>
          <w:kern w:val="0"/>
          <w:sz w:val="24"/>
        </w:rPr>
      </w:pPr>
    </w:p>
    <w:p w14:paraId="4B78197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注：因投标文件中授权委托书授权代理人无法手写签字，可以以印刷体代替</w:t>
      </w:r>
      <w:r>
        <w:rPr>
          <w:rFonts w:hint="eastAsia" w:ascii="宋体" w:hAnsi="宋体" w:cs="宋体"/>
          <w:b/>
          <w:bCs/>
          <w:color w:val="auto"/>
          <w:sz w:val="24"/>
          <w:szCs w:val="24"/>
          <w:highlight w:val="none"/>
          <w:lang w:val="en-US" w:eastAsia="zh-CN"/>
        </w:rPr>
        <w:t>并加盖法定代表人签章</w:t>
      </w:r>
      <w:r>
        <w:rPr>
          <w:rFonts w:hint="eastAsia" w:ascii="宋体" w:hAnsi="宋体" w:cs="宋体"/>
          <w:b/>
          <w:bCs/>
          <w:color w:val="auto"/>
          <w:sz w:val="24"/>
          <w:szCs w:val="24"/>
          <w:highlight w:val="none"/>
        </w:rPr>
        <w:t>（印刷体为电脑打出的字体）。</w:t>
      </w:r>
    </w:p>
    <w:p w14:paraId="5F2F76A7">
      <w:pPr>
        <w:pStyle w:val="14"/>
        <w:spacing w:line="360" w:lineRule="auto"/>
        <w:rPr>
          <w:rFonts w:ascii="宋体" w:hAnsi="宋体" w:cs="宋体"/>
          <w:color w:val="000000"/>
          <w:kern w:val="0"/>
          <w:sz w:val="24"/>
        </w:rPr>
      </w:pPr>
    </w:p>
    <w:p w14:paraId="618217CA">
      <w:pPr>
        <w:pStyle w:val="14"/>
        <w:spacing w:line="360" w:lineRule="auto"/>
        <w:rPr>
          <w:rFonts w:ascii="宋体" w:hAnsi="宋体" w:cs="宋体"/>
          <w:color w:val="000000"/>
          <w:kern w:val="0"/>
          <w:sz w:val="24"/>
        </w:rPr>
      </w:pPr>
    </w:p>
    <w:p w14:paraId="5FD1F6A9">
      <w:pPr>
        <w:pStyle w:val="14"/>
        <w:spacing w:line="360" w:lineRule="auto"/>
        <w:rPr>
          <w:rFonts w:ascii="宋体" w:hAnsi="宋体" w:cs="宋体"/>
          <w:color w:val="000000"/>
          <w:kern w:val="0"/>
          <w:sz w:val="24"/>
        </w:rPr>
      </w:pPr>
    </w:p>
    <w:p w14:paraId="11AB70C0">
      <w:pPr>
        <w:pStyle w:val="14"/>
        <w:spacing w:line="360" w:lineRule="auto"/>
        <w:rPr>
          <w:rFonts w:ascii="宋体" w:hAnsi="宋体" w:cs="宋体"/>
          <w:color w:val="000000"/>
          <w:kern w:val="0"/>
          <w:sz w:val="24"/>
        </w:rPr>
      </w:pPr>
    </w:p>
    <w:p w14:paraId="16BC9D33">
      <w:pPr>
        <w:keepNext/>
        <w:spacing w:line="500" w:lineRule="exact"/>
        <w:ind w:hanging="284"/>
        <w:jc w:val="center"/>
        <w:outlineLvl w:val="1"/>
        <w:rPr>
          <w:rFonts w:ascii="宋体" w:hAnsi="宋体"/>
          <w:b/>
          <w:bCs/>
          <w:kern w:val="0"/>
          <w:sz w:val="36"/>
          <w:szCs w:val="36"/>
        </w:rPr>
      </w:pPr>
      <w:r>
        <w:rPr>
          <w:rFonts w:hint="eastAsia" w:ascii="宋体" w:hAnsi="宋体"/>
          <w:b/>
          <w:bCs/>
          <w:kern w:val="0"/>
          <w:sz w:val="32"/>
          <w:szCs w:val="36"/>
        </w:rPr>
        <w:t>四、资格审查资料</w:t>
      </w:r>
    </w:p>
    <w:p w14:paraId="33C20D60">
      <w:pPr>
        <w:spacing w:line="360" w:lineRule="auto"/>
        <w:jc w:val="center"/>
        <w:rPr>
          <w:rFonts w:ascii="宋体" w:hAnsi="宋体" w:cs="宋体"/>
          <w:b/>
          <w:sz w:val="24"/>
          <w:szCs w:val="21"/>
        </w:rPr>
      </w:pPr>
      <w:r>
        <w:rPr>
          <w:rFonts w:hint="eastAsia" w:ascii="宋体" w:hAnsi="宋体" w:cs="宋体"/>
          <w:b/>
          <w:sz w:val="24"/>
          <w:szCs w:val="21"/>
        </w:rPr>
        <w:t>（一）基本情况表</w:t>
      </w:r>
    </w:p>
    <w:tbl>
      <w:tblPr>
        <w:tblStyle w:val="2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1"/>
        <w:gridCol w:w="1117"/>
        <w:gridCol w:w="1428"/>
        <w:gridCol w:w="1625"/>
        <w:gridCol w:w="1247"/>
        <w:gridCol w:w="933"/>
        <w:gridCol w:w="1100"/>
      </w:tblGrid>
      <w:tr w14:paraId="7517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4C69F6CE">
            <w:pPr>
              <w:spacing w:line="500" w:lineRule="exact"/>
              <w:jc w:val="center"/>
              <w:rPr>
                <w:rFonts w:ascii="宋体" w:hAnsi="宋体" w:cs="宋体"/>
                <w:sz w:val="24"/>
                <w:szCs w:val="21"/>
              </w:rPr>
            </w:pPr>
            <w:r>
              <w:rPr>
                <w:rFonts w:hint="eastAsia" w:ascii="宋体" w:hAnsi="宋体" w:cs="宋体"/>
                <w:sz w:val="24"/>
                <w:szCs w:val="21"/>
              </w:rPr>
              <w:t>供应商名称</w:t>
            </w:r>
          </w:p>
        </w:tc>
        <w:tc>
          <w:tcPr>
            <w:tcW w:w="7450" w:type="dxa"/>
            <w:gridSpan w:val="6"/>
            <w:noWrap/>
            <w:vAlign w:val="center"/>
          </w:tcPr>
          <w:p w14:paraId="6FC9488A">
            <w:pPr>
              <w:spacing w:line="500" w:lineRule="exact"/>
              <w:jc w:val="center"/>
              <w:rPr>
                <w:rFonts w:ascii="宋体" w:hAnsi="宋体" w:cs="宋体"/>
                <w:sz w:val="24"/>
                <w:szCs w:val="21"/>
              </w:rPr>
            </w:pPr>
          </w:p>
        </w:tc>
      </w:tr>
      <w:tr w14:paraId="468E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7C708DF">
            <w:pPr>
              <w:spacing w:line="500" w:lineRule="exact"/>
              <w:jc w:val="center"/>
              <w:rPr>
                <w:rFonts w:ascii="宋体" w:hAnsi="宋体" w:cs="宋体"/>
                <w:sz w:val="24"/>
                <w:szCs w:val="21"/>
              </w:rPr>
            </w:pPr>
            <w:r>
              <w:rPr>
                <w:rFonts w:hint="eastAsia" w:ascii="宋体" w:hAnsi="宋体" w:cs="宋体"/>
                <w:sz w:val="24"/>
                <w:szCs w:val="21"/>
              </w:rPr>
              <w:t>注册地址</w:t>
            </w:r>
          </w:p>
        </w:tc>
        <w:tc>
          <w:tcPr>
            <w:tcW w:w="4170" w:type="dxa"/>
            <w:gridSpan w:val="3"/>
            <w:noWrap/>
            <w:vAlign w:val="center"/>
          </w:tcPr>
          <w:p w14:paraId="76CD1E80">
            <w:pPr>
              <w:spacing w:line="500" w:lineRule="exact"/>
              <w:jc w:val="center"/>
              <w:rPr>
                <w:rFonts w:ascii="宋体" w:hAnsi="宋体" w:cs="宋体"/>
                <w:sz w:val="24"/>
                <w:szCs w:val="21"/>
              </w:rPr>
            </w:pPr>
          </w:p>
        </w:tc>
        <w:tc>
          <w:tcPr>
            <w:tcW w:w="1247" w:type="dxa"/>
            <w:noWrap/>
            <w:vAlign w:val="center"/>
          </w:tcPr>
          <w:p w14:paraId="5A5D946D">
            <w:pPr>
              <w:spacing w:line="500" w:lineRule="exact"/>
              <w:jc w:val="center"/>
              <w:rPr>
                <w:rFonts w:ascii="宋体" w:hAnsi="宋体" w:cs="宋体"/>
                <w:sz w:val="24"/>
                <w:szCs w:val="21"/>
              </w:rPr>
            </w:pPr>
            <w:r>
              <w:rPr>
                <w:rFonts w:hint="eastAsia" w:ascii="宋体" w:hAnsi="宋体" w:cs="宋体"/>
                <w:sz w:val="24"/>
                <w:szCs w:val="21"/>
              </w:rPr>
              <w:t>邮政编码</w:t>
            </w:r>
          </w:p>
        </w:tc>
        <w:tc>
          <w:tcPr>
            <w:tcW w:w="2033" w:type="dxa"/>
            <w:gridSpan w:val="2"/>
            <w:noWrap/>
            <w:vAlign w:val="center"/>
          </w:tcPr>
          <w:p w14:paraId="54C06FD6">
            <w:pPr>
              <w:spacing w:line="500" w:lineRule="exact"/>
              <w:jc w:val="center"/>
              <w:rPr>
                <w:rFonts w:ascii="宋体" w:hAnsi="宋体" w:cs="宋体"/>
                <w:sz w:val="24"/>
                <w:szCs w:val="21"/>
              </w:rPr>
            </w:pPr>
          </w:p>
        </w:tc>
      </w:tr>
      <w:tr w14:paraId="1F5A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1761" w:type="dxa"/>
            <w:vMerge w:val="restart"/>
            <w:noWrap/>
            <w:vAlign w:val="center"/>
          </w:tcPr>
          <w:p w14:paraId="65F8EFDE">
            <w:pPr>
              <w:spacing w:line="500" w:lineRule="exact"/>
              <w:jc w:val="center"/>
              <w:rPr>
                <w:rFonts w:ascii="宋体" w:hAnsi="宋体" w:cs="宋体"/>
                <w:sz w:val="24"/>
                <w:szCs w:val="21"/>
              </w:rPr>
            </w:pPr>
            <w:r>
              <w:rPr>
                <w:rFonts w:hint="eastAsia" w:ascii="宋体" w:hAnsi="宋体" w:cs="宋体"/>
                <w:sz w:val="24"/>
                <w:szCs w:val="21"/>
              </w:rPr>
              <w:t>联系方式</w:t>
            </w:r>
          </w:p>
        </w:tc>
        <w:tc>
          <w:tcPr>
            <w:tcW w:w="1117" w:type="dxa"/>
            <w:noWrap/>
            <w:vAlign w:val="center"/>
          </w:tcPr>
          <w:p w14:paraId="54853D6A">
            <w:pPr>
              <w:spacing w:line="500" w:lineRule="exact"/>
              <w:jc w:val="center"/>
              <w:rPr>
                <w:rFonts w:ascii="宋体" w:hAnsi="宋体" w:cs="宋体"/>
                <w:sz w:val="24"/>
                <w:szCs w:val="21"/>
              </w:rPr>
            </w:pPr>
            <w:r>
              <w:rPr>
                <w:rFonts w:hint="eastAsia" w:ascii="宋体" w:hAnsi="宋体" w:cs="宋体"/>
                <w:sz w:val="24"/>
                <w:szCs w:val="21"/>
              </w:rPr>
              <w:t>联系人</w:t>
            </w:r>
          </w:p>
        </w:tc>
        <w:tc>
          <w:tcPr>
            <w:tcW w:w="3053" w:type="dxa"/>
            <w:gridSpan w:val="2"/>
            <w:noWrap/>
            <w:vAlign w:val="center"/>
          </w:tcPr>
          <w:p w14:paraId="65870ABD">
            <w:pPr>
              <w:spacing w:line="500" w:lineRule="exact"/>
              <w:jc w:val="center"/>
              <w:rPr>
                <w:rFonts w:ascii="宋体" w:hAnsi="宋体" w:cs="宋体"/>
                <w:sz w:val="24"/>
                <w:szCs w:val="21"/>
              </w:rPr>
            </w:pPr>
          </w:p>
        </w:tc>
        <w:tc>
          <w:tcPr>
            <w:tcW w:w="1247" w:type="dxa"/>
            <w:noWrap/>
            <w:vAlign w:val="center"/>
          </w:tcPr>
          <w:p w14:paraId="6A185063">
            <w:pPr>
              <w:spacing w:line="500" w:lineRule="exact"/>
              <w:jc w:val="center"/>
              <w:rPr>
                <w:rFonts w:ascii="宋体" w:hAnsi="宋体" w:cs="宋体"/>
                <w:sz w:val="24"/>
                <w:szCs w:val="21"/>
              </w:rPr>
            </w:pPr>
            <w:r>
              <w:rPr>
                <w:rFonts w:hint="eastAsia" w:ascii="宋体" w:hAnsi="宋体" w:cs="宋体"/>
                <w:sz w:val="24"/>
                <w:szCs w:val="21"/>
              </w:rPr>
              <w:t>电话</w:t>
            </w:r>
          </w:p>
        </w:tc>
        <w:tc>
          <w:tcPr>
            <w:tcW w:w="2033" w:type="dxa"/>
            <w:gridSpan w:val="2"/>
            <w:noWrap/>
            <w:vAlign w:val="center"/>
          </w:tcPr>
          <w:p w14:paraId="3A19A093">
            <w:pPr>
              <w:spacing w:line="500" w:lineRule="exact"/>
              <w:jc w:val="center"/>
              <w:rPr>
                <w:rFonts w:ascii="宋体" w:hAnsi="宋体" w:cs="宋体"/>
                <w:sz w:val="24"/>
                <w:szCs w:val="21"/>
              </w:rPr>
            </w:pPr>
          </w:p>
        </w:tc>
      </w:tr>
      <w:tr w14:paraId="16C3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vMerge w:val="continue"/>
            <w:noWrap/>
            <w:vAlign w:val="center"/>
          </w:tcPr>
          <w:p w14:paraId="6017410D">
            <w:pPr>
              <w:spacing w:line="500" w:lineRule="exact"/>
              <w:jc w:val="center"/>
              <w:rPr>
                <w:rFonts w:ascii="宋体" w:hAnsi="宋体" w:cs="宋体"/>
                <w:sz w:val="24"/>
                <w:szCs w:val="21"/>
              </w:rPr>
            </w:pPr>
          </w:p>
        </w:tc>
        <w:tc>
          <w:tcPr>
            <w:tcW w:w="1117" w:type="dxa"/>
            <w:noWrap/>
            <w:vAlign w:val="center"/>
          </w:tcPr>
          <w:p w14:paraId="33EA0B4C">
            <w:pPr>
              <w:spacing w:line="500" w:lineRule="exact"/>
              <w:jc w:val="center"/>
              <w:rPr>
                <w:rFonts w:ascii="宋体" w:hAnsi="宋体" w:cs="宋体"/>
                <w:sz w:val="24"/>
                <w:szCs w:val="21"/>
              </w:rPr>
            </w:pPr>
            <w:r>
              <w:rPr>
                <w:rFonts w:hint="eastAsia" w:ascii="宋体" w:hAnsi="宋体" w:cs="宋体"/>
                <w:sz w:val="24"/>
                <w:szCs w:val="21"/>
              </w:rPr>
              <w:t>传真</w:t>
            </w:r>
          </w:p>
        </w:tc>
        <w:tc>
          <w:tcPr>
            <w:tcW w:w="3053" w:type="dxa"/>
            <w:gridSpan w:val="2"/>
            <w:noWrap/>
            <w:vAlign w:val="center"/>
          </w:tcPr>
          <w:p w14:paraId="6BEE7DC1">
            <w:pPr>
              <w:spacing w:line="500" w:lineRule="exact"/>
              <w:jc w:val="center"/>
              <w:rPr>
                <w:rFonts w:ascii="宋体" w:hAnsi="宋体" w:cs="宋体"/>
                <w:sz w:val="24"/>
                <w:szCs w:val="21"/>
              </w:rPr>
            </w:pPr>
          </w:p>
        </w:tc>
        <w:tc>
          <w:tcPr>
            <w:tcW w:w="1247" w:type="dxa"/>
            <w:noWrap/>
            <w:vAlign w:val="center"/>
          </w:tcPr>
          <w:p w14:paraId="434209C9">
            <w:pPr>
              <w:spacing w:line="500" w:lineRule="exact"/>
              <w:jc w:val="center"/>
              <w:rPr>
                <w:rFonts w:ascii="宋体" w:hAnsi="宋体" w:cs="宋体"/>
                <w:sz w:val="24"/>
                <w:szCs w:val="21"/>
              </w:rPr>
            </w:pPr>
            <w:r>
              <w:rPr>
                <w:rFonts w:hint="eastAsia" w:ascii="宋体" w:hAnsi="宋体" w:cs="宋体"/>
                <w:sz w:val="24"/>
                <w:szCs w:val="21"/>
              </w:rPr>
              <w:t>网址</w:t>
            </w:r>
          </w:p>
        </w:tc>
        <w:tc>
          <w:tcPr>
            <w:tcW w:w="2033" w:type="dxa"/>
            <w:gridSpan w:val="2"/>
            <w:noWrap/>
            <w:vAlign w:val="center"/>
          </w:tcPr>
          <w:p w14:paraId="5350EECC">
            <w:pPr>
              <w:spacing w:line="500" w:lineRule="exact"/>
              <w:jc w:val="center"/>
              <w:rPr>
                <w:rFonts w:ascii="宋体" w:hAnsi="宋体" w:cs="宋体"/>
                <w:sz w:val="24"/>
                <w:szCs w:val="21"/>
              </w:rPr>
            </w:pPr>
          </w:p>
        </w:tc>
      </w:tr>
      <w:tr w14:paraId="35C3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E0CBFDB">
            <w:pPr>
              <w:spacing w:line="500" w:lineRule="exact"/>
              <w:jc w:val="center"/>
              <w:rPr>
                <w:rFonts w:ascii="宋体" w:hAnsi="宋体" w:cs="宋体"/>
                <w:sz w:val="24"/>
                <w:szCs w:val="21"/>
              </w:rPr>
            </w:pPr>
            <w:r>
              <w:rPr>
                <w:rFonts w:hint="eastAsia" w:ascii="宋体" w:hAnsi="宋体" w:cs="宋体"/>
                <w:sz w:val="24"/>
                <w:szCs w:val="21"/>
              </w:rPr>
              <w:t>法定代表人</w:t>
            </w:r>
          </w:p>
        </w:tc>
        <w:tc>
          <w:tcPr>
            <w:tcW w:w="1117" w:type="dxa"/>
            <w:noWrap/>
            <w:vAlign w:val="center"/>
          </w:tcPr>
          <w:p w14:paraId="6EDB8A78">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6DB98FDD">
            <w:pPr>
              <w:spacing w:line="500" w:lineRule="exact"/>
              <w:jc w:val="center"/>
              <w:rPr>
                <w:rFonts w:ascii="宋体" w:hAnsi="宋体" w:cs="宋体"/>
                <w:sz w:val="24"/>
                <w:szCs w:val="21"/>
              </w:rPr>
            </w:pPr>
          </w:p>
        </w:tc>
        <w:tc>
          <w:tcPr>
            <w:tcW w:w="1625" w:type="dxa"/>
            <w:noWrap/>
            <w:vAlign w:val="center"/>
          </w:tcPr>
          <w:p w14:paraId="3CE07173">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0AE6204E">
            <w:pPr>
              <w:spacing w:line="500" w:lineRule="exact"/>
              <w:jc w:val="center"/>
              <w:rPr>
                <w:rFonts w:ascii="宋体" w:hAnsi="宋体" w:cs="宋体"/>
                <w:sz w:val="24"/>
                <w:szCs w:val="21"/>
              </w:rPr>
            </w:pPr>
          </w:p>
        </w:tc>
        <w:tc>
          <w:tcPr>
            <w:tcW w:w="933" w:type="dxa"/>
            <w:noWrap/>
            <w:vAlign w:val="center"/>
          </w:tcPr>
          <w:p w14:paraId="2B3CB9AE">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488491FB">
            <w:pPr>
              <w:spacing w:line="500" w:lineRule="exact"/>
              <w:jc w:val="center"/>
              <w:rPr>
                <w:rFonts w:ascii="宋体" w:hAnsi="宋体" w:cs="宋体"/>
                <w:sz w:val="24"/>
                <w:szCs w:val="21"/>
              </w:rPr>
            </w:pPr>
          </w:p>
        </w:tc>
      </w:tr>
      <w:tr w14:paraId="4FB7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59F0A7B">
            <w:pPr>
              <w:spacing w:line="500" w:lineRule="exact"/>
              <w:jc w:val="center"/>
              <w:rPr>
                <w:rFonts w:ascii="宋体" w:hAnsi="宋体" w:cs="宋体"/>
                <w:sz w:val="24"/>
                <w:szCs w:val="21"/>
              </w:rPr>
            </w:pPr>
            <w:r>
              <w:rPr>
                <w:rFonts w:hint="eastAsia" w:ascii="宋体" w:hAnsi="宋体" w:cs="宋体"/>
                <w:sz w:val="24"/>
                <w:szCs w:val="21"/>
              </w:rPr>
              <w:t>项目负责人</w:t>
            </w:r>
          </w:p>
        </w:tc>
        <w:tc>
          <w:tcPr>
            <w:tcW w:w="1117" w:type="dxa"/>
            <w:noWrap/>
            <w:vAlign w:val="center"/>
          </w:tcPr>
          <w:p w14:paraId="1CD3227C">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39184AB9">
            <w:pPr>
              <w:spacing w:line="500" w:lineRule="exact"/>
              <w:jc w:val="center"/>
              <w:rPr>
                <w:rFonts w:ascii="宋体" w:hAnsi="宋体" w:cs="宋体"/>
                <w:sz w:val="24"/>
                <w:szCs w:val="21"/>
              </w:rPr>
            </w:pPr>
          </w:p>
        </w:tc>
        <w:tc>
          <w:tcPr>
            <w:tcW w:w="1625" w:type="dxa"/>
            <w:noWrap/>
            <w:vAlign w:val="center"/>
          </w:tcPr>
          <w:p w14:paraId="22837ECA">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7F1F8BDA">
            <w:pPr>
              <w:spacing w:line="500" w:lineRule="exact"/>
              <w:jc w:val="center"/>
              <w:rPr>
                <w:rFonts w:ascii="宋体" w:hAnsi="宋体" w:cs="宋体"/>
                <w:sz w:val="24"/>
                <w:szCs w:val="21"/>
              </w:rPr>
            </w:pPr>
          </w:p>
        </w:tc>
        <w:tc>
          <w:tcPr>
            <w:tcW w:w="933" w:type="dxa"/>
            <w:noWrap/>
            <w:vAlign w:val="center"/>
          </w:tcPr>
          <w:p w14:paraId="56E704A3">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1448041A">
            <w:pPr>
              <w:spacing w:line="500" w:lineRule="exact"/>
              <w:jc w:val="center"/>
              <w:rPr>
                <w:rFonts w:ascii="宋体" w:hAnsi="宋体" w:cs="宋体"/>
                <w:sz w:val="24"/>
                <w:szCs w:val="21"/>
              </w:rPr>
            </w:pPr>
          </w:p>
        </w:tc>
      </w:tr>
      <w:tr w14:paraId="6C4A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10D963B9">
            <w:pPr>
              <w:spacing w:line="500" w:lineRule="exact"/>
              <w:jc w:val="center"/>
              <w:rPr>
                <w:rFonts w:ascii="宋体" w:hAnsi="宋体" w:cs="宋体"/>
                <w:sz w:val="24"/>
                <w:szCs w:val="21"/>
              </w:rPr>
            </w:pPr>
            <w:r>
              <w:rPr>
                <w:rFonts w:hint="eastAsia" w:ascii="宋体" w:hAnsi="宋体" w:cs="宋体"/>
                <w:sz w:val="24"/>
                <w:szCs w:val="21"/>
              </w:rPr>
              <w:t>成立时间</w:t>
            </w:r>
          </w:p>
        </w:tc>
        <w:tc>
          <w:tcPr>
            <w:tcW w:w="2545" w:type="dxa"/>
            <w:gridSpan w:val="2"/>
            <w:noWrap/>
            <w:vAlign w:val="center"/>
          </w:tcPr>
          <w:p w14:paraId="5D208EDD">
            <w:pPr>
              <w:spacing w:line="500" w:lineRule="exact"/>
              <w:jc w:val="center"/>
              <w:rPr>
                <w:rFonts w:ascii="宋体" w:hAnsi="宋体" w:cs="宋体"/>
                <w:sz w:val="24"/>
                <w:szCs w:val="21"/>
              </w:rPr>
            </w:pPr>
          </w:p>
        </w:tc>
        <w:tc>
          <w:tcPr>
            <w:tcW w:w="4905" w:type="dxa"/>
            <w:gridSpan w:val="4"/>
            <w:noWrap/>
            <w:vAlign w:val="center"/>
          </w:tcPr>
          <w:p w14:paraId="26F3B048">
            <w:pPr>
              <w:spacing w:line="500" w:lineRule="exact"/>
              <w:jc w:val="center"/>
              <w:rPr>
                <w:rFonts w:ascii="宋体" w:hAnsi="宋体" w:cs="宋体"/>
                <w:sz w:val="24"/>
                <w:szCs w:val="21"/>
              </w:rPr>
            </w:pPr>
            <w:r>
              <w:rPr>
                <w:rFonts w:hint="eastAsia" w:ascii="宋体" w:hAnsi="宋体" w:cs="宋体"/>
                <w:sz w:val="24"/>
                <w:szCs w:val="21"/>
              </w:rPr>
              <w:t>员工总人数：</w:t>
            </w:r>
          </w:p>
        </w:tc>
      </w:tr>
      <w:tr w14:paraId="4BAC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6AF056D4">
            <w:pPr>
              <w:spacing w:line="500" w:lineRule="exact"/>
              <w:jc w:val="center"/>
              <w:rPr>
                <w:rFonts w:ascii="宋体" w:hAnsi="宋体" w:cs="宋体"/>
                <w:sz w:val="24"/>
                <w:szCs w:val="21"/>
              </w:rPr>
            </w:pPr>
            <w:r>
              <w:rPr>
                <w:rFonts w:hint="eastAsia" w:ascii="宋体" w:hAnsi="宋体" w:cs="宋体"/>
                <w:sz w:val="24"/>
                <w:szCs w:val="21"/>
              </w:rPr>
              <w:t>营业执照号</w:t>
            </w:r>
          </w:p>
        </w:tc>
        <w:tc>
          <w:tcPr>
            <w:tcW w:w="7450" w:type="dxa"/>
            <w:gridSpan w:val="6"/>
            <w:noWrap/>
            <w:vAlign w:val="center"/>
          </w:tcPr>
          <w:p w14:paraId="1B699875">
            <w:pPr>
              <w:spacing w:line="500" w:lineRule="exact"/>
              <w:jc w:val="center"/>
              <w:rPr>
                <w:rFonts w:ascii="宋体" w:hAnsi="宋体" w:cs="宋体"/>
                <w:sz w:val="24"/>
                <w:szCs w:val="21"/>
              </w:rPr>
            </w:pPr>
          </w:p>
        </w:tc>
      </w:tr>
      <w:tr w14:paraId="7177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4147D3D8">
            <w:pPr>
              <w:spacing w:line="500" w:lineRule="exact"/>
              <w:jc w:val="center"/>
              <w:rPr>
                <w:rFonts w:ascii="宋体" w:hAnsi="宋体" w:cs="宋体"/>
                <w:sz w:val="24"/>
                <w:szCs w:val="21"/>
              </w:rPr>
            </w:pPr>
            <w:r>
              <w:rPr>
                <w:rFonts w:hint="eastAsia" w:ascii="宋体" w:hAnsi="宋体" w:cs="宋体"/>
                <w:sz w:val="24"/>
                <w:szCs w:val="21"/>
              </w:rPr>
              <w:t>注册资金</w:t>
            </w:r>
          </w:p>
        </w:tc>
        <w:tc>
          <w:tcPr>
            <w:tcW w:w="7450" w:type="dxa"/>
            <w:gridSpan w:val="6"/>
            <w:noWrap/>
            <w:vAlign w:val="center"/>
          </w:tcPr>
          <w:p w14:paraId="53BDCA19">
            <w:pPr>
              <w:spacing w:line="500" w:lineRule="exact"/>
              <w:jc w:val="center"/>
              <w:rPr>
                <w:rFonts w:ascii="宋体" w:hAnsi="宋体" w:cs="宋体"/>
                <w:sz w:val="24"/>
                <w:szCs w:val="21"/>
              </w:rPr>
            </w:pPr>
          </w:p>
        </w:tc>
      </w:tr>
      <w:tr w14:paraId="7175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1832513C">
            <w:pPr>
              <w:spacing w:line="500" w:lineRule="exact"/>
              <w:jc w:val="center"/>
              <w:rPr>
                <w:rFonts w:ascii="宋体" w:hAnsi="宋体" w:cs="宋体"/>
                <w:sz w:val="24"/>
                <w:szCs w:val="21"/>
              </w:rPr>
            </w:pPr>
            <w:r>
              <w:rPr>
                <w:rFonts w:hint="eastAsia" w:ascii="宋体" w:hAnsi="宋体" w:cs="宋体"/>
                <w:sz w:val="24"/>
                <w:szCs w:val="21"/>
              </w:rPr>
              <w:t>开户银行</w:t>
            </w:r>
          </w:p>
        </w:tc>
        <w:tc>
          <w:tcPr>
            <w:tcW w:w="7450" w:type="dxa"/>
            <w:gridSpan w:val="6"/>
            <w:noWrap/>
            <w:vAlign w:val="center"/>
          </w:tcPr>
          <w:p w14:paraId="1C286CA0">
            <w:pPr>
              <w:spacing w:line="500" w:lineRule="exact"/>
              <w:jc w:val="center"/>
              <w:rPr>
                <w:rFonts w:ascii="宋体" w:hAnsi="宋体" w:cs="宋体"/>
                <w:sz w:val="24"/>
                <w:szCs w:val="21"/>
              </w:rPr>
            </w:pPr>
          </w:p>
        </w:tc>
      </w:tr>
      <w:tr w14:paraId="7F45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50DDEE5A">
            <w:pPr>
              <w:spacing w:line="500" w:lineRule="exact"/>
              <w:jc w:val="center"/>
              <w:rPr>
                <w:rFonts w:ascii="宋体" w:hAnsi="宋体" w:cs="宋体"/>
                <w:sz w:val="24"/>
                <w:szCs w:val="21"/>
              </w:rPr>
            </w:pPr>
            <w:r>
              <w:rPr>
                <w:rFonts w:hint="eastAsia" w:ascii="宋体" w:hAnsi="宋体" w:cs="宋体"/>
                <w:sz w:val="24"/>
                <w:szCs w:val="21"/>
              </w:rPr>
              <w:t>账号</w:t>
            </w:r>
          </w:p>
        </w:tc>
        <w:tc>
          <w:tcPr>
            <w:tcW w:w="7450" w:type="dxa"/>
            <w:gridSpan w:val="6"/>
            <w:noWrap/>
            <w:vAlign w:val="center"/>
          </w:tcPr>
          <w:p w14:paraId="7E72F223">
            <w:pPr>
              <w:spacing w:line="500" w:lineRule="exact"/>
              <w:jc w:val="center"/>
              <w:rPr>
                <w:rFonts w:ascii="宋体" w:hAnsi="宋体" w:cs="宋体"/>
                <w:sz w:val="24"/>
                <w:szCs w:val="21"/>
              </w:rPr>
            </w:pPr>
          </w:p>
        </w:tc>
      </w:tr>
      <w:tr w14:paraId="0AF6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1761" w:type="dxa"/>
            <w:noWrap/>
            <w:vAlign w:val="center"/>
          </w:tcPr>
          <w:p w14:paraId="1EED587B">
            <w:pPr>
              <w:spacing w:line="500" w:lineRule="exact"/>
              <w:jc w:val="center"/>
              <w:rPr>
                <w:rFonts w:ascii="宋体" w:hAnsi="宋体" w:cs="宋体"/>
                <w:sz w:val="24"/>
                <w:szCs w:val="21"/>
              </w:rPr>
            </w:pPr>
            <w:r>
              <w:rPr>
                <w:rFonts w:hint="eastAsia" w:ascii="宋体" w:hAnsi="宋体" w:cs="宋体"/>
                <w:sz w:val="24"/>
                <w:szCs w:val="21"/>
              </w:rPr>
              <w:t>经营范围</w:t>
            </w:r>
          </w:p>
        </w:tc>
        <w:tc>
          <w:tcPr>
            <w:tcW w:w="7450" w:type="dxa"/>
            <w:gridSpan w:val="6"/>
            <w:noWrap/>
            <w:vAlign w:val="center"/>
          </w:tcPr>
          <w:p w14:paraId="29DAE996">
            <w:pPr>
              <w:spacing w:line="500" w:lineRule="exact"/>
              <w:ind w:firstLine="480" w:firstLineChars="200"/>
              <w:jc w:val="center"/>
              <w:rPr>
                <w:rFonts w:ascii="宋体" w:hAnsi="宋体" w:cs="宋体"/>
                <w:sz w:val="24"/>
                <w:szCs w:val="21"/>
              </w:rPr>
            </w:pPr>
          </w:p>
        </w:tc>
      </w:tr>
    </w:tbl>
    <w:p w14:paraId="4E3187B0">
      <w:pPr>
        <w:pStyle w:val="8"/>
      </w:pPr>
    </w:p>
    <w:p w14:paraId="6B05F5BA">
      <w:pPr>
        <w:pStyle w:val="37"/>
        <w:rPr>
          <w:color w:val="auto"/>
        </w:rPr>
      </w:pPr>
    </w:p>
    <w:p w14:paraId="21C991A0"/>
    <w:p w14:paraId="76AC486F">
      <w:pPr>
        <w:pStyle w:val="8"/>
      </w:pPr>
    </w:p>
    <w:p w14:paraId="5C397A14">
      <w:pPr>
        <w:pStyle w:val="37"/>
      </w:pPr>
    </w:p>
    <w:p w14:paraId="3926D3CF">
      <w:pPr>
        <w:pStyle w:val="37"/>
        <w:rPr>
          <w:color w:val="auto"/>
        </w:rPr>
      </w:pPr>
    </w:p>
    <w:p w14:paraId="52D1F03A">
      <w:pPr>
        <w:pStyle w:val="12"/>
        <w:ind w:firstLine="542"/>
        <w:jc w:val="center"/>
        <w:rPr>
          <w:rFonts w:ascii="宋体" w:hAnsi="宋体" w:eastAsia="宋体"/>
          <w:b/>
          <w:sz w:val="24"/>
        </w:rPr>
      </w:pPr>
      <w:r>
        <w:rPr>
          <w:rFonts w:hint="eastAsia" w:ascii="宋体" w:hAnsi="宋体" w:eastAsia="宋体"/>
          <w:b/>
          <w:sz w:val="24"/>
        </w:rPr>
        <w:t>（二）资格证明文件</w:t>
      </w:r>
    </w:p>
    <w:p w14:paraId="430D2134">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1、满足《中华人民共和国政府采购法》第二十二条规定；</w:t>
      </w:r>
    </w:p>
    <w:p w14:paraId="5B462FBC">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2、落实政府采购政策满足的资格要求：根据《政府采购促进中小企业发展管理办法》（财库〔2020〕46号）规定，本项目专门面向中小企业采购；同时供应商须提供《中小企业声明函》；</w:t>
      </w:r>
    </w:p>
    <w:p w14:paraId="34091F11">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3、本项目的特定资格要求</w:t>
      </w:r>
    </w:p>
    <w:p w14:paraId="1CD2342C">
      <w:pPr>
        <w:shd w:val="clear" w:color="auto" w:fill="FFFFFF"/>
        <w:wordWrap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rPr>
        <w:t>（1）供应商具有独立法人资格，并具有有效的营业执照</w:t>
      </w:r>
      <w:r>
        <w:rPr>
          <w:rFonts w:hint="eastAsia" w:ascii="宋体" w:hAnsi="宋体" w:cs="宋体"/>
          <w:sz w:val="24"/>
          <w:szCs w:val="24"/>
          <w:lang w:eastAsia="zh-CN"/>
        </w:rPr>
        <w:t>；</w:t>
      </w:r>
    </w:p>
    <w:p w14:paraId="07BDDFE2">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（2）供应商具有良好的商业信誉和健全的财务会计制度（提供承诺书，格式自拟）；</w:t>
      </w:r>
    </w:p>
    <w:p w14:paraId="142A0ED9">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（3）供应商具有履行合同所必需的设备和专业技术能力（提供承诺书，格式自拟）；</w:t>
      </w:r>
    </w:p>
    <w:p w14:paraId="61E833F1">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（4）供应商有依法缴纳税收和社会保障资金的良好记录（提供承诺书，格式自拟）；</w:t>
      </w:r>
    </w:p>
    <w:p w14:paraId="6CF5A17B">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（5）供应商参加政府采购活动前三年内，在经营活动中没有重大违法记录（提供承诺书，格式自拟）；</w:t>
      </w:r>
    </w:p>
    <w:p w14:paraId="5DA0A468">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08AD6879">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（7）供应商无行贿犯罪记录行为，在中国裁判文书网自行查询结果或自行承诺（查询/承诺对象：企业、法定代表人）；</w:t>
      </w:r>
    </w:p>
    <w:p w14:paraId="21769C84">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8）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p w14:paraId="68384C79">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0689C7CD">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w:t>
      </w:r>
      <w:r>
        <w:rPr>
          <w:rFonts w:hint="eastAsia" w:ascii="宋体" w:hAnsi="宋体" w:cs="宋体"/>
          <w:sz w:val="24"/>
          <w:szCs w:val="24"/>
          <w:lang w:val="en-US" w:eastAsia="zh-CN"/>
        </w:rPr>
        <w:t>（提供资格后审承诺书，格式自拟）</w:t>
      </w:r>
      <w:r>
        <w:rPr>
          <w:rFonts w:hint="eastAsia" w:ascii="宋体" w:hAnsi="宋体" w:cs="宋体"/>
          <w:sz w:val="24"/>
          <w:szCs w:val="24"/>
        </w:rPr>
        <w:t>；</w:t>
      </w:r>
    </w:p>
    <w:p w14:paraId="1C986467">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本项目不接受联合体磋商（提供非联合体承诺书，格式自拟）。</w:t>
      </w:r>
    </w:p>
    <w:p w14:paraId="156CF340">
      <w:pPr>
        <w:spacing w:line="400" w:lineRule="exact"/>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4C18F21F">
      <w:pPr>
        <w:spacing w:line="400" w:lineRule="exact"/>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547AAC02">
      <w:pPr>
        <w:spacing w:line="400" w:lineRule="exact"/>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49D49186">
      <w:pPr>
        <w:autoSpaceDE w:val="0"/>
        <w:autoSpaceDN w:val="0"/>
        <w:adjustRightInd w:val="0"/>
        <w:snapToGrid w:val="0"/>
        <w:spacing w:line="480" w:lineRule="auto"/>
        <w:ind w:firstLine="3840" w:firstLineChars="1600"/>
        <w:rPr>
          <w:rFonts w:ascii="宋体" w:hAnsi="宋体" w:cs="宋体"/>
          <w:kern w:val="0"/>
          <w:sz w:val="24"/>
        </w:rPr>
      </w:pPr>
    </w:p>
    <w:p w14:paraId="3BB77C8D">
      <w:pPr>
        <w:keepNext/>
        <w:keepLines/>
        <w:spacing w:line="410" w:lineRule="auto"/>
        <w:jc w:val="center"/>
        <w:outlineLvl w:val="1"/>
        <w:rPr>
          <w:rFonts w:ascii="宋体" w:hAnsi="宋体" w:cs="宋体"/>
          <w:b/>
          <w:color w:val="000000"/>
          <w:kern w:val="0"/>
          <w:sz w:val="30"/>
          <w:szCs w:val="30"/>
        </w:rPr>
      </w:pPr>
      <w:r>
        <w:rPr>
          <w:rFonts w:hint="eastAsia" w:ascii="宋体" w:hAnsi="宋体" w:cs="宋体"/>
          <w:b/>
          <w:color w:val="000000"/>
          <w:kern w:val="0"/>
          <w:sz w:val="30"/>
          <w:szCs w:val="30"/>
        </w:rPr>
        <w:t>五、技术方案</w:t>
      </w:r>
    </w:p>
    <w:p w14:paraId="2A100946">
      <w:pPr>
        <w:pStyle w:val="14"/>
        <w:spacing w:line="360" w:lineRule="auto"/>
        <w:jc w:val="center"/>
        <w:rPr>
          <w:rFonts w:ascii="宋体" w:hAnsi="宋体" w:cs="宋体"/>
          <w:color w:val="000000"/>
          <w:kern w:val="0"/>
          <w:sz w:val="24"/>
        </w:rPr>
      </w:pPr>
      <w:r>
        <w:rPr>
          <w:rFonts w:hint="eastAsia" w:ascii="宋体" w:hAnsi="宋体" w:cs="宋体"/>
          <w:color w:val="000000"/>
          <w:kern w:val="0"/>
          <w:sz w:val="24"/>
        </w:rPr>
        <w:t>（格式自拟）</w:t>
      </w:r>
    </w:p>
    <w:p w14:paraId="4193A0AC">
      <w:pPr>
        <w:pStyle w:val="14"/>
        <w:spacing w:line="360" w:lineRule="auto"/>
        <w:rPr>
          <w:rFonts w:ascii="宋体" w:hAnsi="宋体" w:cs="宋体"/>
          <w:color w:val="000000"/>
          <w:kern w:val="0"/>
          <w:sz w:val="24"/>
        </w:rPr>
      </w:pPr>
    </w:p>
    <w:p w14:paraId="735133E8">
      <w:pPr>
        <w:pStyle w:val="14"/>
        <w:spacing w:line="360" w:lineRule="auto"/>
        <w:rPr>
          <w:rFonts w:ascii="宋体" w:hAnsi="宋体" w:cs="宋体"/>
          <w:color w:val="000000"/>
          <w:kern w:val="0"/>
          <w:sz w:val="24"/>
        </w:rPr>
      </w:pPr>
    </w:p>
    <w:p w14:paraId="39B9432E">
      <w:pPr>
        <w:pStyle w:val="14"/>
        <w:spacing w:line="360" w:lineRule="auto"/>
        <w:rPr>
          <w:rFonts w:ascii="宋体" w:hAnsi="宋体" w:cs="宋体"/>
          <w:color w:val="000000"/>
          <w:kern w:val="0"/>
          <w:sz w:val="24"/>
        </w:rPr>
      </w:pPr>
    </w:p>
    <w:p w14:paraId="12339C61">
      <w:pPr>
        <w:pStyle w:val="14"/>
        <w:spacing w:line="360" w:lineRule="auto"/>
        <w:rPr>
          <w:rFonts w:ascii="宋体" w:hAnsi="宋体" w:cs="宋体"/>
          <w:color w:val="000000"/>
          <w:kern w:val="0"/>
          <w:sz w:val="24"/>
        </w:rPr>
      </w:pPr>
    </w:p>
    <w:p w14:paraId="5B11D0A2">
      <w:pPr>
        <w:pStyle w:val="14"/>
        <w:spacing w:line="360" w:lineRule="auto"/>
        <w:rPr>
          <w:rFonts w:ascii="宋体" w:hAnsi="宋体" w:cs="宋体"/>
          <w:color w:val="000000"/>
          <w:kern w:val="0"/>
          <w:sz w:val="24"/>
        </w:rPr>
      </w:pPr>
    </w:p>
    <w:p w14:paraId="2452ACDC">
      <w:pPr>
        <w:pStyle w:val="14"/>
        <w:spacing w:line="360" w:lineRule="auto"/>
        <w:rPr>
          <w:rFonts w:ascii="宋体" w:hAnsi="宋体" w:cs="宋体"/>
          <w:color w:val="000000"/>
          <w:kern w:val="0"/>
          <w:sz w:val="24"/>
        </w:rPr>
      </w:pPr>
    </w:p>
    <w:p w14:paraId="3DA26715">
      <w:pPr>
        <w:pStyle w:val="14"/>
        <w:spacing w:line="360" w:lineRule="auto"/>
        <w:rPr>
          <w:rFonts w:ascii="宋体" w:hAnsi="宋体" w:cs="宋体"/>
          <w:color w:val="000000"/>
          <w:kern w:val="0"/>
          <w:sz w:val="24"/>
        </w:rPr>
      </w:pPr>
    </w:p>
    <w:p w14:paraId="3CF1CA44">
      <w:pPr>
        <w:pStyle w:val="14"/>
        <w:spacing w:line="360" w:lineRule="auto"/>
        <w:rPr>
          <w:rFonts w:ascii="宋体" w:hAnsi="宋体" w:cs="宋体"/>
          <w:color w:val="000000"/>
          <w:kern w:val="0"/>
          <w:sz w:val="24"/>
        </w:rPr>
      </w:pPr>
    </w:p>
    <w:p w14:paraId="49E60299">
      <w:pPr>
        <w:pStyle w:val="14"/>
        <w:spacing w:line="360" w:lineRule="auto"/>
        <w:rPr>
          <w:rFonts w:ascii="宋体" w:hAnsi="宋体" w:cs="宋体"/>
          <w:color w:val="000000"/>
          <w:kern w:val="0"/>
          <w:sz w:val="24"/>
        </w:rPr>
      </w:pPr>
    </w:p>
    <w:p w14:paraId="07988057">
      <w:pPr>
        <w:pStyle w:val="14"/>
        <w:spacing w:line="360" w:lineRule="auto"/>
        <w:rPr>
          <w:rFonts w:ascii="宋体" w:hAnsi="宋体" w:cs="宋体"/>
          <w:color w:val="000000"/>
          <w:kern w:val="0"/>
          <w:sz w:val="24"/>
        </w:rPr>
      </w:pPr>
    </w:p>
    <w:p w14:paraId="45124AD6">
      <w:pPr>
        <w:pStyle w:val="14"/>
        <w:spacing w:line="360" w:lineRule="auto"/>
        <w:rPr>
          <w:rFonts w:ascii="宋体" w:hAnsi="宋体" w:cs="宋体"/>
          <w:color w:val="000000"/>
          <w:kern w:val="0"/>
          <w:sz w:val="24"/>
        </w:rPr>
      </w:pPr>
    </w:p>
    <w:p w14:paraId="4EDA4540">
      <w:pPr>
        <w:pStyle w:val="14"/>
        <w:spacing w:line="360" w:lineRule="auto"/>
        <w:rPr>
          <w:rFonts w:ascii="宋体" w:hAnsi="宋体" w:cs="宋体"/>
          <w:color w:val="000000"/>
          <w:kern w:val="0"/>
          <w:sz w:val="24"/>
        </w:rPr>
      </w:pPr>
    </w:p>
    <w:p w14:paraId="334BA63C">
      <w:pPr>
        <w:pStyle w:val="14"/>
        <w:spacing w:line="360" w:lineRule="auto"/>
        <w:rPr>
          <w:rFonts w:ascii="宋体" w:hAnsi="宋体" w:cs="宋体"/>
          <w:color w:val="000000"/>
          <w:kern w:val="0"/>
          <w:sz w:val="24"/>
        </w:rPr>
      </w:pPr>
    </w:p>
    <w:p w14:paraId="0C0B8C8D">
      <w:pPr>
        <w:pStyle w:val="14"/>
        <w:spacing w:line="360" w:lineRule="auto"/>
        <w:rPr>
          <w:rFonts w:ascii="宋体" w:hAnsi="宋体" w:cs="宋体"/>
          <w:color w:val="000000"/>
          <w:kern w:val="0"/>
          <w:sz w:val="24"/>
        </w:rPr>
      </w:pPr>
    </w:p>
    <w:p w14:paraId="3DF12450">
      <w:pPr>
        <w:pStyle w:val="14"/>
        <w:spacing w:line="360" w:lineRule="auto"/>
        <w:rPr>
          <w:rFonts w:ascii="宋体" w:hAnsi="宋体" w:cs="宋体"/>
          <w:color w:val="000000"/>
          <w:kern w:val="0"/>
          <w:sz w:val="24"/>
        </w:rPr>
      </w:pPr>
    </w:p>
    <w:p w14:paraId="23C019AB">
      <w:pPr>
        <w:pStyle w:val="14"/>
        <w:spacing w:line="360" w:lineRule="auto"/>
        <w:rPr>
          <w:rFonts w:ascii="宋体" w:hAnsi="宋体" w:cs="宋体"/>
          <w:color w:val="000000"/>
          <w:kern w:val="0"/>
          <w:sz w:val="24"/>
        </w:rPr>
      </w:pPr>
    </w:p>
    <w:p w14:paraId="4247A5DC">
      <w:pPr>
        <w:pStyle w:val="14"/>
        <w:spacing w:line="360" w:lineRule="auto"/>
        <w:rPr>
          <w:rFonts w:ascii="宋体" w:hAnsi="宋体" w:cs="宋体"/>
          <w:color w:val="000000"/>
          <w:kern w:val="0"/>
          <w:sz w:val="24"/>
        </w:rPr>
      </w:pPr>
    </w:p>
    <w:p w14:paraId="38D4CF9E">
      <w:pPr>
        <w:pStyle w:val="14"/>
        <w:spacing w:line="360" w:lineRule="auto"/>
        <w:rPr>
          <w:rFonts w:ascii="宋体" w:hAnsi="宋体" w:cs="宋体"/>
          <w:color w:val="000000"/>
          <w:kern w:val="0"/>
          <w:sz w:val="24"/>
        </w:rPr>
      </w:pPr>
    </w:p>
    <w:p w14:paraId="25384354">
      <w:pPr>
        <w:pStyle w:val="14"/>
        <w:spacing w:line="360" w:lineRule="auto"/>
        <w:rPr>
          <w:rFonts w:ascii="宋体" w:hAnsi="宋体" w:cs="宋体"/>
          <w:color w:val="000000"/>
          <w:kern w:val="0"/>
          <w:sz w:val="24"/>
        </w:rPr>
      </w:pPr>
    </w:p>
    <w:p w14:paraId="7B798A3A">
      <w:pPr>
        <w:pStyle w:val="14"/>
        <w:spacing w:line="360" w:lineRule="auto"/>
        <w:rPr>
          <w:rFonts w:ascii="宋体" w:hAnsi="宋体" w:cs="宋体"/>
          <w:color w:val="000000"/>
          <w:kern w:val="0"/>
          <w:sz w:val="24"/>
        </w:rPr>
      </w:pPr>
    </w:p>
    <w:p w14:paraId="5E17BD98">
      <w:pPr>
        <w:pStyle w:val="14"/>
        <w:spacing w:line="360" w:lineRule="auto"/>
        <w:rPr>
          <w:rFonts w:ascii="宋体" w:hAnsi="宋体" w:cs="宋体"/>
          <w:color w:val="000000"/>
          <w:kern w:val="0"/>
          <w:sz w:val="24"/>
        </w:rPr>
      </w:pPr>
    </w:p>
    <w:p w14:paraId="7A0467A2">
      <w:pPr>
        <w:pStyle w:val="14"/>
        <w:spacing w:line="360" w:lineRule="auto"/>
        <w:rPr>
          <w:rFonts w:ascii="宋体" w:hAnsi="宋体" w:cs="宋体"/>
          <w:color w:val="000000"/>
          <w:kern w:val="0"/>
          <w:sz w:val="24"/>
        </w:rPr>
      </w:pPr>
    </w:p>
    <w:p w14:paraId="649CF7D0">
      <w:pPr>
        <w:pStyle w:val="14"/>
        <w:spacing w:line="360" w:lineRule="auto"/>
        <w:rPr>
          <w:rFonts w:ascii="宋体" w:hAnsi="宋体" w:cs="宋体"/>
          <w:color w:val="000000"/>
          <w:kern w:val="0"/>
          <w:sz w:val="24"/>
        </w:rPr>
      </w:pPr>
    </w:p>
    <w:p w14:paraId="01A3E514">
      <w:pPr>
        <w:pStyle w:val="14"/>
        <w:spacing w:line="360" w:lineRule="auto"/>
        <w:rPr>
          <w:rFonts w:ascii="宋体" w:hAnsi="宋体" w:cs="宋体"/>
          <w:color w:val="000000"/>
          <w:kern w:val="0"/>
          <w:sz w:val="24"/>
        </w:rPr>
      </w:pPr>
    </w:p>
    <w:p w14:paraId="71F80C12">
      <w:pPr>
        <w:pStyle w:val="14"/>
        <w:spacing w:line="360" w:lineRule="auto"/>
        <w:rPr>
          <w:rFonts w:ascii="宋体" w:hAnsi="宋体" w:cs="宋体"/>
          <w:color w:val="000000"/>
          <w:kern w:val="0"/>
          <w:sz w:val="24"/>
        </w:rPr>
      </w:pPr>
    </w:p>
    <w:p w14:paraId="0DB09D60">
      <w:pPr>
        <w:pStyle w:val="14"/>
        <w:spacing w:line="360" w:lineRule="auto"/>
        <w:rPr>
          <w:rFonts w:ascii="宋体" w:hAnsi="宋体" w:cs="宋体"/>
          <w:color w:val="000000"/>
          <w:kern w:val="0"/>
          <w:sz w:val="24"/>
        </w:rPr>
      </w:pPr>
    </w:p>
    <w:p w14:paraId="05158C26">
      <w:pPr>
        <w:pStyle w:val="14"/>
        <w:spacing w:line="360" w:lineRule="auto"/>
        <w:rPr>
          <w:rFonts w:ascii="宋体" w:hAnsi="宋体" w:cs="宋体"/>
          <w:color w:val="000000"/>
          <w:kern w:val="0"/>
          <w:sz w:val="24"/>
        </w:rPr>
      </w:pPr>
    </w:p>
    <w:p w14:paraId="06FF37FD">
      <w:pPr>
        <w:spacing w:line="480" w:lineRule="auto"/>
        <w:jc w:val="center"/>
        <w:outlineLvl w:val="1"/>
        <w:rPr>
          <w:rFonts w:ascii="宋体" w:hAnsi="宋体" w:cs="宋体"/>
          <w:b/>
          <w:color w:val="000000"/>
          <w:kern w:val="0"/>
          <w:sz w:val="28"/>
          <w:szCs w:val="28"/>
        </w:rPr>
      </w:pPr>
      <w:r>
        <w:rPr>
          <w:rFonts w:hint="eastAsia" w:ascii="宋体" w:hAnsi="宋体" w:cs="宋体"/>
          <w:b/>
          <w:color w:val="000000"/>
          <w:kern w:val="0"/>
          <w:sz w:val="28"/>
          <w:szCs w:val="28"/>
        </w:rPr>
        <w:t>六、供应商承担过的类似业绩</w:t>
      </w:r>
    </w:p>
    <w:p w14:paraId="46516A13">
      <w:pPr>
        <w:spacing w:line="360" w:lineRule="auto"/>
        <w:jc w:val="center"/>
        <w:outlineLvl w:val="1"/>
        <w:rPr>
          <w:rFonts w:ascii="宋体" w:hAnsi="宋体" w:cs="宋体"/>
          <w:b/>
          <w:bCs/>
          <w:sz w:val="24"/>
        </w:rPr>
      </w:pPr>
      <w:bookmarkStart w:id="170" w:name="_Toc17349"/>
      <w:bookmarkEnd w:id="170"/>
      <w:bookmarkStart w:id="171" w:name="_Toc173946436"/>
      <w:bookmarkEnd w:id="171"/>
      <w:bookmarkStart w:id="172" w:name="_Toc31838"/>
      <w:bookmarkEnd w:id="172"/>
      <w:bookmarkStart w:id="173" w:name="_Toc4059"/>
      <w:bookmarkEnd w:id="173"/>
      <w:bookmarkStart w:id="174" w:name="_Toc6119"/>
      <w:bookmarkEnd w:id="174"/>
      <w:bookmarkStart w:id="175" w:name="_Toc17684"/>
      <w:bookmarkEnd w:id="175"/>
      <w:bookmarkStart w:id="176" w:name="_Toc174034469"/>
      <w:bookmarkEnd w:id="176"/>
      <w:bookmarkStart w:id="177" w:name="_Toc14361"/>
      <w:r>
        <w:rPr>
          <w:rFonts w:hint="eastAsia" w:ascii="宋体" w:hAnsi="宋体" w:cs="宋体"/>
          <w:b/>
          <w:bCs/>
          <w:sz w:val="24"/>
        </w:rPr>
        <w:t>（一）自2022年1月1日已完成的类似项目情况表</w:t>
      </w:r>
      <w:bookmarkEnd w:id="177"/>
    </w:p>
    <w:tbl>
      <w:tblPr>
        <w:tblStyle w:val="21"/>
        <w:tblW w:w="8457" w:type="dxa"/>
        <w:jc w:val="center"/>
        <w:tblLayout w:type="fixed"/>
        <w:tblCellMar>
          <w:top w:w="0" w:type="dxa"/>
          <w:left w:w="108" w:type="dxa"/>
          <w:bottom w:w="0" w:type="dxa"/>
          <w:right w:w="108" w:type="dxa"/>
        </w:tblCellMar>
      </w:tblPr>
      <w:tblGrid>
        <w:gridCol w:w="2213"/>
        <w:gridCol w:w="6244"/>
      </w:tblGrid>
      <w:tr w14:paraId="00E419FC">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B330EC2">
            <w:pPr>
              <w:topLinePunct/>
              <w:spacing w:line="440" w:lineRule="exact"/>
              <w:jc w:val="center"/>
              <w:rPr>
                <w:rFonts w:ascii="宋体" w:hAnsi="宋体" w:cs="宋体"/>
                <w:sz w:val="24"/>
              </w:rPr>
            </w:pPr>
            <w:r>
              <w:rPr>
                <w:rFonts w:hint="eastAsia" w:ascii="宋体" w:hAnsi="宋体" w:cs="宋体"/>
                <w:sz w:val="24"/>
              </w:rPr>
              <w:t>项目名称</w:t>
            </w:r>
          </w:p>
        </w:tc>
        <w:tc>
          <w:tcPr>
            <w:tcW w:w="6244" w:type="dxa"/>
            <w:tcBorders>
              <w:top w:val="single" w:color="auto" w:sz="4" w:space="0"/>
              <w:left w:val="nil"/>
              <w:bottom w:val="single" w:color="auto" w:sz="4" w:space="0"/>
              <w:right w:val="single" w:color="auto" w:sz="4" w:space="0"/>
            </w:tcBorders>
          </w:tcPr>
          <w:p w14:paraId="31B11C64">
            <w:pPr>
              <w:topLinePunct/>
              <w:spacing w:line="440" w:lineRule="exact"/>
              <w:rPr>
                <w:rFonts w:ascii="宋体" w:hAnsi="宋体" w:cs="宋体"/>
                <w:sz w:val="24"/>
                <w:highlight w:val="black"/>
              </w:rPr>
            </w:pPr>
          </w:p>
        </w:tc>
      </w:tr>
      <w:tr w14:paraId="164DB34A">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63316107">
            <w:pPr>
              <w:topLinePunct/>
              <w:spacing w:line="440" w:lineRule="exact"/>
              <w:jc w:val="center"/>
              <w:rPr>
                <w:rFonts w:ascii="宋体" w:hAnsi="宋体" w:cs="宋体"/>
                <w:sz w:val="24"/>
              </w:rPr>
            </w:pPr>
            <w:r>
              <w:rPr>
                <w:rFonts w:hint="eastAsia" w:ascii="宋体" w:hAnsi="宋体" w:cs="宋体"/>
                <w:sz w:val="24"/>
              </w:rPr>
              <w:t>项目所在地</w:t>
            </w:r>
          </w:p>
        </w:tc>
        <w:tc>
          <w:tcPr>
            <w:tcW w:w="6244" w:type="dxa"/>
            <w:tcBorders>
              <w:top w:val="single" w:color="auto" w:sz="4" w:space="0"/>
              <w:left w:val="nil"/>
              <w:bottom w:val="single" w:color="auto" w:sz="4" w:space="0"/>
              <w:right w:val="single" w:color="auto" w:sz="4" w:space="0"/>
            </w:tcBorders>
          </w:tcPr>
          <w:p w14:paraId="17C82A0A">
            <w:pPr>
              <w:topLinePunct/>
              <w:spacing w:line="440" w:lineRule="exact"/>
              <w:rPr>
                <w:rFonts w:ascii="宋体" w:hAnsi="宋体" w:cs="宋体"/>
                <w:sz w:val="24"/>
              </w:rPr>
            </w:pPr>
          </w:p>
        </w:tc>
      </w:tr>
      <w:tr w14:paraId="206034E9">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FA80F98">
            <w:pPr>
              <w:topLinePunct/>
              <w:spacing w:line="440" w:lineRule="exact"/>
              <w:jc w:val="center"/>
              <w:rPr>
                <w:rFonts w:ascii="宋体" w:hAnsi="宋体" w:cs="宋体"/>
                <w:sz w:val="24"/>
              </w:rPr>
            </w:pPr>
            <w:r>
              <w:rPr>
                <w:rFonts w:hint="eastAsia" w:ascii="宋体" w:hAnsi="宋体" w:cs="宋体"/>
                <w:sz w:val="24"/>
              </w:rPr>
              <w:t>采购人名称</w:t>
            </w:r>
          </w:p>
        </w:tc>
        <w:tc>
          <w:tcPr>
            <w:tcW w:w="6244" w:type="dxa"/>
            <w:tcBorders>
              <w:top w:val="single" w:color="auto" w:sz="4" w:space="0"/>
              <w:left w:val="nil"/>
              <w:bottom w:val="single" w:color="auto" w:sz="4" w:space="0"/>
              <w:right w:val="single" w:color="auto" w:sz="4" w:space="0"/>
            </w:tcBorders>
          </w:tcPr>
          <w:p w14:paraId="46F6EBFA">
            <w:pPr>
              <w:topLinePunct/>
              <w:spacing w:line="440" w:lineRule="exact"/>
              <w:rPr>
                <w:rFonts w:ascii="宋体" w:hAnsi="宋体" w:cs="宋体"/>
                <w:sz w:val="24"/>
              </w:rPr>
            </w:pPr>
          </w:p>
        </w:tc>
      </w:tr>
      <w:tr w14:paraId="1934E0A8">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1E56AB41">
            <w:pPr>
              <w:topLinePunct/>
              <w:spacing w:line="440" w:lineRule="exact"/>
              <w:jc w:val="center"/>
              <w:rPr>
                <w:rFonts w:ascii="宋体" w:hAnsi="宋体" w:cs="宋体"/>
                <w:sz w:val="24"/>
              </w:rPr>
            </w:pPr>
            <w:r>
              <w:rPr>
                <w:rFonts w:hint="eastAsia" w:ascii="宋体" w:hAnsi="宋体" w:cs="宋体"/>
                <w:sz w:val="24"/>
              </w:rPr>
              <w:t>采购人地址</w:t>
            </w:r>
          </w:p>
        </w:tc>
        <w:tc>
          <w:tcPr>
            <w:tcW w:w="6244" w:type="dxa"/>
            <w:tcBorders>
              <w:top w:val="single" w:color="auto" w:sz="4" w:space="0"/>
              <w:left w:val="nil"/>
              <w:bottom w:val="single" w:color="auto" w:sz="4" w:space="0"/>
              <w:right w:val="single" w:color="auto" w:sz="4" w:space="0"/>
            </w:tcBorders>
          </w:tcPr>
          <w:p w14:paraId="4F00FAD1">
            <w:pPr>
              <w:topLinePunct/>
              <w:spacing w:line="440" w:lineRule="exact"/>
              <w:rPr>
                <w:rFonts w:ascii="宋体" w:hAnsi="宋体" w:cs="宋体"/>
                <w:sz w:val="24"/>
              </w:rPr>
            </w:pPr>
          </w:p>
        </w:tc>
      </w:tr>
      <w:tr w14:paraId="69695341">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1957E48">
            <w:pPr>
              <w:topLinePunct/>
              <w:spacing w:line="440" w:lineRule="exact"/>
              <w:jc w:val="center"/>
              <w:rPr>
                <w:rFonts w:ascii="宋体" w:hAnsi="宋体" w:cs="宋体"/>
                <w:sz w:val="24"/>
              </w:rPr>
            </w:pPr>
            <w:r>
              <w:rPr>
                <w:rFonts w:hint="eastAsia" w:ascii="宋体" w:hAnsi="宋体" w:cs="宋体"/>
                <w:sz w:val="24"/>
              </w:rPr>
              <w:t>采购人电话</w:t>
            </w:r>
          </w:p>
        </w:tc>
        <w:tc>
          <w:tcPr>
            <w:tcW w:w="6244" w:type="dxa"/>
            <w:tcBorders>
              <w:top w:val="single" w:color="auto" w:sz="4" w:space="0"/>
              <w:left w:val="nil"/>
              <w:bottom w:val="single" w:color="auto" w:sz="4" w:space="0"/>
              <w:right w:val="single" w:color="auto" w:sz="4" w:space="0"/>
            </w:tcBorders>
          </w:tcPr>
          <w:p w14:paraId="35EE9496">
            <w:pPr>
              <w:topLinePunct/>
              <w:spacing w:line="440" w:lineRule="exact"/>
              <w:rPr>
                <w:rFonts w:ascii="宋体" w:hAnsi="宋体" w:cs="宋体"/>
                <w:sz w:val="24"/>
              </w:rPr>
            </w:pPr>
          </w:p>
        </w:tc>
      </w:tr>
      <w:tr w14:paraId="580CD850">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4BFA646">
            <w:pPr>
              <w:topLinePunct/>
              <w:spacing w:line="440" w:lineRule="exact"/>
              <w:jc w:val="center"/>
              <w:rPr>
                <w:rFonts w:ascii="宋体" w:hAnsi="宋体" w:cs="宋体"/>
                <w:sz w:val="24"/>
              </w:rPr>
            </w:pPr>
            <w:r>
              <w:rPr>
                <w:rFonts w:hint="eastAsia" w:ascii="宋体" w:hAnsi="宋体" w:cs="宋体"/>
                <w:sz w:val="24"/>
              </w:rPr>
              <w:t>合同价格</w:t>
            </w:r>
          </w:p>
        </w:tc>
        <w:tc>
          <w:tcPr>
            <w:tcW w:w="6244" w:type="dxa"/>
            <w:tcBorders>
              <w:top w:val="single" w:color="auto" w:sz="4" w:space="0"/>
              <w:left w:val="nil"/>
              <w:bottom w:val="single" w:color="auto" w:sz="4" w:space="0"/>
              <w:right w:val="single" w:color="auto" w:sz="4" w:space="0"/>
            </w:tcBorders>
          </w:tcPr>
          <w:p w14:paraId="43A7C89C">
            <w:pPr>
              <w:topLinePunct/>
              <w:spacing w:line="440" w:lineRule="exact"/>
              <w:rPr>
                <w:rFonts w:ascii="宋体" w:hAnsi="宋体" w:cs="宋体"/>
                <w:sz w:val="24"/>
              </w:rPr>
            </w:pPr>
          </w:p>
        </w:tc>
      </w:tr>
      <w:tr w14:paraId="5A49B39C">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096B7FD">
            <w:pPr>
              <w:topLinePunct/>
              <w:spacing w:line="440" w:lineRule="exact"/>
              <w:jc w:val="center"/>
              <w:rPr>
                <w:rFonts w:ascii="宋体" w:hAnsi="宋体" w:cs="宋体"/>
                <w:sz w:val="24"/>
              </w:rPr>
            </w:pPr>
            <w:r>
              <w:rPr>
                <w:rFonts w:hint="eastAsia" w:ascii="宋体" w:hAnsi="宋体" w:cs="宋体"/>
                <w:sz w:val="24"/>
              </w:rPr>
              <w:t>合同签订日期</w:t>
            </w:r>
          </w:p>
        </w:tc>
        <w:tc>
          <w:tcPr>
            <w:tcW w:w="6244" w:type="dxa"/>
            <w:tcBorders>
              <w:top w:val="single" w:color="auto" w:sz="4" w:space="0"/>
              <w:left w:val="nil"/>
              <w:bottom w:val="single" w:color="auto" w:sz="4" w:space="0"/>
              <w:right w:val="single" w:color="auto" w:sz="4" w:space="0"/>
            </w:tcBorders>
          </w:tcPr>
          <w:p w14:paraId="7B83DF1C">
            <w:pPr>
              <w:topLinePunct/>
              <w:spacing w:line="440" w:lineRule="exact"/>
              <w:rPr>
                <w:rFonts w:ascii="宋体" w:hAnsi="宋体" w:cs="宋体"/>
                <w:sz w:val="24"/>
              </w:rPr>
            </w:pPr>
          </w:p>
        </w:tc>
      </w:tr>
      <w:tr w14:paraId="16CC6E95">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3F2CE91">
            <w:pPr>
              <w:topLinePunct/>
              <w:spacing w:line="440" w:lineRule="exact"/>
              <w:jc w:val="center"/>
              <w:rPr>
                <w:rFonts w:ascii="宋体" w:hAnsi="宋体" w:cs="宋体"/>
                <w:sz w:val="24"/>
              </w:rPr>
            </w:pPr>
            <w:r>
              <w:rPr>
                <w:rFonts w:hint="eastAsia" w:ascii="宋体" w:hAnsi="宋体" w:cs="宋体"/>
                <w:sz w:val="24"/>
              </w:rPr>
              <w:t>服务周期</w:t>
            </w:r>
          </w:p>
        </w:tc>
        <w:tc>
          <w:tcPr>
            <w:tcW w:w="6244" w:type="dxa"/>
            <w:tcBorders>
              <w:top w:val="single" w:color="auto" w:sz="4" w:space="0"/>
              <w:left w:val="nil"/>
              <w:bottom w:val="single" w:color="auto" w:sz="4" w:space="0"/>
              <w:right w:val="single" w:color="auto" w:sz="4" w:space="0"/>
            </w:tcBorders>
            <w:vAlign w:val="center"/>
          </w:tcPr>
          <w:p w14:paraId="4E3FC9CE">
            <w:pPr>
              <w:topLinePunct/>
              <w:spacing w:line="440" w:lineRule="exact"/>
              <w:jc w:val="center"/>
              <w:rPr>
                <w:rFonts w:ascii="宋体" w:hAnsi="宋体" w:cs="宋体"/>
                <w:sz w:val="24"/>
              </w:rPr>
            </w:pPr>
          </w:p>
        </w:tc>
      </w:tr>
      <w:tr w14:paraId="1FC2EF2E">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1E08E1AC">
            <w:pPr>
              <w:topLinePunct/>
              <w:spacing w:line="440" w:lineRule="exact"/>
              <w:jc w:val="center"/>
              <w:rPr>
                <w:rFonts w:ascii="宋体" w:hAnsi="宋体" w:cs="宋体"/>
                <w:sz w:val="24"/>
              </w:rPr>
            </w:pPr>
            <w:r>
              <w:rPr>
                <w:rFonts w:hint="eastAsia" w:ascii="宋体" w:hAnsi="宋体" w:cs="宋体"/>
                <w:sz w:val="24"/>
              </w:rPr>
              <w:t>服务内容</w:t>
            </w:r>
          </w:p>
        </w:tc>
        <w:tc>
          <w:tcPr>
            <w:tcW w:w="6244" w:type="dxa"/>
            <w:tcBorders>
              <w:top w:val="single" w:color="auto" w:sz="4" w:space="0"/>
              <w:left w:val="nil"/>
              <w:bottom w:val="single" w:color="auto" w:sz="4" w:space="0"/>
              <w:right w:val="single" w:color="auto" w:sz="4" w:space="0"/>
            </w:tcBorders>
          </w:tcPr>
          <w:p w14:paraId="689601B9">
            <w:pPr>
              <w:topLinePunct/>
              <w:spacing w:line="440" w:lineRule="exact"/>
              <w:rPr>
                <w:rFonts w:ascii="宋体" w:hAnsi="宋体" w:cs="宋体"/>
                <w:sz w:val="24"/>
              </w:rPr>
            </w:pPr>
          </w:p>
        </w:tc>
      </w:tr>
      <w:tr w14:paraId="60C1ADE9">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382060C">
            <w:pPr>
              <w:topLinePunct/>
              <w:spacing w:line="440" w:lineRule="exact"/>
              <w:jc w:val="center"/>
              <w:rPr>
                <w:rFonts w:ascii="宋体" w:hAnsi="宋体" w:cs="宋体"/>
                <w:sz w:val="24"/>
              </w:rPr>
            </w:pPr>
            <w:r>
              <w:rPr>
                <w:rFonts w:hint="eastAsia" w:ascii="宋体" w:hAnsi="宋体" w:cs="宋体"/>
                <w:sz w:val="24"/>
              </w:rPr>
              <w:t>质量要求</w:t>
            </w:r>
          </w:p>
        </w:tc>
        <w:tc>
          <w:tcPr>
            <w:tcW w:w="6244" w:type="dxa"/>
            <w:tcBorders>
              <w:top w:val="single" w:color="auto" w:sz="4" w:space="0"/>
              <w:left w:val="nil"/>
              <w:bottom w:val="single" w:color="auto" w:sz="4" w:space="0"/>
              <w:right w:val="single" w:color="auto" w:sz="4" w:space="0"/>
            </w:tcBorders>
          </w:tcPr>
          <w:p w14:paraId="066C83AA">
            <w:pPr>
              <w:topLinePunct/>
              <w:spacing w:line="440" w:lineRule="exact"/>
              <w:rPr>
                <w:rFonts w:ascii="宋体" w:hAnsi="宋体" w:cs="宋体"/>
                <w:sz w:val="24"/>
              </w:rPr>
            </w:pPr>
          </w:p>
        </w:tc>
      </w:tr>
      <w:tr w14:paraId="4B9147FB">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0255C30">
            <w:pPr>
              <w:topLinePunct/>
              <w:spacing w:line="440" w:lineRule="exact"/>
              <w:jc w:val="center"/>
              <w:rPr>
                <w:rFonts w:ascii="宋体" w:hAnsi="宋体" w:cs="宋体"/>
                <w:sz w:val="24"/>
              </w:rPr>
            </w:pPr>
            <w:r>
              <w:rPr>
                <w:rFonts w:hint="eastAsia" w:ascii="宋体" w:hAnsi="宋体" w:cs="宋体"/>
                <w:sz w:val="24"/>
              </w:rPr>
              <w:t>备注</w:t>
            </w:r>
          </w:p>
        </w:tc>
        <w:tc>
          <w:tcPr>
            <w:tcW w:w="6244" w:type="dxa"/>
            <w:tcBorders>
              <w:top w:val="single" w:color="auto" w:sz="4" w:space="0"/>
              <w:left w:val="nil"/>
              <w:bottom w:val="single" w:color="auto" w:sz="4" w:space="0"/>
              <w:right w:val="single" w:color="auto" w:sz="4" w:space="0"/>
            </w:tcBorders>
          </w:tcPr>
          <w:p w14:paraId="68AB1FA8">
            <w:pPr>
              <w:topLinePunct/>
              <w:spacing w:line="440" w:lineRule="exact"/>
              <w:rPr>
                <w:rFonts w:ascii="宋体" w:hAnsi="宋体" w:cs="宋体"/>
                <w:sz w:val="24"/>
              </w:rPr>
            </w:pPr>
          </w:p>
        </w:tc>
      </w:tr>
    </w:tbl>
    <w:p w14:paraId="46E2F3A3">
      <w:pPr>
        <w:spacing w:line="360" w:lineRule="auto"/>
        <w:rPr>
          <w:rFonts w:ascii="宋体" w:hAnsi="宋体"/>
          <w:b/>
          <w:bCs/>
          <w:sz w:val="24"/>
        </w:rPr>
      </w:pPr>
      <w:r>
        <w:rPr>
          <w:rFonts w:hint="eastAsia" w:ascii="宋体" w:hAnsi="宋体"/>
          <w:b/>
          <w:bCs/>
          <w:sz w:val="24"/>
        </w:rPr>
        <w:t>注：1、后附合同协议书或中标通知书的原件扫描件</w:t>
      </w:r>
    </w:p>
    <w:p w14:paraId="3C6B67B4">
      <w:pPr>
        <w:spacing w:line="360" w:lineRule="auto"/>
        <w:ind w:firstLine="482" w:firstLineChars="200"/>
        <w:rPr>
          <w:rFonts w:ascii="宋体" w:hAnsi="宋体"/>
          <w:b/>
          <w:bCs/>
          <w:sz w:val="24"/>
        </w:rPr>
      </w:pPr>
      <w:r>
        <w:rPr>
          <w:rFonts w:hint="eastAsia" w:ascii="宋体" w:hAnsi="宋体"/>
          <w:b/>
          <w:bCs/>
          <w:sz w:val="24"/>
        </w:rPr>
        <w:t>2、每张表格只填写一个项目。</w:t>
      </w:r>
    </w:p>
    <w:p w14:paraId="7CBEAF3F">
      <w:pPr>
        <w:pStyle w:val="14"/>
        <w:spacing w:line="360" w:lineRule="auto"/>
        <w:rPr>
          <w:rFonts w:ascii="宋体" w:hAnsi="宋体" w:cs="宋体"/>
          <w:color w:val="000000"/>
          <w:kern w:val="0"/>
          <w:sz w:val="24"/>
        </w:rPr>
      </w:pPr>
    </w:p>
    <w:p w14:paraId="3089690D">
      <w:pPr>
        <w:spacing w:line="360" w:lineRule="auto"/>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1ECC22EF">
      <w:pPr>
        <w:spacing w:line="360" w:lineRule="auto"/>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217BECA">
      <w:pPr>
        <w:spacing w:line="360" w:lineRule="auto"/>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40E39DCA">
      <w:pPr>
        <w:pStyle w:val="14"/>
        <w:spacing w:line="360" w:lineRule="auto"/>
        <w:rPr>
          <w:rFonts w:ascii="宋体" w:hAnsi="宋体" w:cs="宋体"/>
          <w:color w:val="000000"/>
          <w:kern w:val="0"/>
          <w:sz w:val="24"/>
        </w:rPr>
      </w:pPr>
    </w:p>
    <w:p w14:paraId="2DC2E872">
      <w:pPr>
        <w:numPr>
          <w:ilvl w:val="0"/>
          <w:numId w:val="21"/>
        </w:numPr>
        <w:autoSpaceDE w:val="0"/>
        <w:autoSpaceDN w:val="0"/>
        <w:adjustRightInd w:val="0"/>
        <w:spacing w:line="276" w:lineRule="auto"/>
        <w:ind w:left="237" w:right="-20"/>
        <w:jc w:val="center"/>
        <w:rPr>
          <w:rFonts w:ascii="宋体" w:hAnsi="宋体" w:cs="微软雅黑"/>
          <w:b/>
          <w:bCs/>
          <w:kern w:val="0"/>
          <w:position w:val="-4"/>
          <w:sz w:val="24"/>
        </w:rPr>
      </w:pPr>
      <w:r>
        <w:rPr>
          <w:rFonts w:hint="eastAsia" w:ascii="宋体" w:hAnsi="宋体" w:cs="微软雅黑"/>
          <w:b/>
          <w:bCs/>
          <w:spacing w:val="-3"/>
          <w:kern w:val="0"/>
          <w:position w:val="-4"/>
          <w:sz w:val="24"/>
        </w:rPr>
        <w:t>在建</w:t>
      </w:r>
      <w:r>
        <w:rPr>
          <w:rFonts w:hint="eastAsia" w:ascii="宋体" w:hAnsi="宋体" w:cs="微软雅黑"/>
          <w:b/>
          <w:bCs/>
          <w:kern w:val="0"/>
          <w:position w:val="-4"/>
          <w:sz w:val="24"/>
        </w:rPr>
        <w:t>项目</w:t>
      </w:r>
      <w:r>
        <w:rPr>
          <w:rFonts w:hint="eastAsia" w:ascii="宋体" w:hAnsi="宋体" w:cs="微软雅黑"/>
          <w:b/>
          <w:bCs/>
          <w:spacing w:val="-3"/>
          <w:kern w:val="0"/>
          <w:position w:val="-4"/>
          <w:sz w:val="24"/>
        </w:rPr>
        <w:t>情况</w:t>
      </w:r>
      <w:r>
        <w:rPr>
          <w:rFonts w:hint="eastAsia" w:ascii="宋体" w:hAnsi="宋体" w:cs="微软雅黑"/>
          <w:b/>
          <w:bCs/>
          <w:kern w:val="0"/>
          <w:position w:val="-4"/>
          <w:sz w:val="24"/>
        </w:rPr>
        <w:t>表</w:t>
      </w:r>
    </w:p>
    <w:tbl>
      <w:tblPr>
        <w:tblStyle w:val="21"/>
        <w:tblW w:w="8457" w:type="dxa"/>
        <w:jc w:val="center"/>
        <w:tblLayout w:type="fixed"/>
        <w:tblCellMar>
          <w:top w:w="0" w:type="dxa"/>
          <w:left w:w="108" w:type="dxa"/>
          <w:bottom w:w="0" w:type="dxa"/>
          <w:right w:w="108" w:type="dxa"/>
        </w:tblCellMar>
      </w:tblPr>
      <w:tblGrid>
        <w:gridCol w:w="2213"/>
        <w:gridCol w:w="6244"/>
      </w:tblGrid>
      <w:tr w14:paraId="36455303">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ED53A0A">
            <w:pPr>
              <w:topLinePunct/>
              <w:spacing w:line="440" w:lineRule="exact"/>
              <w:jc w:val="center"/>
              <w:rPr>
                <w:rFonts w:ascii="宋体" w:hAnsi="宋体" w:cs="宋体"/>
                <w:sz w:val="24"/>
              </w:rPr>
            </w:pPr>
            <w:r>
              <w:rPr>
                <w:rFonts w:hint="eastAsia" w:ascii="宋体" w:hAnsi="宋体" w:cs="宋体"/>
                <w:sz w:val="24"/>
              </w:rPr>
              <w:t>项目名称</w:t>
            </w:r>
          </w:p>
        </w:tc>
        <w:tc>
          <w:tcPr>
            <w:tcW w:w="6244" w:type="dxa"/>
            <w:tcBorders>
              <w:top w:val="single" w:color="auto" w:sz="4" w:space="0"/>
              <w:left w:val="nil"/>
              <w:bottom w:val="single" w:color="auto" w:sz="4" w:space="0"/>
              <w:right w:val="single" w:color="auto" w:sz="4" w:space="0"/>
            </w:tcBorders>
          </w:tcPr>
          <w:p w14:paraId="4D3C5DBF">
            <w:pPr>
              <w:topLinePunct/>
              <w:spacing w:line="440" w:lineRule="exact"/>
              <w:rPr>
                <w:rFonts w:ascii="宋体" w:hAnsi="宋体" w:cs="宋体"/>
                <w:sz w:val="24"/>
                <w:highlight w:val="black"/>
              </w:rPr>
            </w:pPr>
          </w:p>
        </w:tc>
      </w:tr>
      <w:tr w14:paraId="110D364A">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D5954E6">
            <w:pPr>
              <w:topLinePunct/>
              <w:spacing w:line="440" w:lineRule="exact"/>
              <w:jc w:val="center"/>
              <w:rPr>
                <w:rFonts w:ascii="宋体" w:hAnsi="宋体" w:cs="宋体"/>
                <w:sz w:val="24"/>
              </w:rPr>
            </w:pPr>
            <w:r>
              <w:rPr>
                <w:rFonts w:hint="eastAsia" w:ascii="宋体" w:hAnsi="宋体" w:cs="宋体"/>
                <w:sz w:val="24"/>
              </w:rPr>
              <w:t>项目所在地</w:t>
            </w:r>
          </w:p>
        </w:tc>
        <w:tc>
          <w:tcPr>
            <w:tcW w:w="6244" w:type="dxa"/>
            <w:tcBorders>
              <w:top w:val="single" w:color="auto" w:sz="4" w:space="0"/>
              <w:left w:val="nil"/>
              <w:bottom w:val="single" w:color="auto" w:sz="4" w:space="0"/>
              <w:right w:val="single" w:color="auto" w:sz="4" w:space="0"/>
            </w:tcBorders>
          </w:tcPr>
          <w:p w14:paraId="3F0C4567">
            <w:pPr>
              <w:topLinePunct/>
              <w:spacing w:line="440" w:lineRule="exact"/>
              <w:rPr>
                <w:rFonts w:ascii="宋体" w:hAnsi="宋体" w:cs="宋体"/>
                <w:sz w:val="24"/>
              </w:rPr>
            </w:pPr>
          </w:p>
        </w:tc>
      </w:tr>
      <w:tr w14:paraId="34B22D3D">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F2131A4">
            <w:pPr>
              <w:topLinePunct/>
              <w:spacing w:line="440" w:lineRule="exact"/>
              <w:jc w:val="center"/>
              <w:rPr>
                <w:rFonts w:ascii="宋体" w:hAnsi="宋体" w:cs="宋体"/>
                <w:sz w:val="24"/>
              </w:rPr>
            </w:pPr>
            <w:r>
              <w:rPr>
                <w:rFonts w:hint="eastAsia" w:ascii="宋体" w:hAnsi="宋体" w:cs="宋体"/>
                <w:sz w:val="24"/>
              </w:rPr>
              <w:t>采购人名称</w:t>
            </w:r>
          </w:p>
        </w:tc>
        <w:tc>
          <w:tcPr>
            <w:tcW w:w="6244" w:type="dxa"/>
            <w:tcBorders>
              <w:top w:val="single" w:color="auto" w:sz="4" w:space="0"/>
              <w:left w:val="nil"/>
              <w:bottom w:val="single" w:color="auto" w:sz="4" w:space="0"/>
              <w:right w:val="single" w:color="auto" w:sz="4" w:space="0"/>
            </w:tcBorders>
          </w:tcPr>
          <w:p w14:paraId="0D1B511E">
            <w:pPr>
              <w:topLinePunct/>
              <w:spacing w:line="440" w:lineRule="exact"/>
              <w:rPr>
                <w:rFonts w:ascii="宋体" w:hAnsi="宋体" w:cs="宋体"/>
                <w:sz w:val="24"/>
              </w:rPr>
            </w:pPr>
          </w:p>
        </w:tc>
      </w:tr>
      <w:tr w14:paraId="3402655B">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1323BFB6">
            <w:pPr>
              <w:topLinePunct/>
              <w:spacing w:line="440" w:lineRule="exact"/>
              <w:jc w:val="center"/>
              <w:rPr>
                <w:rFonts w:ascii="宋体" w:hAnsi="宋体" w:cs="宋体"/>
                <w:sz w:val="24"/>
              </w:rPr>
            </w:pPr>
            <w:r>
              <w:rPr>
                <w:rFonts w:hint="eastAsia" w:ascii="宋体" w:hAnsi="宋体" w:cs="宋体"/>
                <w:sz w:val="24"/>
              </w:rPr>
              <w:t>采购人地址</w:t>
            </w:r>
          </w:p>
        </w:tc>
        <w:tc>
          <w:tcPr>
            <w:tcW w:w="6244" w:type="dxa"/>
            <w:tcBorders>
              <w:top w:val="single" w:color="auto" w:sz="4" w:space="0"/>
              <w:left w:val="nil"/>
              <w:bottom w:val="single" w:color="auto" w:sz="4" w:space="0"/>
              <w:right w:val="single" w:color="auto" w:sz="4" w:space="0"/>
            </w:tcBorders>
          </w:tcPr>
          <w:p w14:paraId="235D3B77">
            <w:pPr>
              <w:topLinePunct/>
              <w:spacing w:line="440" w:lineRule="exact"/>
              <w:rPr>
                <w:rFonts w:ascii="宋体" w:hAnsi="宋体" w:cs="宋体"/>
                <w:sz w:val="24"/>
              </w:rPr>
            </w:pPr>
          </w:p>
        </w:tc>
      </w:tr>
      <w:tr w14:paraId="7A3587F4">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D5CC75A">
            <w:pPr>
              <w:topLinePunct/>
              <w:spacing w:line="440" w:lineRule="exact"/>
              <w:jc w:val="center"/>
              <w:rPr>
                <w:rFonts w:ascii="宋体" w:hAnsi="宋体" w:cs="宋体"/>
                <w:sz w:val="24"/>
              </w:rPr>
            </w:pPr>
            <w:r>
              <w:rPr>
                <w:rFonts w:hint="eastAsia" w:ascii="宋体" w:hAnsi="宋体" w:cs="宋体"/>
                <w:sz w:val="24"/>
              </w:rPr>
              <w:t>采购人电话</w:t>
            </w:r>
          </w:p>
        </w:tc>
        <w:tc>
          <w:tcPr>
            <w:tcW w:w="6244" w:type="dxa"/>
            <w:tcBorders>
              <w:top w:val="single" w:color="auto" w:sz="4" w:space="0"/>
              <w:left w:val="nil"/>
              <w:bottom w:val="single" w:color="auto" w:sz="4" w:space="0"/>
              <w:right w:val="single" w:color="auto" w:sz="4" w:space="0"/>
            </w:tcBorders>
          </w:tcPr>
          <w:p w14:paraId="723F3D96">
            <w:pPr>
              <w:topLinePunct/>
              <w:spacing w:line="440" w:lineRule="exact"/>
              <w:rPr>
                <w:rFonts w:ascii="宋体" w:hAnsi="宋体" w:cs="宋体"/>
                <w:sz w:val="24"/>
              </w:rPr>
            </w:pPr>
          </w:p>
        </w:tc>
      </w:tr>
      <w:tr w14:paraId="4CE130E3">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F6E1355">
            <w:pPr>
              <w:topLinePunct/>
              <w:spacing w:line="440" w:lineRule="exact"/>
              <w:jc w:val="center"/>
              <w:rPr>
                <w:rFonts w:ascii="宋体" w:hAnsi="宋体" w:cs="宋体"/>
                <w:sz w:val="24"/>
              </w:rPr>
            </w:pPr>
            <w:r>
              <w:rPr>
                <w:rFonts w:hint="eastAsia" w:ascii="宋体" w:hAnsi="宋体" w:cs="宋体"/>
                <w:sz w:val="24"/>
              </w:rPr>
              <w:t>合同价格</w:t>
            </w:r>
          </w:p>
        </w:tc>
        <w:tc>
          <w:tcPr>
            <w:tcW w:w="6244" w:type="dxa"/>
            <w:tcBorders>
              <w:top w:val="single" w:color="auto" w:sz="4" w:space="0"/>
              <w:left w:val="nil"/>
              <w:bottom w:val="single" w:color="auto" w:sz="4" w:space="0"/>
              <w:right w:val="single" w:color="auto" w:sz="4" w:space="0"/>
            </w:tcBorders>
          </w:tcPr>
          <w:p w14:paraId="492791F5">
            <w:pPr>
              <w:topLinePunct/>
              <w:spacing w:line="440" w:lineRule="exact"/>
              <w:rPr>
                <w:rFonts w:ascii="宋体" w:hAnsi="宋体" w:cs="宋体"/>
                <w:sz w:val="24"/>
              </w:rPr>
            </w:pPr>
          </w:p>
        </w:tc>
      </w:tr>
      <w:tr w14:paraId="1A40EDDF">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F7E54C4">
            <w:pPr>
              <w:topLinePunct/>
              <w:spacing w:line="440" w:lineRule="exact"/>
              <w:jc w:val="center"/>
              <w:rPr>
                <w:rFonts w:ascii="宋体" w:hAnsi="宋体" w:cs="宋体"/>
                <w:sz w:val="24"/>
              </w:rPr>
            </w:pPr>
            <w:r>
              <w:rPr>
                <w:rFonts w:hint="eastAsia" w:ascii="宋体" w:hAnsi="宋体" w:cs="宋体"/>
                <w:sz w:val="24"/>
              </w:rPr>
              <w:t>合同签订日期</w:t>
            </w:r>
          </w:p>
        </w:tc>
        <w:tc>
          <w:tcPr>
            <w:tcW w:w="6244" w:type="dxa"/>
            <w:tcBorders>
              <w:top w:val="single" w:color="auto" w:sz="4" w:space="0"/>
              <w:left w:val="nil"/>
              <w:bottom w:val="single" w:color="auto" w:sz="4" w:space="0"/>
              <w:right w:val="single" w:color="auto" w:sz="4" w:space="0"/>
            </w:tcBorders>
          </w:tcPr>
          <w:p w14:paraId="442EA5AF">
            <w:pPr>
              <w:topLinePunct/>
              <w:spacing w:line="440" w:lineRule="exact"/>
              <w:rPr>
                <w:rFonts w:ascii="宋体" w:hAnsi="宋体" w:cs="宋体"/>
                <w:sz w:val="24"/>
              </w:rPr>
            </w:pPr>
          </w:p>
        </w:tc>
      </w:tr>
      <w:tr w14:paraId="2AA562E3">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6F5BEFF">
            <w:pPr>
              <w:topLinePunct/>
              <w:spacing w:line="440" w:lineRule="exact"/>
              <w:jc w:val="center"/>
              <w:rPr>
                <w:rFonts w:ascii="宋体" w:hAnsi="宋体" w:cs="宋体"/>
                <w:sz w:val="24"/>
              </w:rPr>
            </w:pPr>
            <w:r>
              <w:rPr>
                <w:rFonts w:hint="eastAsia" w:ascii="宋体" w:hAnsi="宋体" w:cs="宋体"/>
                <w:sz w:val="24"/>
              </w:rPr>
              <w:t>服务周期</w:t>
            </w:r>
          </w:p>
        </w:tc>
        <w:tc>
          <w:tcPr>
            <w:tcW w:w="6244" w:type="dxa"/>
            <w:tcBorders>
              <w:top w:val="single" w:color="auto" w:sz="4" w:space="0"/>
              <w:left w:val="nil"/>
              <w:bottom w:val="single" w:color="auto" w:sz="4" w:space="0"/>
              <w:right w:val="single" w:color="auto" w:sz="4" w:space="0"/>
            </w:tcBorders>
            <w:vAlign w:val="center"/>
          </w:tcPr>
          <w:p w14:paraId="025A955B">
            <w:pPr>
              <w:topLinePunct/>
              <w:spacing w:line="440" w:lineRule="exact"/>
              <w:jc w:val="center"/>
              <w:rPr>
                <w:rFonts w:ascii="宋体" w:hAnsi="宋体" w:cs="宋体"/>
                <w:sz w:val="24"/>
              </w:rPr>
            </w:pPr>
          </w:p>
        </w:tc>
      </w:tr>
      <w:tr w14:paraId="020B495E">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2B6AE25">
            <w:pPr>
              <w:topLinePunct/>
              <w:spacing w:line="440" w:lineRule="exact"/>
              <w:jc w:val="center"/>
              <w:rPr>
                <w:rFonts w:ascii="宋体" w:hAnsi="宋体" w:cs="宋体"/>
                <w:sz w:val="24"/>
              </w:rPr>
            </w:pPr>
            <w:r>
              <w:rPr>
                <w:rFonts w:hint="eastAsia" w:ascii="宋体" w:hAnsi="宋体" w:cs="宋体"/>
                <w:sz w:val="24"/>
              </w:rPr>
              <w:t>服务内容</w:t>
            </w:r>
          </w:p>
        </w:tc>
        <w:tc>
          <w:tcPr>
            <w:tcW w:w="6244" w:type="dxa"/>
            <w:tcBorders>
              <w:top w:val="single" w:color="auto" w:sz="4" w:space="0"/>
              <w:left w:val="nil"/>
              <w:bottom w:val="single" w:color="auto" w:sz="4" w:space="0"/>
              <w:right w:val="single" w:color="auto" w:sz="4" w:space="0"/>
            </w:tcBorders>
          </w:tcPr>
          <w:p w14:paraId="57673448">
            <w:pPr>
              <w:topLinePunct/>
              <w:spacing w:line="440" w:lineRule="exact"/>
              <w:rPr>
                <w:rFonts w:ascii="宋体" w:hAnsi="宋体" w:cs="宋体"/>
                <w:sz w:val="24"/>
              </w:rPr>
            </w:pPr>
          </w:p>
        </w:tc>
      </w:tr>
      <w:tr w14:paraId="38A781C7">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5EF434B">
            <w:pPr>
              <w:topLinePunct/>
              <w:spacing w:line="440" w:lineRule="exact"/>
              <w:jc w:val="center"/>
              <w:rPr>
                <w:rFonts w:ascii="宋体" w:hAnsi="宋体" w:cs="宋体"/>
                <w:sz w:val="24"/>
              </w:rPr>
            </w:pPr>
            <w:r>
              <w:rPr>
                <w:rFonts w:hint="eastAsia" w:ascii="宋体" w:hAnsi="宋体" w:cs="宋体"/>
                <w:sz w:val="24"/>
              </w:rPr>
              <w:t>质量要求</w:t>
            </w:r>
          </w:p>
        </w:tc>
        <w:tc>
          <w:tcPr>
            <w:tcW w:w="6244" w:type="dxa"/>
            <w:tcBorders>
              <w:top w:val="single" w:color="auto" w:sz="4" w:space="0"/>
              <w:left w:val="nil"/>
              <w:bottom w:val="single" w:color="auto" w:sz="4" w:space="0"/>
              <w:right w:val="single" w:color="auto" w:sz="4" w:space="0"/>
            </w:tcBorders>
          </w:tcPr>
          <w:p w14:paraId="464A70A1">
            <w:pPr>
              <w:topLinePunct/>
              <w:spacing w:line="440" w:lineRule="exact"/>
              <w:rPr>
                <w:rFonts w:ascii="宋体" w:hAnsi="宋体" w:cs="宋体"/>
                <w:sz w:val="24"/>
              </w:rPr>
            </w:pPr>
          </w:p>
        </w:tc>
      </w:tr>
      <w:tr w14:paraId="746BF248">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372E03D">
            <w:pPr>
              <w:topLinePunct/>
              <w:spacing w:line="440" w:lineRule="exact"/>
              <w:jc w:val="center"/>
              <w:rPr>
                <w:rFonts w:ascii="宋体" w:hAnsi="宋体" w:cs="宋体"/>
                <w:sz w:val="24"/>
              </w:rPr>
            </w:pPr>
            <w:r>
              <w:rPr>
                <w:rFonts w:hint="eastAsia" w:ascii="宋体" w:hAnsi="宋体" w:cs="宋体"/>
                <w:sz w:val="24"/>
              </w:rPr>
              <w:t>备注</w:t>
            </w:r>
          </w:p>
        </w:tc>
        <w:tc>
          <w:tcPr>
            <w:tcW w:w="6244" w:type="dxa"/>
            <w:tcBorders>
              <w:top w:val="single" w:color="auto" w:sz="4" w:space="0"/>
              <w:left w:val="nil"/>
              <w:bottom w:val="single" w:color="auto" w:sz="4" w:space="0"/>
              <w:right w:val="single" w:color="auto" w:sz="4" w:space="0"/>
            </w:tcBorders>
          </w:tcPr>
          <w:p w14:paraId="75489CC7">
            <w:pPr>
              <w:topLinePunct/>
              <w:spacing w:line="440" w:lineRule="exact"/>
              <w:rPr>
                <w:rFonts w:ascii="宋体" w:hAnsi="宋体" w:cs="宋体"/>
                <w:sz w:val="24"/>
              </w:rPr>
            </w:pPr>
          </w:p>
        </w:tc>
      </w:tr>
    </w:tbl>
    <w:p w14:paraId="509C13DE">
      <w:pPr>
        <w:spacing w:line="360" w:lineRule="auto"/>
        <w:rPr>
          <w:rFonts w:ascii="宋体" w:hAnsi="宋体"/>
          <w:b/>
          <w:bCs/>
          <w:sz w:val="24"/>
        </w:rPr>
      </w:pPr>
      <w:r>
        <w:rPr>
          <w:rFonts w:hint="eastAsia" w:ascii="宋体" w:hAnsi="宋体"/>
          <w:b/>
          <w:bCs/>
          <w:sz w:val="24"/>
        </w:rPr>
        <w:t>注：1、后附合同协议书或中标通知书的原件扫描件</w:t>
      </w:r>
    </w:p>
    <w:p w14:paraId="6704D454">
      <w:pPr>
        <w:spacing w:line="360" w:lineRule="auto"/>
        <w:ind w:firstLine="482" w:firstLineChars="200"/>
        <w:rPr>
          <w:rFonts w:ascii="宋体" w:hAnsi="宋体"/>
          <w:b/>
          <w:bCs/>
          <w:sz w:val="24"/>
        </w:rPr>
      </w:pPr>
      <w:r>
        <w:rPr>
          <w:rFonts w:hint="eastAsia" w:ascii="宋体" w:hAnsi="宋体"/>
          <w:b/>
          <w:bCs/>
          <w:sz w:val="24"/>
        </w:rPr>
        <w:t>2、每张表格只填写一个项目。</w:t>
      </w:r>
    </w:p>
    <w:p w14:paraId="0BE4D5CB">
      <w:pPr>
        <w:spacing w:line="360" w:lineRule="auto"/>
        <w:ind w:firstLine="2551" w:firstLineChars="1063"/>
        <w:rPr>
          <w:rFonts w:ascii="宋体" w:hAnsi="宋体"/>
          <w:sz w:val="24"/>
          <w:szCs w:val="21"/>
        </w:rPr>
      </w:pPr>
    </w:p>
    <w:p w14:paraId="4ED192A7">
      <w:pPr>
        <w:spacing w:line="360" w:lineRule="auto"/>
        <w:ind w:firstLine="2551" w:firstLineChars="1063"/>
        <w:rPr>
          <w:rFonts w:ascii="宋体" w:hAnsi="宋体"/>
          <w:sz w:val="24"/>
          <w:szCs w:val="21"/>
        </w:rPr>
      </w:pPr>
    </w:p>
    <w:p w14:paraId="77E60230">
      <w:pPr>
        <w:spacing w:line="360" w:lineRule="auto"/>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3202F2E6">
      <w:pPr>
        <w:spacing w:line="360" w:lineRule="auto"/>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6CD3216">
      <w:pPr>
        <w:spacing w:line="360" w:lineRule="auto"/>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31B60C55">
      <w:pPr>
        <w:pStyle w:val="14"/>
        <w:spacing w:line="360" w:lineRule="auto"/>
        <w:rPr>
          <w:rFonts w:ascii="宋体" w:hAnsi="宋体" w:cs="宋体"/>
          <w:color w:val="000000"/>
          <w:kern w:val="0"/>
          <w:sz w:val="24"/>
        </w:rPr>
      </w:pPr>
    </w:p>
    <w:p w14:paraId="0AB61C20">
      <w:pPr>
        <w:pStyle w:val="14"/>
        <w:spacing w:line="360" w:lineRule="auto"/>
        <w:rPr>
          <w:rFonts w:ascii="宋体" w:hAnsi="宋体" w:cs="宋体"/>
          <w:color w:val="000000"/>
          <w:kern w:val="0"/>
          <w:sz w:val="24"/>
        </w:rPr>
      </w:pPr>
    </w:p>
    <w:p w14:paraId="51021ED3">
      <w:pPr>
        <w:pStyle w:val="2"/>
        <w:jc w:val="center"/>
        <w:rPr>
          <w:rFonts w:cs="宋体" w:asciiTheme="minorEastAsia" w:hAnsiTheme="minorEastAsia" w:eastAsiaTheme="minorEastAsia"/>
          <w:color w:val="000000"/>
          <w:kern w:val="0"/>
          <w:szCs w:val="32"/>
        </w:rPr>
      </w:pPr>
      <w:r>
        <w:rPr>
          <w:rFonts w:hint="eastAsia" w:ascii="宋体" w:hAnsi="宋体" w:cs="宋体"/>
          <w:color w:val="000000"/>
          <w:kern w:val="0"/>
          <w:sz w:val="28"/>
          <w:szCs w:val="28"/>
        </w:rPr>
        <w:t>七、</w:t>
      </w:r>
      <w:r>
        <w:rPr>
          <w:rFonts w:hint="eastAsia" w:cs="宋体" w:asciiTheme="minorEastAsia" w:hAnsiTheme="minorEastAsia" w:eastAsiaTheme="minorEastAsia"/>
          <w:color w:val="000000"/>
          <w:kern w:val="0"/>
          <w:szCs w:val="32"/>
        </w:rPr>
        <w:t>拟投入本项目的人员情况</w:t>
      </w:r>
    </w:p>
    <w:p w14:paraId="15110522">
      <w:pPr>
        <w:adjustRightInd w:val="0"/>
        <w:snapToGrid w:val="0"/>
        <w:spacing w:line="360" w:lineRule="auto"/>
        <w:jc w:val="center"/>
        <w:rPr>
          <w:rFonts w:ascii="宋体" w:hAnsi="宋体" w:cs="宋体"/>
          <w:b/>
          <w:color w:val="000000"/>
          <w:kern w:val="0"/>
          <w:sz w:val="28"/>
          <w:szCs w:val="28"/>
          <w:lang w:val="zh-CN"/>
        </w:rPr>
      </w:pPr>
      <w:r>
        <w:rPr>
          <w:rFonts w:hint="eastAsia" w:ascii="宋体" w:hAnsi="宋体" w:cs="宋体"/>
          <w:b/>
          <w:color w:val="000000"/>
          <w:kern w:val="0"/>
          <w:sz w:val="28"/>
          <w:szCs w:val="28"/>
          <w:lang w:val="zh-CN"/>
        </w:rPr>
        <w:t>（一）拟投入本项目的主要人员汇总表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5"/>
        <w:gridCol w:w="1135"/>
        <w:gridCol w:w="1135"/>
        <w:gridCol w:w="1135"/>
      </w:tblGrid>
      <w:tr w14:paraId="3BC9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E5794B3">
            <w:pPr>
              <w:adjustRightInd w:val="0"/>
              <w:snapToGrid w:val="0"/>
              <w:spacing w:line="360" w:lineRule="auto"/>
              <w:jc w:val="center"/>
              <w:rPr>
                <w:rFonts w:ascii="宋体"/>
                <w:sz w:val="24"/>
              </w:rPr>
            </w:pPr>
            <w:r>
              <w:rPr>
                <w:rFonts w:hint="eastAsia" w:ascii="宋体" w:hAnsi="宋体"/>
                <w:sz w:val="24"/>
              </w:rPr>
              <w:t>本项目中职务</w:t>
            </w:r>
          </w:p>
        </w:tc>
        <w:tc>
          <w:tcPr>
            <w:tcW w:w="1134" w:type="dxa"/>
            <w:tcBorders>
              <w:top w:val="single" w:color="auto" w:sz="4" w:space="0"/>
              <w:left w:val="single" w:color="auto" w:sz="4" w:space="0"/>
              <w:bottom w:val="single" w:color="auto" w:sz="4" w:space="0"/>
              <w:right w:val="single" w:color="auto" w:sz="4" w:space="0"/>
            </w:tcBorders>
            <w:vAlign w:val="center"/>
          </w:tcPr>
          <w:p w14:paraId="2AC5FC6D">
            <w:pPr>
              <w:adjustRightInd w:val="0"/>
              <w:snapToGrid w:val="0"/>
              <w:spacing w:line="360" w:lineRule="auto"/>
              <w:jc w:val="center"/>
              <w:rPr>
                <w:rFonts w:ascii="宋体"/>
                <w:sz w:val="24"/>
              </w:rPr>
            </w:pPr>
            <w:r>
              <w:rPr>
                <w:rFonts w:hint="eastAsia" w:ascii="宋体" w:hAnsi="宋体"/>
                <w:sz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01E50457">
            <w:pPr>
              <w:adjustRightInd w:val="0"/>
              <w:snapToGrid w:val="0"/>
              <w:spacing w:line="360" w:lineRule="auto"/>
              <w:jc w:val="center"/>
              <w:rPr>
                <w:rFonts w:ascii="宋体"/>
                <w:sz w:val="24"/>
              </w:rPr>
            </w:pPr>
            <w:r>
              <w:rPr>
                <w:rFonts w:hint="eastAsia" w:ascii="宋体"/>
                <w:sz w:val="24"/>
              </w:rPr>
              <w:t>性别</w:t>
            </w:r>
          </w:p>
        </w:tc>
        <w:tc>
          <w:tcPr>
            <w:tcW w:w="1135" w:type="dxa"/>
            <w:tcBorders>
              <w:top w:val="single" w:color="auto" w:sz="4" w:space="0"/>
              <w:left w:val="single" w:color="auto" w:sz="4" w:space="0"/>
              <w:bottom w:val="single" w:color="auto" w:sz="4" w:space="0"/>
              <w:right w:val="single" w:color="auto" w:sz="4" w:space="0"/>
            </w:tcBorders>
            <w:vAlign w:val="center"/>
          </w:tcPr>
          <w:p w14:paraId="7BA2C651">
            <w:pPr>
              <w:adjustRightInd w:val="0"/>
              <w:snapToGrid w:val="0"/>
              <w:spacing w:line="360" w:lineRule="auto"/>
              <w:jc w:val="center"/>
              <w:rPr>
                <w:rFonts w:ascii="宋体"/>
                <w:sz w:val="24"/>
              </w:rPr>
            </w:pPr>
            <w:r>
              <w:rPr>
                <w:rFonts w:hint="eastAsia" w:ascii="宋体"/>
                <w:sz w:val="24"/>
              </w:rPr>
              <w:t>年龄</w:t>
            </w:r>
          </w:p>
        </w:tc>
        <w:tc>
          <w:tcPr>
            <w:tcW w:w="1135" w:type="dxa"/>
            <w:tcBorders>
              <w:top w:val="single" w:color="auto" w:sz="4" w:space="0"/>
              <w:left w:val="single" w:color="auto" w:sz="4" w:space="0"/>
              <w:bottom w:val="single" w:color="auto" w:sz="4" w:space="0"/>
              <w:right w:val="single" w:color="auto" w:sz="4" w:space="0"/>
            </w:tcBorders>
            <w:vAlign w:val="center"/>
          </w:tcPr>
          <w:p w14:paraId="27A48B2D">
            <w:pPr>
              <w:adjustRightInd w:val="0"/>
              <w:snapToGrid w:val="0"/>
              <w:spacing w:line="360" w:lineRule="auto"/>
              <w:jc w:val="center"/>
              <w:rPr>
                <w:rFonts w:ascii="宋体"/>
                <w:sz w:val="24"/>
              </w:rPr>
            </w:pPr>
            <w:r>
              <w:rPr>
                <w:rFonts w:hint="eastAsia" w:ascii="宋体" w:hAnsi="宋体"/>
                <w:sz w:val="24"/>
              </w:rPr>
              <w:t>身份证号码</w:t>
            </w:r>
          </w:p>
        </w:tc>
        <w:tc>
          <w:tcPr>
            <w:tcW w:w="1135" w:type="dxa"/>
            <w:tcBorders>
              <w:top w:val="single" w:color="auto" w:sz="4" w:space="0"/>
              <w:left w:val="single" w:color="auto" w:sz="4" w:space="0"/>
              <w:bottom w:val="single" w:color="auto" w:sz="4" w:space="0"/>
              <w:right w:val="single" w:color="auto" w:sz="4" w:space="0"/>
            </w:tcBorders>
            <w:vAlign w:val="center"/>
          </w:tcPr>
          <w:p w14:paraId="39244633">
            <w:pPr>
              <w:adjustRightInd w:val="0"/>
              <w:snapToGrid w:val="0"/>
              <w:spacing w:line="360" w:lineRule="auto"/>
              <w:jc w:val="center"/>
              <w:rPr>
                <w:rFonts w:ascii="宋体"/>
                <w:sz w:val="24"/>
              </w:rPr>
            </w:pPr>
            <w:r>
              <w:rPr>
                <w:rFonts w:hint="eastAsia" w:ascii="宋体" w:hAnsi="宋体"/>
                <w:sz w:val="24"/>
              </w:rPr>
              <w:t>健康证有效期</w:t>
            </w:r>
          </w:p>
        </w:tc>
        <w:tc>
          <w:tcPr>
            <w:tcW w:w="1135" w:type="dxa"/>
            <w:tcBorders>
              <w:top w:val="single" w:color="auto" w:sz="4" w:space="0"/>
              <w:left w:val="single" w:color="auto" w:sz="4" w:space="0"/>
              <w:bottom w:val="single" w:color="auto" w:sz="4" w:space="0"/>
              <w:right w:val="single" w:color="auto" w:sz="4" w:space="0"/>
            </w:tcBorders>
            <w:vAlign w:val="center"/>
          </w:tcPr>
          <w:p w14:paraId="3F3C90BE">
            <w:pPr>
              <w:adjustRightInd w:val="0"/>
              <w:snapToGrid w:val="0"/>
              <w:spacing w:line="360" w:lineRule="auto"/>
              <w:jc w:val="center"/>
              <w:rPr>
                <w:rFonts w:ascii="宋体"/>
                <w:sz w:val="24"/>
              </w:rPr>
            </w:pPr>
            <w:r>
              <w:rPr>
                <w:rFonts w:hint="eastAsia" w:ascii="宋体" w:hAnsi="宋体"/>
                <w:sz w:val="24"/>
              </w:rPr>
              <w:t>备注</w:t>
            </w:r>
          </w:p>
        </w:tc>
      </w:tr>
      <w:tr w14:paraId="1C48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6612E43">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2125499">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3DDBA15">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08311CA">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78585B7">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71BD21C">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3B6FCC4">
            <w:pPr>
              <w:adjustRightInd w:val="0"/>
              <w:snapToGrid w:val="0"/>
              <w:spacing w:line="360" w:lineRule="auto"/>
              <w:jc w:val="center"/>
              <w:rPr>
                <w:rFonts w:ascii="宋体"/>
                <w:sz w:val="24"/>
              </w:rPr>
            </w:pPr>
          </w:p>
        </w:tc>
      </w:tr>
      <w:tr w14:paraId="7321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03DA6B8">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7532C0E">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8D4DD87">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D4FC66E">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89DEC56">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B411973">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CCE2B21">
            <w:pPr>
              <w:adjustRightInd w:val="0"/>
              <w:snapToGrid w:val="0"/>
              <w:spacing w:line="360" w:lineRule="auto"/>
              <w:jc w:val="center"/>
              <w:rPr>
                <w:rFonts w:ascii="宋体"/>
                <w:sz w:val="24"/>
              </w:rPr>
            </w:pPr>
          </w:p>
        </w:tc>
      </w:tr>
      <w:tr w14:paraId="07EE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0422075">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131AE50">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1A92AA3">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B905C7A">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064D5B6">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9D8FA85">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58DDD64">
            <w:pPr>
              <w:adjustRightInd w:val="0"/>
              <w:snapToGrid w:val="0"/>
              <w:spacing w:line="360" w:lineRule="auto"/>
              <w:jc w:val="center"/>
              <w:rPr>
                <w:rFonts w:ascii="宋体"/>
                <w:sz w:val="24"/>
              </w:rPr>
            </w:pPr>
          </w:p>
        </w:tc>
      </w:tr>
      <w:tr w14:paraId="4712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8E03241">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85E43C">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A19F91">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FF7A23C">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84AF552">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7BD440E">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E5ACAD9">
            <w:pPr>
              <w:adjustRightInd w:val="0"/>
              <w:snapToGrid w:val="0"/>
              <w:spacing w:line="360" w:lineRule="auto"/>
              <w:jc w:val="center"/>
              <w:rPr>
                <w:rFonts w:ascii="宋体"/>
                <w:sz w:val="24"/>
              </w:rPr>
            </w:pPr>
          </w:p>
        </w:tc>
      </w:tr>
      <w:tr w14:paraId="7FE8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292223D">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DC4DD01">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87D89D6">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6054607">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829058B">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653FB80">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6880324">
            <w:pPr>
              <w:adjustRightInd w:val="0"/>
              <w:snapToGrid w:val="0"/>
              <w:spacing w:line="360" w:lineRule="auto"/>
              <w:jc w:val="center"/>
              <w:rPr>
                <w:rFonts w:ascii="宋体"/>
                <w:sz w:val="24"/>
              </w:rPr>
            </w:pPr>
          </w:p>
        </w:tc>
      </w:tr>
      <w:tr w14:paraId="6127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4E5FDFB">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BE4DEDC">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3B5DAD6">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2969A39">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328BF28">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D0D4D7F">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EC429FE">
            <w:pPr>
              <w:adjustRightInd w:val="0"/>
              <w:snapToGrid w:val="0"/>
              <w:spacing w:line="360" w:lineRule="auto"/>
              <w:jc w:val="center"/>
              <w:rPr>
                <w:rFonts w:ascii="宋体"/>
                <w:sz w:val="24"/>
              </w:rPr>
            </w:pPr>
          </w:p>
        </w:tc>
      </w:tr>
      <w:tr w14:paraId="6512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334B638">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8485FE">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5ED21C3">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9AD7933">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0DEDAE0">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98A103F">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579E3EB">
            <w:pPr>
              <w:adjustRightInd w:val="0"/>
              <w:snapToGrid w:val="0"/>
              <w:spacing w:line="360" w:lineRule="auto"/>
              <w:jc w:val="center"/>
              <w:rPr>
                <w:rFonts w:ascii="宋体"/>
                <w:sz w:val="24"/>
              </w:rPr>
            </w:pPr>
          </w:p>
        </w:tc>
      </w:tr>
      <w:tr w14:paraId="3B19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E339710">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6ECFA27">
            <w:pPr>
              <w:adjustRightInd w:val="0"/>
              <w:snapToGrid w:val="0"/>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F2126C">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133EFC6">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7FF2F6E">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3B5F4FD">
            <w:pPr>
              <w:adjustRightInd w:val="0"/>
              <w:snapToGrid w:val="0"/>
              <w:spacing w:line="360" w:lineRule="auto"/>
              <w:jc w:val="center"/>
              <w:rPr>
                <w:rFonts w:ascii="宋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F383915">
            <w:pPr>
              <w:adjustRightInd w:val="0"/>
              <w:snapToGrid w:val="0"/>
              <w:spacing w:line="360" w:lineRule="auto"/>
              <w:jc w:val="center"/>
              <w:rPr>
                <w:rFonts w:ascii="宋体"/>
                <w:sz w:val="24"/>
              </w:rPr>
            </w:pPr>
          </w:p>
        </w:tc>
      </w:tr>
    </w:tbl>
    <w:p w14:paraId="60ADF411">
      <w:pPr>
        <w:widowControl/>
        <w:adjustRightInd w:val="0"/>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注：1、后附身份证、健康证、劳动合同或</w:t>
      </w:r>
      <w:r>
        <w:rPr>
          <w:rFonts w:hint="eastAsia" w:ascii="宋体" w:hAnsi="宋体" w:cs="宋体"/>
          <w:b/>
          <w:bCs/>
          <w:color w:val="000000"/>
          <w:sz w:val="24"/>
          <w:lang w:val="en-US" w:eastAsia="zh-CN"/>
        </w:rPr>
        <w:t>养老保险</w:t>
      </w:r>
      <w:r>
        <w:rPr>
          <w:rFonts w:hint="eastAsia" w:ascii="宋体" w:hAnsi="宋体" w:cs="宋体"/>
          <w:b/>
          <w:bCs/>
          <w:color w:val="000000"/>
          <w:sz w:val="24"/>
        </w:rPr>
        <w:t>等相关证件资料。</w:t>
      </w:r>
    </w:p>
    <w:p w14:paraId="7E4C6979">
      <w:pPr>
        <w:widowControl/>
        <w:adjustRightInd w:val="0"/>
        <w:snapToGrid w:val="0"/>
        <w:spacing w:line="360" w:lineRule="auto"/>
        <w:ind w:firstLine="964" w:firstLineChars="400"/>
        <w:jc w:val="left"/>
        <w:rPr>
          <w:rFonts w:ascii="宋体" w:hAnsi="宋体" w:cs="宋体"/>
          <w:b/>
          <w:bCs/>
          <w:color w:val="000000"/>
          <w:sz w:val="24"/>
        </w:rPr>
      </w:pPr>
      <w:r>
        <w:rPr>
          <w:rFonts w:hint="eastAsia" w:ascii="宋体" w:hAnsi="宋体"/>
          <w:b/>
          <w:bCs/>
          <w:kern w:val="0"/>
          <w:sz w:val="24"/>
        </w:rPr>
        <w:t>2、</w:t>
      </w:r>
      <w:r>
        <w:rPr>
          <w:rFonts w:ascii="宋体" w:hAnsi="宋体"/>
          <w:b/>
          <w:bCs/>
          <w:kern w:val="0"/>
          <w:sz w:val="24"/>
        </w:rPr>
        <w:t>本页不够请续表</w:t>
      </w:r>
      <w:r>
        <w:rPr>
          <w:rFonts w:hint="eastAsia" w:ascii="宋体" w:hAnsi="宋体"/>
          <w:b/>
          <w:bCs/>
          <w:kern w:val="0"/>
          <w:sz w:val="24"/>
        </w:rPr>
        <w:t>。</w:t>
      </w:r>
    </w:p>
    <w:p w14:paraId="34671C54">
      <w:pPr>
        <w:adjustRightInd w:val="0"/>
        <w:snapToGrid w:val="0"/>
        <w:spacing w:line="360" w:lineRule="auto"/>
        <w:jc w:val="center"/>
        <w:rPr>
          <w:rFonts w:ascii="宋体" w:hAnsi="宋体" w:cs="宋体"/>
          <w:b/>
          <w:color w:val="000000"/>
          <w:kern w:val="0"/>
          <w:sz w:val="28"/>
          <w:szCs w:val="28"/>
        </w:rPr>
      </w:pPr>
    </w:p>
    <w:p w14:paraId="0A56ECCF">
      <w:pPr>
        <w:spacing w:line="360" w:lineRule="auto"/>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0DBC36B6">
      <w:pPr>
        <w:spacing w:line="360" w:lineRule="auto"/>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50FAE44">
      <w:pPr>
        <w:spacing w:line="360" w:lineRule="auto"/>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4F56CA0B">
      <w:pPr>
        <w:adjustRightInd w:val="0"/>
        <w:snapToGrid w:val="0"/>
        <w:spacing w:line="360" w:lineRule="auto"/>
        <w:jc w:val="center"/>
        <w:rPr>
          <w:rFonts w:ascii="宋体" w:hAnsi="宋体" w:cs="宋体"/>
          <w:b/>
          <w:color w:val="000000"/>
          <w:kern w:val="0"/>
          <w:sz w:val="28"/>
          <w:szCs w:val="28"/>
        </w:rPr>
      </w:pPr>
    </w:p>
    <w:p w14:paraId="5B25C9AD">
      <w:pPr>
        <w:adjustRightInd w:val="0"/>
        <w:snapToGrid w:val="0"/>
        <w:spacing w:line="360" w:lineRule="auto"/>
        <w:jc w:val="center"/>
        <w:rPr>
          <w:rFonts w:ascii="宋体" w:hAnsi="宋体" w:cs="宋体"/>
          <w:b/>
          <w:color w:val="000000"/>
          <w:kern w:val="0"/>
          <w:sz w:val="28"/>
          <w:szCs w:val="28"/>
        </w:rPr>
      </w:pPr>
    </w:p>
    <w:p w14:paraId="745EB830">
      <w:pPr>
        <w:adjustRightInd w:val="0"/>
        <w:snapToGrid w:val="0"/>
        <w:spacing w:line="360" w:lineRule="auto"/>
        <w:jc w:val="center"/>
        <w:rPr>
          <w:rFonts w:ascii="宋体" w:hAnsi="宋体" w:cs="宋体"/>
          <w:b/>
          <w:color w:val="000000"/>
          <w:kern w:val="0"/>
          <w:sz w:val="28"/>
          <w:szCs w:val="28"/>
        </w:rPr>
      </w:pPr>
    </w:p>
    <w:p w14:paraId="4AA34A1D">
      <w:pPr>
        <w:adjustRightInd w:val="0"/>
        <w:snapToGrid w:val="0"/>
        <w:spacing w:line="360" w:lineRule="auto"/>
        <w:jc w:val="center"/>
        <w:rPr>
          <w:rFonts w:ascii="宋体" w:hAnsi="宋体" w:cs="宋体"/>
          <w:b/>
          <w:color w:val="000000"/>
          <w:kern w:val="0"/>
          <w:sz w:val="28"/>
          <w:szCs w:val="28"/>
        </w:rPr>
      </w:pPr>
    </w:p>
    <w:p w14:paraId="08D6E81A">
      <w:pPr>
        <w:adjustRightInd w:val="0"/>
        <w:snapToGrid w:val="0"/>
        <w:spacing w:line="360" w:lineRule="auto"/>
        <w:jc w:val="center"/>
        <w:rPr>
          <w:rFonts w:ascii="宋体" w:hAnsi="宋体" w:cs="宋体"/>
          <w:b/>
          <w:color w:val="000000"/>
          <w:kern w:val="0"/>
          <w:sz w:val="28"/>
          <w:szCs w:val="28"/>
        </w:rPr>
      </w:pPr>
      <w:r>
        <w:rPr>
          <w:rFonts w:hint="eastAsia" w:ascii="宋体" w:hAnsi="宋体" w:cs="宋体"/>
          <w:color w:val="000000"/>
          <w:kern w:val="0"/>
          <w:sz w:val="24"/>
        </w:rPr>
        <w:t>（二）</w:t>
      </w:r>
      <w:r>
        <w:rPr>
          <w:rFonts w:hint="eastAsia" w:ascii="宋体" w:hAnsi="宋体" w:cs="宋体"/>
          <w:b/>
          <w:color w:val="000000"/>
          <w:kern w:val="0"/>
          <w:sz w:val="28"/>
          <w:szCs w:val="28"/>
          <w:lang w:val="zh-CN"/>
        </w:rPr>
        <w:t>拟投入本项目的主要人员</w:t>
      </w:r>
      <w:r>
        <w:rPr>
          <w:rFonts w:hint="eastAsia" w:ascii="宋体" w:hAnsi="宋体" w:cs="宋体"/>
          <w:b/>
          <w:color w:val="000000"/>
          <w:kern w:val="0"/>
          <w:sz w:val="28"/>
          <w:szCs w:val="28"/>
        </w:rPr>
        <w:t>相关证件</w:t>
      </w:r>
    </w:p>
    <w:p w14:paraId="244DB8EE">
      <w:pPr>
        <w:pStyle w:val="14"/>
        <w:spacing w:line="360" w:lineRule="auto"/>
        <w:rPr>
          <w:rFonts w:ascii="宋体" w:hAnsi="宋体" w:cs="宋体"/>
          <w:color w:val="000000"/>
          <w:kern w:val="0"/>
          <w:sz w:val="24"/>
        </w:rPr>
      </w:pPr>
    </w:p>
    <w:p w14:paraId="5EE5657C">
      <w:pPr>
        <w:pStyle w:val="14"/>
        <w:spacing w:line="360" w:lineRule="auto"/>
        <w:rPr>
          <w:rFonts w:ascii="宋体" w:hAnsi="宋体" w:cs="宋体"/>
          <w:color w:val="000000"/>
          <w:kern w:val="0"/>
          <w:sz w:val="24"/>
        </w:rPr>
      </w:pPr>
    </w:p>
    <w:p w14:paraId="1AEC89AE">
      <w:pPr>
        <w:pStyle w:val="14"/>
        <w:spacing w:line="360" w:lineRule="auto"/>
        <w:rPr>
          <w:rFonts w:ascii="宋体" w:hAnsi="宋体" w:cs="宋体"/>
          <w:color w:val="000000"/>
          <w:kern w:val="0"/>
          <w:sz w:val="24"/>
        </w:rPr>
      </w:pPr>
    </w:p>
    <w:p w14:paraId="736D9EDE">
      <w:pPr>
        <w:pStyle w:val="14"/>
        <w:spacing w:line="360" w:lineRule="auto"/>
        <w:rPr>
          <w:rFonts w:ascii="宋体" w:hAnsi="宋体" w:cs="宋体"/>
          <w:color w:val="000000"/>
          <w:kern w:val="0"/>
          <w:sz w:val="24"/>
        </w:rPr>
      </w:pPr>
    </w:p>
    <w:p w14:paraId="14775BCB">
      <w:pPr>
        <w:pStyle w:val="14"/>
        <w:spacing w:line="360" w:lineRule="auto"/>
        <w:rPr>
          <w:rFonts w:ascii="宋体" w:hAnsi="宋体" w:cs="宋体"/>
          <w:color w:val="000000"/>
          <w:kern w:val="0"/>
          <w:sz w:val="24"/>
        </w:rPr>
      </w:pPr>
    </w:p>
    <w:p w14:paraId="33F285BF">
      <w:pPr>
        <w:pStyle w:val="14"/>
        <w:spacing w:line="360" w:lineRule="auto"/>
        <w:rPr>
          <w:rFonts w:ascii="宋体" w:hAnsi="宋体" w:cs="宋体"/>
          <w:color w:val="000000"/>
          <w:kern w:val="0"/>
          <w:sz w:val="24"/>
        </w:rPr>
      </w:pPr>
    </w:p>
    <w:p w14:paraId="3D54C803">
      <w:pPr>
        <w:pStyle w:val="14"/>
        <w:spacing w:line="360" w:lineRule="auto"/>
        <w:rPr>
          <w:rFonts w:ascii="宋体" w:hAnsi="宋体" w:cs="宋体"/>
          <w:color w:val="000000"/>
          <w:kern w:val="0"/>
          <w:sz w:val="24"/>
        </w:rPr>
      </w:pPr>
    </w:p>
    <w:p w14:paraId="5446739E">
      <w:pPr>
        <w:pStyle w:val="14"/>
        <w:spacing w:line="360" w:lineRule="auto"/>
        <w:rPr>
          <w:rFonts w:ascii="宋体" w:hAnsi="宋体" w:cs="宋体"/>
          <w:color w:val="000000"/>
          <w:kern w:val="0"/>
          <w:sz w:val="24"/>
        </w:rPr>
      </w:pPr>
    </w:p>
    <w:p w14:paraId="60AEFE27">
      <w:pPr>
        <w:pStyle w:val="14"/>
        <w:spacing w:line="360" w:lineRule="auto"/>
        <w:rPr>
          <w:rFonts w:ascii="宋体" w:hAnsi="宋体" w:cs="宋体"/>
          <w:color w:val="000000"/>
          <w:kern w:val="0"/>
          <w:sz w:val="24"/>
        </w:rPr>
      </w:pPr>
    </w:p>
    <w:p w14:paraId="4492F2A2">
      <w:pPr>
        <w:pStyle w:val="14"/>
        <w:spacing w:line="360" w:lineRule="auto"/>
        <w:rPr>
          <w:rFonts w:ascii="宋体" w:hAnsi="宋体" w:cs="宋体"/>
          <w:color w:val="000000"/>
          <w:kern w:val="0"/>
          <w:sz w:val="24"/>
        </w:rPr>
      </w:pPr>
    </w:p>
    <w:p w14:paraId="4EBAC776">
      <w:pPr>
        <w:pStyle w:val="14"/>
        <w:spacing w:line="360" w:lineRule="auto"/>
        <w:rPr>
          <w:rFonts w:ascii="宋体" w:hAnsi="宋体" w:cs="宋体"/>
          <w:color w:val="000000"/>
          <w:kern w:val="0"/>
          <w:sz w:val="24"/>
        </w:rPr>
      </w:pPr>
    </w:p>
    <w:p w14:paraId="69C72034">
      <w:pPr>
        <w:pStyle w:val="14"/>
        <w:spacing w:line="360" w:lineRule="auto"/>
        <w:rPr>
          <w:rFonts w:ascii="宋体" w:hAnsi="宋体" w:cs="宋体"/>
          <w:color w:val="000000"/>
          <w:kern w:val="0"/>
          <w:sz w:val="24"/>
        </w:rPr>
      </w:pPr>
    </w:p>
    <w:p w14:paraId="53919B81">
      <w:pPr>
        <w:pStyle w:val="14"/>
        <w:spacing w:line="360" w:lineRule="auto"/>
        <w:rPr>
          <w:rFonts w:ascii="宋体" w:hAnsi="宋体" w:cs="宋体"/>
          <w:color w:val="000000"/>
          <w:kern w:val="0"/>
          <w:sz w:val="24"/>
        </w:rPr>
      </w:pPr>
    </w:p>
    <w:p w14:paraId="575A07F4">
      <w:pPr>
        <w:pStyle w:val="14"/>
        <w:spacing w:line="360" w:lineRule="auto"/>
        <w:rPr>
          <w:rFonts w:ascii="宋体" w:hAnsi="宋体" w:cs="宋体"/>
          <w:color w:val="000000"/>
          <w:kern w:val="0"/>
          <w:sz w:val="24"/>
        </w:rPr>
      </w:pPr>
    </w:p>
    <w:p w14:paraId="6CABD91B">
      <w:pPr>
        <w:pStyle w:val="14"/>
        <w:spacing w:line="360" w:lineRule="auto"/>
        <w:rPr>
          <w:rFonts w:ascii="宋体" w:hAnsi="宋体" w:cs="宋体"/>
          <w:color w:val="000000"/>
          <w:kern w:val="0"/>
          <w:sz w:val="24"/>
        </w:rPr>
      </w:pPr>
    </w:p>
    <w:p w14:paraId="51E765A3">
      <w:pPr>
        <w:pStyle w:val="14"/>
        <w:spacing w:line="360" w:lineRule="auto"/>
        <w:rPr>
          <w:rFonts w:ascii="宋体" w:hAnsi="宋体" w:cs="宋体"/>
          <w:color w:val="000000"/>
          <w:kern w:val="0"/>
          <w:sz w:val="24"/>
        </w:rPr>
      </w:pPr>
    </w:p>
    <w:p w14:paraId="344E60AA">
      <w:pPr>
        <w:pStyle w:val="14"/>
        <w:spacing w:line="360" w:lineRule="auto"/>
        <w:rPr>
          <w:rFonts w:ascii="宋体" w:hAnsi="宋体" w:cs="宋体"/>
          <w:color w:val="000000"/>
          <w:kern w:val="0"/>
          <w:sz w:val="24"/>
        </w:rPr>
      </w:pPr>
    </w:p>
    <w:p w14:paraId="454A1B2E">
      <w:pPr>
        <w:pStyle w:val="14"/>
        <w:spacing w:line="360" w:lineRule="auto"/>
        <w:rPr>
          <w:rFonts w:ascii="宋体" w:hAnsi="宋体" w:cs="宋体"/>
          <w:color w:val="000000"/>
          <w:kern w:val="0"/>
          <w:sz w:val="24"/>
        </w:rPr>
      </w:pPr>
    </w:p>
    <w:p w14:paraId="71B594B9">
      <w:pPr>
        <w:pStyle w:val="14"/>
        <w:spacing w:line="360" w:lineRule="auto"/>
        <w:rPr>
          <w:rFonts w:ascii="宋体" w:hAnsi="宋体" w:cs="宋体"/>
          <w:color w:val="000000"/>
          <w:kern w:val="0"/>
          <w:sz w:val="24"/>
        </w:rPr>
      </w:pPr>
    </w:p>
    <w:p w14:paraId="488E174A">
      <w:pPr>
        <w:pStyle w:val="14"/>
        <w:spacing w:line="360" w:lineRule="auto"/>
        <w:rPr>
          <w:rFonts w:ascii="宋体" w:hAnsi="宋体" w:cs="宋体"/>
          <w:color w:val="000000"/>
          <w:kern w:val="0"/>
          <w:sz w:val="24"/>
        </w:rPr>
      </w:pPr>
    </w:p>
    <w:p w14:paraId="59D9A812">
      <w:pPr>
        <w:pStyle w:val="14"/>
        <w:spacing w:line="360" w:lineRule="auto"/>
        <w:rPr>
          <w:rFonts w:ascii="宋体" w:hAnsi="宋体" w:cs="宋体"/>
          <w:color w:val="000000"/>
          <w:kern w:val="0"/>
          <w:sz w:val="24"/>
        </w:rPr>
      </w:pPr>
    </w:p>
    <w:p w14:paraId="3FA3A6B7">
      <w:pPr>
        <w:pStyle w:val="14"/>
        <w:spacing w:line="360" w:lineRule="auto"/>
        <w:rPr>
          <w:rFonts w:ascii="宋体" w:hAnsi="宋体" w:cs="宋体"/>
          <w:color w:val="000000"/>
          <w:kern w:val="0"/>
          <w:sz w:val="24"/>
        </w:rPr>
      </w:pPr>
    </w:p>
    <w:p w14:paraId="44E31E15">
      <w:pPr>
        <w:pStyle w:val="14"/>
        <w:spacing w:line="360" w:lineRule="auto"/>
        <w:rPr>
          <w:rFonts w:ascii="宋体" w:hAnsi="宋体" w:cs="宋体"/>
          <w:color w:val="000000"/>
          <w:kern w:val="0"/>
          <w:sz w:val="24"/>
        </w:rPr>
      </w:pPr>
    </w:p>
    <w:p w14:paraId="5D3383BB">
      <w:pPr>
        <w:pStyle w:val="14"/>
        <w:spacing w:line="360" w:lineRule="auto"/>
        <w:rPr>
          <w:rFonts w:ascii="宋体" w:hAnsi="宋体" w:cs="宋体"/>
          <w:color w:val="000000"/>
          <w:kern w:val="0"/>
          <w:sz w:val="24"/>
        </w:rPr>
      </w:pPr>
    </w:p>
    <w:p w14:paraId="0D0D80A5">
      <w:pPr>
        <w:pStyle w:val="14"/>
        <w:spacing w:line="360" w:lineRule="auto"/>
        <w:rPr>
          <w:rFonts w:ascii="宋体" w:hAnsi="宋体" w:cs="宋体"/>
          <w:color w:val="000000"/>
          <w:kern w:val="0"/>
          <w:sz w:val="24"/>
        </w:rPr>
      </w:pPr>
    </w:p>
    <w:p w14:paraId="46CA13BA">
      <w:pPr>
        <w:pStyle w:val="14"/>
        <w:spacing w:line="360" w:lineRule="auto"/>
        <w:rPr>
          <w:rFonts w:ascii="宋体" w:hAnsi="宋体" w:cs="宋体"/>
          <w:color w:val="000000"/>
          <w:kern w:val="0"/>
          <w:sz w:val="24"/>
        </w:rPr>
      </w:pPr>
    </w:p>
    <w:p w14:paraId="314D23CB">
      <w:pPr>
        <w:pStyle w:val="14"/>
        <w:spacing w:line="360" w:lineRule="auto"/>
        <w:rPr>
          <w:rFonts w:ascii="宋体" w:hAnsi="宋体" w:cs="宋体"/>
          <w:color w:val="000000"/>
          <w:kern w:val="0"/>
          <w:sz w:val="24"/>
        </w:rPr>
      </w:pPr>
    </w:p>
    <w:p w14:paraId="14328A2F">
      <w:pPr>
        <w:pStyle w:val="14"/>
        <w:spacing w:line="360" w:lineRule="auto"/>
        <w:rPr>
          <w:rFonts w:ascii="宋体" w:hAnsi="宋体" w:cs="宋体"/>
          <w:color w:val="000000"/>
          <w:kern w:val="0"/>
          <w:sz w:val="24"/>
        </w:rPr>
      </w:pPr>
    </w:p>
    <w:p w14:paraId="22D5D884">
      <w:pPr>
        <w:keepNext/>
        <w:keepLines/>
        <w:spacing w:line="400" w:lineRule="exact"/>
        <w:jc w:val="center"/>
        <w:outlineLvl w:val="2"/>
        <w:rPr>
          <w:rFonts w:ascii="宋体" w:hAnsi="宋体"/>
          <w:b/>
          <w:sz w:val="30"/>
          <w:szCs w:val="30"/>
        </w:rPr>
      </w:pPr>
      <w:r>
        <w:rPr>
          <w:rFonts w:hint="eastAsia" w:ascii="宋体" w:hAnsi="宋体"/>
          <w:b/>
          <w:sz w:val="30"/>
          <w:szCs w:val="30"/>
        </w:rPr>
        <w:t>八、磋商</w:t>
      </w:r>
      <w:r>
        <w:rPr>
          <w:rFonts w:ascii="宋体" w:hAnsi="宋体"/>
          <w:b/>
          <w:sz w:val="30"/>
          <w:szCs w:val="30"/>
        </w:rPr>
        <w:t>承诺函</w:t>
      </w:r>
    </w:p>
    <w:p w14:paraId="30DCC8A8">
      <w:pPr>
        <w:spacing w:line="360" w:lineRule="auto"/>
        <w:ind w:right="-340" w:rightChars="-162"/>
        <w:jc w:val="center"/>
        <w:rPr>
          <w:rFonts w:ascii="宋体" w:hAnsi="宋体"/>
          <w:b/>
          <w:sz w:val="24"/>
        </w:rPr>
      </w:pPr>
      <w:r>
        <w:rPr>
          <w:rFonts w:hint="eastAsia" w:ascii="宋体" w:hAnsi="宋体"/>
          <w:b/>
          <w:sz w:val="24"/>
        </w:rPr>
        <w:t>（自行承诺）</w:t>
      </w:r>
    </w:p>
    <w:p w14:paraId="4CD484BD">
      <w:pPr>
        <w:autoSpaceDE w:val="0"/>
        <w:autoSpaceDN w:val="0"/>
        <w:adjustRightInd w:val="0"/>
        <w:spacing w:line="500" w:lineRule="exact"/>
        <w:jc w:val="left"/>
        <w:rPr>
          <w:rFonts w:ascii="宋体" w:hAnsi="宋体"/>
          <w:color w:val="000000"/>
          <w:sz w:val="24"/>
        </w:rPr>
      </w:pPr>
      <w:r>
        <w:rPr>
          <w:rFonts w:hint="eastAsia" w:ascii="宋体" w:hAnsi="宋体"/>
          <w:color w:val="000000"/>
          <w:sz w:val="24"/>
        </w:rPr>
        <w:t>承诺内容应包含：</w:t>
      </w:r>
    </w:p>
    <w:p w14:paraId="43FAACF9">
      <w:pPr>
        <w:autoSpaceDE w:val="0"/>
        <w:autoSpaceDN w:val="0"/>
        <w:adjustRightInd w:val="0"/>
        <w:spacing w:line="500" w:lineRule="exact"/>
        <w:ind w:firstLine="480" w:firstLineChars="200"/>
        <w:jc w:val="left"/>
        <w:rPr>
          <w:rFonts w:ascii="宋体" w:hAnsi="宋体"/>
          <w:color w:val="000000"/>
          <w:sz w:val="24"/>
        </w:rPr>
      </w:pPr>
      <w:r>
        <w:rPr>
          <w:rFonts w:hint="eastAsia" w:ascii="宋体" w:hAnsi="宋体"/>
          <w:color w:val="000000"/>
          <w:sz w:val="24"/>
        </w:rPr>
        <w:t>1、参加本次磋商活动中申报的所有资料都是真实、准确完整的，如发现带给虚假资料，或与事实不符而导致磋商无效，甚至造成任何法律和经济职责，完全由供应商负责；</w:t>
      </w:r>
    </w:p>
    <w:p w14:paraId="3B0EA415">
      <w:pPr>
        <w:autoSpaceDE w:val="0"/>
        <w:autoSpaceDN w:val="0"/>
        <w:adjustRightInd w:val="0"/>
        <w:spacing w:line="500" w:lineRule="exact"/>
        <w:ind w:firstLine="480" w:firstLineChars="200"/>
        <w:jc w:val="left"/>
        <w:rPr>
          <w:rFonts w:ascii="宋体" w:hAnsi="宋体"/>
          <w:color w:val="000000"/>
          <w:sz w:val="24"/>
        </w:rPr>
      </w:pPr>
      <w:r>
        <w:rPr>
          <w:rFonts w:hint="eastAsia" w:ascii="宋体" w:hAnsi="宋体"/>
          <w:color w:val="000000"/>
          <w:sz w:val="24"/>
        </w:rPr>
        <w:t>2、在本次磋商活动中绝无资质挂靠、串标、围标情形，若经贵方查出，立即取消我方</w:t>
      </w:r>
      <w:r>
        <w:rPr>
          <w:rFonts w:hint="eastAsia" w:ascii="宋体" w:hAnsi="宋体"/>
          <w:color w:val="000000"/>
          <w:sz w:val="24"/>
          <w:lang w:val="en-US" w:eastAsia="zh-CN"/>
        </w:rPr>
        <w:t>磋商</w:t>
      </w:r>
      <w:r>
        <w:rPr>
          <w:rFonts w:hint="eastAsia" w:ascii="宋体" w:hAnsi="宋体"/>
          <w:color w:val="000000"/>
          <w:sz w:val="24"/>
        </w:rPr>
        <w:t>资格并承担相应的法律职责；</w:t>
      </w:r>
    </w:p>
    <w:p w14:paraId="49735CBC">
      <w:pPr>
        <w:autoSpaceDE w:val="0"/>
        <w:autoSpaceDN w:val="0"/>
        <w:adjustRightInd w:val="0"/>
        <w:spacing w:line="500" w:lineRule="exact"/>
        <w:ind w:firstLine="480" w:firstLineChars="200"/>
        <w:jc w:val="left"/>
        <w:rPr>
          <w:rFonts w:ascii="宋体" w:hAnsi="宋体"/>
          <w:color w:val="000000"/>
          <w:sz w:val="24"/>
        </w:rPr>
      </w:pPr>
      <w:r>
        <w:rPr>
          <w:rFonts w:hint="eastAsia" w:ascii="宋体" w:hAnsi="宋体"/>
          <w:color w:val="000000"/>
          <w:sz w:val="24"/>
        </w:rPr>
        <w:t>3、供应商一旦</w:t>
      </w:r>
      <w:r>
        <w:rPr>
          <w:rFonts w:hint="eastAsia" w:ascii="宋体" w:hAnsi="宋体"/>
          <w:color w:val="000000"/>
          <w:sz w:val="24"/>
          <w:lang w:eastAsia="zh-CN"/>
        </w:rPr>
        <w:t>成交</w:t>
      </w:r>
      <w:r>
        <w:rPr>
          <w:rFonts w:hint="eastAsia" w:ascii="宋体" w:hAnsi="宋体"/>
          <w:color w:val="000000"/>
          <w:sz w:val="24"/>
        </w:rPr>
        <w:t>，将严格按照响应文件中所承诺的报价、质量、服务</w:t>
      </w:r>
      <w:r>
        <w:rPr>
          <w:rFonts w:hint="eastAsia" w:ascii="宋体" w:hAnsi="宋体"/>
          <w:color w:val="000000"/>
          <w:sz w:val="24"/>
          <w:lang w:val="en-US" w:eastAsia="zh-CN"/>
        </w:rPr>
        <w:t>周期</w:t>
      </w:r>
      <w:r>
        <w:rPr>
          <w:rFonts w:hint="eastAsia" w:ascii="宋体" w:hAnsi="宋体"/>
          <w:color w:val="000000"/>
          <w:sz w:val="24"/>
        </w:rPr>
        <w:t>、项目负责人等资料组织实施；并按规定及时签订合同；</w:t>
      </w:r>
    </w:p>
    <w:p w14:paraId="51AC1EEA">
      <w:pPr>
        <w:autoSpaceDE w:val="0"/>
        <w:autoSpaceDN w:val="0"/>
        <w:adjustRightInd w:val="0"/>
        <w:spacing w:line="500" w:lineRule="exact"/>
        <w:ind w:firstLine="480" w:firstLineChars="200"/>
        <w:jc w:val="left"/>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成交供应商</w:t>
      </w:r>
      <w:r>
        <w:rPr>
          <w:rFonts w:hint="eastAsia" w:ascii="宋体" w:hAnsi="宋体"/>
          <w:color w:val="000000"/>
          <w:sz w:val="24"/>
        </w:rPr>
        <w:t>无正当理由拒签合同的，采购人取消其</w:t>
      </w:r>
      <w:r>
        <w:rPr>
          <w:rFonts w:hint="eastAsia" w:ascii="宋体" w:hAnsi="宋体"/>
          <w:color w:val="000000"/>
          <w:sz w:val="24"/>
          <w:lang w:eastAsia="zh-CN"/>
        </w:rPr>
        <w:t>成交</w:t>
      </w:r>
      <w:r>
        <w:rPr>
          <w:rFonts w:hint="eastAsia" w:ascii="宋体" w:hAnsi="宋体"/>
          <w:color w:val="000000"/>
          <w:sz w:val="24"/>
        </w:rPr>
        <w:t>资格；给采购人造成的损失，</w:t>
      </w:r>
      <w:r>
        <w:rPr>
          <w:rFonts w:hint="eastAsia" w:ascii="宋体" w:hAnsi="宋体"/>
          <w:color w:val="000000"/>
          <w:sz w:val="24"/>
          <w:lang w:val="en-US" w:eastAsia="zh-CN"/>
        </w:rPr>
        <w:t>成交供应商</w:t>
      </w:r>
      <w:r>
        <w:rPr>
          <w:rFonts w:hint="eastAsia" w:ascii="宋体" w:hAnsi="宋体"/>
          <w:color w:val="000000"/>
          <w:sz w:val="24"/>
        </w:rPr>
        <w:t>应当对采购人予以赔偿；</w:t>
      </w:r>
    </w:p>
    <w:p w14:paraId="2432D255">
      <w:pPr>
        <w:autoSpaceDE w:val="0"/>
        <w:autoSpaceDN w:val="0"/>
        <w:adjustRightInd w:val="0"/>
        <w:spacing w:line="500" w:lineRule="exact"/>
        <w:ind w:firstLine="480" w:firstLineChars="200"/>
        <w:jc w:val="left"/>
        <w:rPr>
          <w:rFonts w:ascii="宋体" w:hAnsi="宋体"/>
          <w:color w:val="000000"/>
          <w:sz w:val="24"/>
        </w:rPr>
      </w:pPr>
      <w:r>
        <w:rPr>
          <w:rFonts w:hint="eastAsia" w:ascii="宋体" w:hAnsi="宋体"/>
          <w:color w:val="000000"/>
          <w:sz w:val="24"/>
        </w:rPr>
        <w:t>5、供应商如成交后，无故放弃，采购人有权将其列入本单位失信供应商名单，三年内不得参与本单位采购项目。</w:t>
      </w:r>
    </w:p>
    <w:p w14:paraId="17F5A8DE">
      <w:pPr>
        <w:autoSpaceDE w:val="0"/>
        <w:autoSpaceDN w:val="0"/>
        <w:adjustRightInd w:val="0"/>
        <w:spacing w:line="500" w:lineRule="exact"/>
        <w:ind w:firstLine="480" w:firstLineChars="200"/>
        <w:jc w:val="left"/>
        <w:rPr>
          <w:rFonts w:ascii="宋体" w:hAnsi="宋体"/>
          <w:color w:val="000000"/>
          <w:sz w:val="24"/>
        </w:rPr>
      </w:pPr>
      <w:r>
        <w:rPr>
          <w:rFonts w:hint="eastAsia" w:ascii="宋体" w:hAnsi="宋体"/>
          <w:color w:val="000000"/>
          <w:sz w:val="24"/>
        </w:rPr>
        <w:t>6、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p>
    <w:p w14:paraId="456964CC">
      <w:pPr>
        <w:autoSpaceDE w:val="0"/>
        <w:autoSpaceDN w:val="0"/>
        <w:adjustRightInd w:val="0"/>
        <w:spacing w:line="500" w:lineRule="exact"/>
        <w:ind w:firstLine="480" w:firstLineChars="200"/>
        <w:jc w:val="left"/>
        <w:rPr>
          <w:rFonts w:ascii="宋体" w:hAnsi="宋体"/>
          <w:color w:val="000000"/>
          <w:sz w:val="24"/>
        </w:rPr>
      </w:pPr>
      <w:r>
        <w:rPr>
          <w:rFonts w:hint="eastAsia" w:ascii="宋体" w:hAnsi="宋体"/>
          <w:color w:val="000000"/>
          <w:sz w:val="24"/>
        </w:rPr>
        <w:t>7、成交供应商的工作人员，必须严格遵守采购人单位相关规章制度，如出现违反规章制度人员，采购人有权将其列入本单位失信供应商名单，三年内不得参与本单位采购项目。</w:t>
      </w:r>
    </w:p>
    <w:p w14:paraId="0DBAF250">
      <w:pPr>
        <w:autoSpaceDE w:val="0"/>
        <w:autoSpaceDN w:val="0"/>
        <w:adjustRightInd w:val="0"/>
        <w:spacing w:line="500" w:lineRule="exact"/>
        <w:ind w:firstLine="480" w:firstLineChars="200"/>
        <w:jc w:val="left"/>
        <w:outlineLvl w:val="0"/>
        <w:rPr>
          <w:rFonts w:ascii="宋体" w:hAnsi="宋体"/>
          <w:bCs/>
          <w:color w:val="000000"/>
          <w:sz w:val="24"/>
        </w:rPr>
      </w:pPr>
      <w:r>
        <w:rPr>
          <w:rFonts w:hint="eastAsia" w:ascii="宋体" w:hAnsi="宋体"/>
          <w:bCs/>
          <w:color w:val="000000"/>
          <w:sz w:val="24"/>
        </w:rPr>
        <w:t>8、供应商磋商承诺函应明确承诺事项及违背承诺的责任；</w:t>
      </w:r>
    </w:p>
    <w:p w14:paraId="65B8BDC2">
      <w:pPr>
        <w:spacing w:line="360" w:lineRule="auto"/>
        <w:ind w:left="1" w:firstLine="480" w:firstLineChars="200"/>
        <w:rPr>
          <w:rFonts w:ascii="宋体" w:hAnsi="宋体" w:cs="宋体"/>
          <w:sz w:val="24"/>
          <w:szCs w:val="20"/>
        </w:rPr>
      </w:pPr>
      <w:r>
        <w:rPr>
          <w:rFonts w:hint="eastAsia" w:ascii="宋体" w:hAnsi="宋体"/>
          <w:bCs/>
          <w:color w:val="000000"/>
          <w:sz w:val="24"/>
        </w:rPr>
        <w:t>9、其他承诺事项：</w:t>
      </w:r>
      <w:r>
        <w:rPr>
          <w:rFonts w:hint="eastAsia" w:ascii="宋体" w:hAnsi="宋体" w:cs="宋体"/>
          <w:sz w:val="24"/>
          <w:szCs w:val="20"/>
          <w:u w:val="single"/>
        </w:rPr>
        <w:t xml:space="preserve">                            </w:t>
      </w:r>
    </w:p>
    <w:p w14:paraId="2B00C770">
      <w:pPr>
        <w:autoSpaceDE w:val="0"/>
        <w:autoSpaceDN w:val="0"/>
        <w:adjustRightInd w:val="0"/>
        <w:spacing w:line="400" w:lineRule="exact"/>
        <w:ind w:firstLine="480" w:firstLineChars="200"/>
        <w:jc w:val="left"/>
        <w:rPr>
          <w:rFonts w:ascii="宋体" w:hAnsi="宋体"/>
          <w:bCs/>
          <w:color w:val="000000"/>
          <w:sz w:val="24"/>
        </w:rPr>
      </w:pPr>
    </w:p>
    <w:p w14:paraId="72D35EE3">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3E84FC30">
      <w:pPr>
        <w:spacing w:line="600" w:lineRule="exact"/>
        <w:ind w:firstLine="720" w:firstLineChars="300"/>
        <w:jc w:val="left"/>
        <w:rPr>
          <w:rFonts w:ascii="宋体" w:hAnsi="宋体"/>
          <w:sz w:val="24"/>
        </w:rPr>
      </w:pPr>
      <w:r>
        <w:rPr>
          <w:rFonts w:hint="eastAsia" w:ascii="宋体" w:hAnsi="宋体"/>
          <w:sz w:val="24"/>
        </w:rPr>
        <w:t>法定代表人或授权委托人：</w:t>
      </w:r>
      <w:r>
        <w:rPr>
          <w:rFonts w:hint="eastAsia" w:ascii="宋体" w:hAnsi="宋体"/>
          <w:sz w:val="24"/>
          <w:u w:val="single"/>
        </w:rPr>
        <w:t xml:space="preserve">                  </w:t>
      </w:r>
      <w:r>
        <w:rPr>
          <w:rFonts w:hint="eastAsia" w:ascii="宋体" w:hAnsi="宋体"/>
          <w:sz w:val="24"/>
        </w:rPr>
        <w:t>（签字或盖章）</w:t>
      </w:r>
    </w:p>
    <w:p w14:paraId="3332E4D0">
      <w:pPr>
        <w:spacing w:line="600" w:lineRule="exact"/>
        <w:ind w:firstLine="720" w:firstLineChars="300"/>
        <w:rPr>
          <w:rFonts w:ascii="宋体" w:hAnsi="宋体"/>
          <w:sz w:val="24"/>
          <w:szCs w:val="20"/>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FC73CBC">
      <w:pPr>
        <w:pStyle w:val="14"/>
        <w:spacing w:line="360" w:lineRule="auto"/>
        <w:rPr>
          <w:rFonts w:ascii="宋体" w:hAnsi="宋体" w:cs="宋体"/>
          <w:color w:val="000000"/>
          <w:kern w:val="0"/>
          <w:sz w:val="24"/>
        </w:rPr>
      </w:pPr>
    </w:p>
    <w:p w14:paraId="789D9A1A">
      <w:pPr>
        <w:widowControl/>
        <w:jc w:val="center"/>
        <w:rPr>
          <w:rFonts w:ascii="宋体" w:hAnsi="宋体"/>
          <w:b/>
          <w:bCs/>
          <w:color w:val="000000"/>
          <w:kern w:val="0"/>
          <w:sz w:val="32"/>
          <w:szCs w:val="32"/>
        </w:rPr>
      </w:pPr>
      <w:r>
        <w:rPr>
          <w:rFonts w:hint="eastAsia" w:ascii="宋体" w:hAnsi="宋体"/>
          <w:b/>
          <w:bCs/>
          <w:color w:val="000000"/>
          <w:kern w:val="0"/>
          <w:sz w:val="32"/>
          <w:szCs w:val="32"/>
        </w:rPr>
        <w:t>九、供应商资格声明函</w:t>
      </w:r>
    </w:p>
    <w:p w14:paraId="2C458647">
      <w:pPr>
        <w:spacing w:line="600" w:lineRule="exact"/>
        <w:rPr>
          <w:rFonts w:ascii="宋体" w:hAnsi="宋体"/>
          <w:color w:val="000000"/>
          <w:sz w:val="24"/>
        </w:rPr>
      </w:pPr>
    </w:p>
    <w:p w14:paraId="3E84E857">
      <w:pPr>
        <w:spacing w:line="600" w:lineRule="exact"/>
        <w:rPr>
          <w:rFonts w:ascii="宋体" w:hAnsi="宋体"/>
          <w:color w:val="000000"/>
          <w:sz w:val="24"/>
        </w:rPr>
      </w:pPr>
      <w:r>
        <w:rPr>
          <w:rFonts w:hint="eastAsia" w:ascii="宋体" w:hAnsi="宋体"/>
          <w:color w:val="000000"/>
          <w:sz w:val="24"/>
        </w:rPr>
        <w:t>致：（采购人名称）</w:t>
      </w:r>
    </w:p>
    <w:p w14:paraId="66CF6CA4">
      <w:pPr>
        <w:spacing w:line="600" w:lineRule="exact"/>
        <w:ind w:firstLine="480" w:firstLineChars="200"/>
        <w:rPr>
          <w:rFonts w:ascii="宋体" w:hAnsi="宋体"/>
          <w:color w:val="000000"/>
          <w:sz w:val="24"/>
        </w:rPr>
      </w:pPr>
      <w:r>
        <w:rPr>
          <w:rFonts w:hint="eastAsia" w:ascii="宋体" w:hAnsi="宋体"/>
          <w:color w:val="000000"/>
          <w:sz w:val="24"/>
        </w:rPr>
        <w:t>我方在此声明，我方具备并满足《中华人民共和国政府采购法》二十二条及实施条例规定的</w:t>
      </w:r>
      <w:r>
        <w:rPr>
          <w:rFonts w:hint="eastAsia" w:ascii="宋体" w:hAnsi="宋体"/>
          <w:color w:val="000000"/>
          <w:sz w:val="24"/>
          <w:lang w:eastAsia="zh-CN"/>
        </w:rPr>
        <w:t>磋商</w:t>
      </w:r>
      <w:r>
        <w:rPr>
          <w:rFonts w:hint="eastAsia" w:ascii="宋体" w:hAnsi="宋体"/>
          <w:color w:val="000000"/>
          <w:sz w:val="24"/>
        </w:rPr>
        <w:t>供应商的条件：</w:t>
      </w:r>
    </w:p>
    <w:p w14:paraId="1FD46346">
      <w:pPr>
        <w:spacing w:line="600" w:lineRule="exact"/>
        <w:ind w:firstLine="480" w:firstLineChars="200"/>
        <w:rPr>
          <w:rFonts w:ascii="宋体" w:hAnsi="宋体"/>
          <w:color w:val="000000"/>
          <w:sz w:val="24"/>
        </w:rPr>
      </w:pPr>
      <w:r>
        <w:rPr>
          <w:rFonts w:hint="eastAsia" w:ascii="宋体" w:hAnsi="宋体"/>
          <w:color w:val="000000"/>
          <w:sz w:val="24"/>
        </w:rPr>
        <w:t>（1）具有独立承担民事责任的能力；</w:t>
      </w:r>
    </w:p>
    <w:p w14:paraId="6887536C">
      <w:pPr>
        <w:spacing w:line="600" w:lineRule="exact"/>
        <w:ind w:firstLine="480" w:firstLineChars="200"/>
        <w:rPr>
          <w:rFonts w:ascii="宋体" w:hAnsi="宋体"/>
          <w:color w:val="000000"/>
          <w:sz w:val="24"/>
        </w:rPr>
      </w:pPr>
      <w:r>
        <w:rPr>
          <w:rFonts w:hint="eastAsia" w:ascii="宋体" w:hAnsi="宋体"/>
          <w:color w:val="000000"/>
          <w:sz w:val="24"/>
        </w:rPr>
        <w:t>（2）具有良好的商业信誉和健全的财务会计制度；</w:t>
      </w:r>
    </w:p>
    <w:p w14:paraId="767DEECA">
      <w:pPr>
        <w:spacing w:line="600" w:lineRule="exact"/>
        <w:ind w:firstLine="480" w:firstLineChars="200"/>
        <w:rPr>
          <w:rFonts w:ascii="宋体" w:hAnsi="宋体"/>
          <w:color w:val="000000"/>
          <w:sz w:val="24"/>
        </w:rPr>
      </w:pPr>
      <w:r>
        <w:rPr>
          <w:rFonts w:hint="eastAsia" w:ascii="宋体" w:hAnsi="宋体"/>
          <w:color w:val="000000"/>
          <w:sz w:val="24"/>
        </w:rPr>
        <w:t>（3）具有履行合同所必需的设备和专业技术能力；</w:t>
      </w:r>
    </w:p>
    <w:p w14:paraId="589A1878">
      <w:pPr>
        <w:spacing w:line="600" w:lineRule="exact"/>
        <w:ind w:firstLine="480" w:firstLineChars="200"/>
        <w:rPr>
          <w:rFonts w:ascii="宋体" w:hAnsi="宋体"/>
          <w:color w:val="000000"/>
          <w:sz w:val="24"/>
        </w:rPr>
      </w:pPr>
      <w:r>
        <w:rPr>
          <w:rFonts w:hint="eastAsia" w:ascii="宋体" w:hAnsi="宋体"/>
          <w:color w:val="000000"/>
          <w:sz w:val="24"/>
        </w:rPr>
        <w:t>（4）有依法缴纳税收和社会保障资金的良好记录；</w:t>
      </w:r>
    </w:p>
    <w:p w14:paraId="5C7B1E42">
      <w:pPr>
        <w:spacing w:line="600" w:lineRule="exact"/>
        <w:ind w:firstLine="480" w:firstLineChars="200"/>
        <w:rPr>
          <w:rFonts w:ascii="宋体" w:hAnsi="宋体"/>
          <w:color w:val="000000"/>
          <w:sz w:val="24"/>
        </w:rPr>
      </w:pPr>
      <w:r>
        <w:rPr>
          <w:rFonts w:hint="eastAsia" w:ascii="宋体" w:hAnsi="宋体"/>
          <w:color w:val="000000"/>
          <w:sz w:val="24"/>
        </w:rPr>
        <w:t>（5）参加本次政府采购活动前三年内，在经营活动中没有重大违法记录。</w:t>
      </w:r>
    </w:p>
    <w:p w14:paraId="2E048C77">
      <w:pPr>
        <w:spacing w:line="600" w:lineRule="exact"/>
        <w:jc w:val="left"/>
        <w:rPr>
          <w:rFonts w:ascii="宋体" w:hAnsi="宋体" w:cs="宋体"/>
          <w:bCs/>
          <w:sz w:val="24"/>
          <w:u w:color="000000"/>
        </w:rPr>
      </w:pPr>
    </w:p>
    <w:p w14:paraId="5CAA36DD">
      <w:pPr>
        <w:spacing w:line="600" w:lineRule="exact"/>
        <w:jc w:val="left"/>
        <w:rPr>
          <w:rFonts w:ascii="宋体" w:hAnsi="宋体" w:cs="宋体"/>
          <w:bCs/>
          <w:sz w:val="24"/>
          <w:u w:color="000000"/>
        </w:rPr>
      </w:pPr>
    </w:p>
    <w:p w14:paraId="3FD3CF0C">
      <w:pPr>
        <w:spacing w:line="600" w:lineRule="exact"/>
        <w:jc w:val="left"/>
        <w:rPr>
          <w:rFonts w:ascii="宋体" w:hAnsi="宋体" w:cs="宋体"/>
          <w:bCs/>
          <w:sz w:val="24"/>
          <w:u w:color="000000"/>
        </w:rPr>
      </w:pPr>
    </w:p>
    <w:p w14:paraId="0297C764">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1C6827E7">
      <w:pPr>
        <w:spacing w:line="600" w:lineRule="exact"/>
        <w:ind w:firstLine="720" w:firstLineChars="300"/>
        <w:jc w:val="left"/>
        <w:rPr>
          <w:rFonts w:ascii="宋体" w:hAnsi="宋体"/>
          <w:sz w:val="24"/>
        </w:rPr>
      </w:pPr>
      <w:r>
        <w:rPr>
          <w:rFonts w:hint="eastAsia" w:ascii="宋体" w:hAnsi="宋体"/>
          <w:sz w:val="24"/>
        </w:rPr>
        <w:t>法定代表人或授权委托人：</w:t>
      </w:r>
      <w:r>
        <w:rPr>
          <w:rFonts w:hint="eastAsia" w:ascii="宋体" w:hAnsi="宋体"/>
          <w:sz w:val="24"/>
          <w:u w:val="single"/>
        </w:rPr>
        <w:t xml:space="preserve">                  </w:t>
      </w:r>
      <w:r>
        <w:rPr>
          <w:rFonts w:hint="eastAsia" w:ascii="宋体" w:hAnsi="宋体"/>
          <w:sz w:val="24"/>
        </w:rPr>
        <w:t>（签字或盖章）</w:t>
      </w:r>
    </w:p>
    <w:p w14:paraId="56CEB7CC">
      <w:pPr>
        <w:spacing w:line="600" w:lineRule="exact"/>
        <w:ind w:firstLine="770" w:firstLineChars="321"/>
        <w:rPr>
          <w:rFonts w:ascii="宋体" w:hAnsi="宋体"/>
          <w:sz w:val="24"/>
          <w:szCs w:val="20"/>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DB5648A">
      <w:pPr>
        <w:pStyle w:val="14"/>
        <w:spacing w:line="360" w:lineRule="auto"/>
        <w:rPr>
          <w:rFonts w:ascii="宋体" w:hAnsi="宋体" w:cs="宋体"/>
          <w:color w:val="000000"/>
          <w:kern w:val="0"/>
          <w:sz w:val="24"/>
        </w:rPr>
      </w:pPr>
    </w:p>
    <w:p w14:paraId="6EF3CB01">
      <w:pPr>
        <w:pStyle w:val="14"/>
        <w:spacing w:line="360" w:lineRule="auto"/>
        <w:rPr>
          <w:rFonts w:ascii="宋体" w:hAnsi="宋体" w:cs="宋体"/>
          <w:color w:val="000000"/>
          <w:kern w:val="0"/>
          <w:sz w:val="24"/>
        </w:rPr>
      </w:pPr>
    </w:p>
    <w:p w14:paraId="4D47C924">
      <w:pPr>
        <w:pStyle w:val="14"/>
        <w:spacing w:line="360" w:lineRule="auto"/>
        <w:rPr>
          <w:rFonts w:ascii="宋体" w:hAnsi="宋体" w:cs="宋体"/>
          <w:color w:val="000000"/>
          <w:kern w:val="0"/>
          <w:sz w:val="24"/>
        </w:rPr>
      </w:pPr>
    </w:p>
    <w:p w14:paraId="1FAEE0C8">
      <w:pPr>
        <w:pStyle w:val="14"/>
        <w:spacing w:line="360" w:lineRule="auto"/>
        <w:rPr>
          <w:rFonts w:ascii="宋体" w:hAnsi="宋体" w:cs="宋体"/>
          <w:color w:val="000000"/>
          <w:kern w:val="0"/>
          <w:sz w:val="24"/>
        </w:rPr>
      </w:pPr>
    </w:p>
    <w:p w14:paraId="20A27841">
      <w:pPr>
        <w:pStyle w:val="14"/>
        <w:spacing w:line="360" w:lineRule="auto"/>
        <w:rPr>
          <w:rFonts w:ascii="宋体" w:hAnsi="宋体" w:cs="宋体"/>
          <w:color w:val="000000"/>
          <w:kern w:val="0"/>
          <w:sz w:val="24"/>
        </w:rPr>
      </w:pPr>
    </w:p>
    <w:p w14:paraId="0E47F5F1">
      <w:pPr>
        <w:pStyle w:val="14"/>
        <w:spacing w:line="360" w:lineRule="auto"/>
        <w:rPr>
          <w:rFonts w:ascii="宋体" w:hAnsi="宋体" w:cs="宋体"/>
          <w:color w:val="000000"/>
          <w:kern w:val="0"/>
          <w:sz w:val="24"/>
        </w:rPr>
      </w:pPr>
    </w:p>
    <w:p w14:paraId="0D268B2A">
      <w:pPr>
        <w:pStyle w:val="14"/>
        <w:spacing w:line="360" w:lineRule="auto"/>
        <w:rPr>
          <w:rFonts w:ascii="宋体" w:hAnsi="宋体" w:cs="宋体"/>
          <w:color w:val="000000"/>
          <w:kern w:val="0"/>
          <w:sz w:val="24"/>
        </w:rPr>
      </w:pPr>
    </w:p>
    <w:p w14:paraId="5C681484">
      <w:pPr>
        <w:pStyle w:val="14"/>
        <w:spacing w:line="360" w:lineRule="auto"/>
        <w:rPr>
          <w:rFonts w:ascii="宋体" w:hAnsi="宋体" w:cs="宋体"/>
          <w:color w:val="000000"/>
          <w:kern w:val="0"/>
          <w:sz w:val="24"/>
        </w:rPr>
      </w:pPr>
    </w:p>
    <w:p w14:paraId="26C6291E">
      <w:pPr>
        <w:pStyle w:val="14"/>
        <w:spacing w:line="360" w:lineRule="auto"/>
        <w:rPr>
          <w:rFonts w:ascii="宋体" w:hAnsi="宋体" w:cs="宋体"/>
          <w:color w:val="000000"/>
          <w:kern w:val="0"/>
          <w:sz w:val="24"/>
        </w:rPr>
      </w:pPr>
    </w:p>
    <w:p w14:paraId="05F68A14">
      <w:pPr>
        <w:widowControl/>
        <w:jc w:val="center"/>
        <w:rPr>
          <w:rFonts w:ascii="宋体" w:hAnsi="宋体" w:cs="宋体"/>
          <w:b/>
          <w:kern w:val="0"/>
          <w:sz w:val="24"/>
        </w:rPr>
      </w:pPr>
      <w:r>
        <w:rPr>
          <w:rFonts w:hint="eastAsia" w:ascii="宋体" w:hAnsi="宋体" w:cs="宋体"/>
          <w:color w:val="000000"/>
          <w:kern w:val="0"/>
          <w:sz w:val="32"/>
          <w:szCs w:val="32"/>
        </w:rPr>
        <w:t>十、</w:t>
      </w:r>
      <w:r>
        <w:rPr>
          <w:rFonts w:hint="eastAsia" w:ascii="宋体" w:hAnsi="宋体" w:cs="宋体"/>
          <w:b/>
          <w:bCs/>
          <w:kern w:val="0"/>
          <w:sz w:val="32"/>
          <w:szCs w:val="32"/>
        </w:rPr>
        <w:t>供应商认为需要提供的其他材料</w:t>
      </w:r>
    </w:p>
    <w:p w14:paraId="0EC39F83">
      <w:pPr>
        <w:pStyle w:val="14"/>
        <w:spacing w:line="360" w:lineRule="auto"/>
        <w:rPr>
          <w:rFonts w:ascii="宋体" w:hAnsi="宋体" w:cs="宋体"/>
          <w:color w:val="000000"/>
          <w:kern w:val="0"/>
          <w:sz w:val="24"/>
        </w:rPr>
      </w:pPr>
    </w:p>
    <w:p w14:paraId="02BB4ADC">
      <w:pPr>
        <w:pStyle w:val="14"/>
        <w:spacing w:line="360" w:lineRule="auto"/>
        <w:rPr>
          <w:rFonts w:ascii="宋体" w:hAnsi="宋体" w:cs="宋体"/>
          <w:color w:val="000000"/>
          <w:kern w:val="0"/>
          <w:sz w:val="24"/>
        </w:rPr>
      </w:pPr>
    </w:p>
    <w:p w14:paraId="163A55FA">
      <w:pPr>
        <w:pStyle w:val="14"/>
        <w:spacing w:line="360" w:lineRule="auto"/>
        <w:rPr>
          <w:rFonts w:ascii="宋体" w:hAnsi="宋体" w:cs="宋体"/>
          <w:color w:val="000000"/>
          <w:kern w:val="0"/>
          <w:sz w:val="24"/>
        </w:rPr>
      </w:pPr>
    </w:p>
    <w:p w14:paraId="06E33AC3">
      <w:pPr>
        <w:pStyle w:val="14"/>
        <w:spacing w:line="360" w:lineRule="auto"/>
        <w:rPr>
          <w:rFonts w:ascii="宋体" w:hAnsi="宋体" w:cs="宋体"/>
          <w:color w:val="000000"/>
          <w:kern w:val="0"/>
          <w:sz w:val="24"/>
        </w:rPr>
      </w:pPr>
    </w:p>
    <w:p w14:paraId="187A3C2B">
      <w:pPr>
        <w:pStyle w:val="14"/>
        <w:spacing w:line="360" w:lineRule="auto"/>
        <w:rPr>
          <w:rFonts w:ascii="宋体" w:hAnsi="宋体" w:cs="宋体"/>
          <w:color w:val="000000"/>
          <w:kern w:val="0"/>
          <w:sz w:val="24"/>
        </w:rPr>
      </w:pPr>
    </w:p>
    <w:p w14:paraId="6F203E90">
      <w:pPr>
        <w:pStyle w:val="14"/>
        <w:spacing w:line="360" w:lineRule="auto"/>
        <w:rPr>
          <w:rFonts w:ascii="宋体" w:hAnsi="宋体" w:cs="宋体"/>
          <w:color w:val="000000"/>
          <w:kern w:val="0"/>
          <w:sz w:val="24"/>
        </w:rPr>
      </w:pPr>
    </w:p>
    <w:p w14:paraId="423C7B5A">
      <w:pPr>
        <w:pStyle w:val="14"/>
        <w:spacing w:line="360" w:lineRule="auto"/>
        <w:rPr>
          <w:rFonts w:ascii="宋体" w:hAnsi="宋体" w:cs="宋体"/>
          <w:color w:val="000000"/>
          <w:kern w:val="0"/>
          <w:sz w:val="24"/>
        </w:rPr>
      </w:pPr>
    </w:p>
    <w:p w14:paraId="0DA64F5B">
      <w:pPr>
        <w:pStyle w:val="14"/>
        <w:spacing w:line="360" w:lineRule="auto"/>
        <w:rPr>
          <w:rFonts w:ascii="宋体" w:hAnsi="宋体" w:cs="宋体"/>
          <w:color w:val="000000"/>
          <w:kern w:val="0"/>
          <w:sz w:val="24"/>
        </w:rPr>
      </w:pPr>
    </w:p>
    <w:p w14:paraId="6950AA65">
      <w:pPr>
        <w:pStyle w:val="14"/>
        <w:spacing w:line="360" w:lineRule="auto"/>
        <w:rPr>
          <w:rFonts w:ascii="宋体" w:hAnsi="宋体" w:cs="宋体"/>
          <w:color w:val="000000"/>
          <w:kern w:val="0"/>
          <w:sz w:val="24"/>
        </w:rPr>
      </w:pPr>
    </w:p>
    <w:p w14:paraId="28EC0618">
      <w:pPr>
        <w:pStyle w:val="14"/>
        <w:spacing w:line="360" w:lineRule="auto"/>
        <w:rPr>
          <w:rFonts w:ascii="宋体" w:hAnsi="宋体" w:cs="宋体"/>
          <w:color w:val="000000"/>
          <w:kern w:val="0"/>
          <w:sz w:val="24"/>
        </w:rPr>
      </w:pPr>
    </w:p>
    <w:p w14:paraId="05F9B19A">
      <w:pPr>
        <w:pStyle w:val="14"/>
        <w:spacing w:line="360" w:lineRule="auto"/>
        <w:rPr>
          <w:rFonts w:ascii="宋体" w:hAnsi="宋体" w:cs="宋体"/>
          <w:color w:val="000000"/>
          <w:kern w:val="0"/>
          <w:sz w:val="24"/>
        </w:rPr>
      </w:pPr>
    </w:p>
    <w:p w14:paraId="40F81CC5">
      <w:pPr>
        <w:pStyle w:val="14"/>
        <w:spacing w:line="360" w:lineRule="auto"/>
        <w:rPr>
          <w:rFonts w:ascii="宋体" w:hAnsi="宋体" w:cs="宋体"/>
          <w:color w:val="000000"/>
          <w:kern w:val="0"/>
          <w:sz w:val="24"/>
        </w:rPr>
      </w:pPr>
    </w:p>
    <w:p w14:paraId="4A26C347">
      <w:pPr>
        <w:pStyle w:val="14"/>
        <w:spacing w:line="360" w:lineRule="auto"/>
        <w:rPr>
          <w:rFonts w:ascii="宋体" w:hAnsi="宋体" w:cs="宋体"/>
          <w:color w:val="000000"/>
          <w:kern w:val="0"/>
          <w:sz w:val="24"/>
        </w:rPr>
      </w:pPr>
    </w:p>
    <w:p w14:paraId="66345228">
      <w:pPr>
        <w:pStyle w:val="14"/>
        <w:spacing w:line="360" w:lineRule="auto"/>
        <w:rPr>
          <w:rFonts w:ascii="宋体" w:hAnsi="宋体" w:cs="宋体"/>
          <w:color w:val="000000"/>
          <w:kern w:val="0"/>
          <w:sz w:val="24"/>
        </w:rPr>
      </w:pPr>
    </w:p>
    <w:p w14:paraId="3B6E9D8B">
      <w:pPr>
        <w:pStyle w:val="14"/>
        <w:spacing w:line="360" w:lineRule="auto"/>
        <w:rPr>
          <w:rFonts w:ascii="宋体" w:hAnsi="宋体" w:cs="宋体"/>
          <w:color w:val="000000"/>
          <w:kern w:val="0"/>
          <w:sz w:val="24"/>
        </w:rPr>
      </w:pPr>
    </w:p>
    <w:p w14:paraId="77B7B062">
      <w:pPr>
        <w:pStyle w:val="14"/>
        <w:spacing w:line="360" w:lineRule="auto"/>
        <w:rPr>
          <w:rFonts w:ascii="宋体" w:hAnsi="宋体" w:cs="宋体"/>
          <w:color w:val="000000"/>
          <w:kern w:val="0"/>
          <w:sz w:val="24"/>
        </w:rPr>
      </w:pPr>
    </w:p>
    <w:p w14:paraId="0DA0BD2C">
      <w:pPr>
        <w:pStyle w:val="14"/>
        <w:spacing w:line="360" w:lineRule="auto"/>
        <w:rPr>
          <w:rFonts w:ascii="宋体" w:hAnsi="宋体" w:cs="宋体"/>
          <w:color w:val="000000"/>
          <w:kern w:val="0"/>
          <w:sz w:val="24"/>
        </w:rPr>
      </w:pPr>
    </w:p>
    <w:p w14:paraId="35590ECF">
      <w:pPr>
        <w:pStyle w:val="14"/>
        <w:spacing w:line="360" w:lineRule="auto"/>
        <w:rPr>
          <w:rFonts w:ascii="宋体" w:hAnsi="宋体" w:cs="宋体"/>
          <w:color w:val="000000"/>
          <w:kern w:val="0"/>
          <w:sz w:val="24"/>
        </w:rPr>
      </w:pPr>
    </w:p>
    <w:p w14:paraId="5A93C7D7">
      <w:pPr>
        <w:pStyle w:val="14"/>
        <w:spacing w:line="360" w:lineRule="auto"/>
        <w:rPr>
          <w:rFonts w:ascii="宋体" w:hAnsi="宋体" w:cs="宋体"/>
          <w:color w:val="000000"/>
          <w:kern w:val="0"/>
          <w:sz w:val="24"/>
        </w:rPr>
      </w:pPr>
    </w:p>
    <w:p w14:paraId="3FC30F9B">
      <w:pPr>
        <w:pStyle w:val="14"/>
        <w:spacing w:line="360" w:lineRule="auto"/>
        <w:rPr>
          <w:rFonts w:ascii="宋体" w:hAnsi="宋体" w:cs="宋体"/>
          <w:color w:val="000000"/>
          <w:kern w:val="0"/>
          <w:sz w:val="24"/>
        </w:rPr>
      </w:pPr>
    </w:p>
    <w:p w14:paraId="65928960">
      <w:pPr>
        <w:pStyle w:val="14"/>
        <w:spacing w:line="360" w:lineRule="auto"/>
        <w:rPr>
          <w:rFonts w:ascii="宋体" w:hAnsi="宋体" w:cs="宋体"/>
          <w:color w:val="000000"/>
          <w:kern w:val="0"/>
          <w:sz w:val="24"/>
        </w:rPr>
      </w:pPr>
    </w:p>
    <w:p w14:paraId="7D5AB1DB">
      <w:pPr>
        <w:pStyle w:val="14"/>
        <w:spacing w:line="360" w:lineRule="auto"/>
        <w:rPr>
          <w:rFonts w:ascii="宋体" w:hAnsi="宋体" w:cs="宋体"/>
          <w:color w:val="000000"/>
          <w:kern w:val="0"/>
          <w:sz w:val="24"/>
        </w:rPr>
      </w:pPr>
    </w:p>
    <w:p w14:paraId="2ADCD22C">
      <w:pPr>
        <w:pStyle w:val="14"/>
        <w:spacing w:line="360" w:lineRule="auto"/>
        <w:rPr>
          <w:rFonts w:ascii="宋体" w:hAnsi="宋体" w:cs="宋体"/>
          <w:color w:val="000000"/>
          <w:kern w:val="0"/>
          <w:sz w:val="24"/>
        </w:rPr>
      </w:pPr>
    </w:p>
    <w:p w14:paraId="5455AFD0">
      <w:pPr>
        <w:pStyle w:val="14"/>
        <w:spacing w:line="360" w:lineRule="auto"/>
        <w:rPr>
          <w:rFonts w:ascii="宋体" w:hAnsi="宋体" w:cs="宋体"/>
          <w:color w:val="000000"/>
          <w:kern w:val="0"/>
          <w:sz w:val="24"/>
        </w:rPr>
      </w:pPr>
    </w:p>
    <w:p w14:paraId="6EEB0DA0">
      <w:pPr>
        <w:pStyle w:val="14"/>
        <w:spacing w:line="360" w:lineRule="auto"/>
        <w:rPr>
          <w:rFonts w:ascii="宋体" w:hAnsi="宋体" w:cs="宋体"/>
          <w:color w:val="000000"/>
          <w:kern w:val="0"/>
          <w:sz w:val="24"/>
        </w:rPr>
      </w:pPr>
    </w:p>
    <w:p w14:paraId="700878A7">
      <w:pPr>
        <w:pStyle w:val="14"/>
        <w:spacing w:line="360" w:lineRule="auto"/>
        <w:rPr>
          <w:rFonts w:ascii="宋体" w:hAnsi="宋体" w:cs="宋体"/>
          <w:color w:val="000000"/>
          <w:kern w:val="0"/>
          <w:sz w:val="24"/>
        </w:rPr>
      </w:pPr>
    </w:p>
    <w:p w14:paraId="22B9E583">
      <w:pPr>
        <w:pStyle w:val="14"/>
        <w:spacing w:line="360" w:lineRule="auto"/>
        <w:rPr>
          <w:rFonts w:ascii="宋体" w:hAnsi="宋体" w:cs="宋体"/>
          <w:color w:val="000000"/>
          <w:kern w:val="0"/>
          <w:sz w:val="24"/>
        </w:rPr>
      </w:pPr>
    </w:p>
    <w:p w14:paraId="2C32E163">
      <w:pPr>
        <w:pStyle w:val="14"/>
        <w:spacing w:line="360" w:lineRule="auto"/>
        <w:rPr>
          <w:rFonts w:ascii="宋体" w:hAnsi="宋体" w:cs="宋体"/>
          <w:color w:val="000000"/>
          <w:kern w:val="0"/>
          <w:sz w:val="24"/>
        </w:rPr>
      </w:pPr>
    </w:p>
    <w:p w14:paraId="3F9563C6">
      <w:pPr>
        <w:rPr>
          <w:rFonts w:ascii="宋体" w:hAnsi="宋体" w:eastAsia="宋体" w:cs="宋体"/>
          <w:b/>
          <w:bCs/>
          <w:sz w:val="32"/>
          <w:szCs w:val="32"/>
        </w:rPr>
      </w:pPr>
      <w:r>
        <w:rPr>
          <w:rFonts w:hint="eastAsia" w:ascii="宋体" w:hAnsi="宋体" w:cs="宋体"/>
          <w:b/>
          <w:bCs/>
          <w:sz w:val="32"/>
          <w:szCs w:val="32"/>
        </w:rPr>
        <w:t>附件1：</w:t>
      </w:r>
    </w:p>
    <w:p w14:paraId="7BD426E1">
      <w:pPr>
        <w:pStyle w:val="43"/>
      </w:pPr>
    </w:p>
    <w:p w14:paraId="12434A48">
      <w:pPr>
        <w:keepNext/>
        <w:keepLines/>
        <w:widowControl w:val="0"/>
        <w:spacing w:before="260" w:after="260" w:line="416" w:lineRule="auto"/>
        <w:jc w:val="center"/>
        <w:outlineLvl w:val="1"/>
        <w:rPr>
          <w:rFonts w:hint="eastAsia" w:ascii="宋体" w:hAnsi="宋体" w:eastAsia="宋体" w:cs="宋体"/>
          <w:b/>
          <w:bCs/>
          <w:color w:val="auto"/>
          <w:kern w:val="2"/>
          <w:sz w:val="40"/>
          <w:szCs w:val="40"/>
          <w:highlight w:val="none"/>
          <w:lang w:val="en-US" w:eastAsia="zh-CN" w:bidi="ar-SA"/>
        </w:rPr>
      </w:pPr>
      <w:r>
        <w:rPr>
          <w:rFonts w:hint="eastAsia" w:ascii="宋体" w:hAnsi="宋体" w:eastAsia="宋体" w:cs="Times New Roman"/>
          <w:b/>
          <w:bCs/>
          <w:color w:val="auto"/>
          <w:kern w:val="0"/>
          <w:sz w:val="32"/>
          <w:szCs w:val="22"/>
          <w:highlight w:val="none"/>
          <w:lang w:val="zh-CN" w:eastAsia="zh-CN" w:bidi="ar-SA"/>
        </w:rPr>
        <w:t>中小企业声明函</w:t>
      </w:r>
    </w:p>
    <w:p w14:paraId="017E2E1F">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（单位名称）的</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采购活动，服务全部由符合政策要求的中小企业承接。相关企业（含联合体中的中小企业、签订分包意向协议的中小企业）的具体情况如下：</w:t>
      </w:r>
    </w:p>
    <w:p w14:paraId="2E89EE13">
      <w:pPr>
        <w:numPr>
          <w:ilvl w:val="0"/>
          <w:numId w:val="22"/>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（采购文件中明确的所属行业）；承接企业为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7170D2F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p w14:paraId="58CA163B">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14:paraId="6189D9FC">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本企业对上述声明内容的真实性负责。如有虚假，将依法承担相应责任。 </w:t>
      </w:r>
    </w:p>
    <w:p w14:paraId="61B7DE7A">
      <w:pPr>
        <w:spacing w:line="360" w:lineRule="auto"/>
        <w:jc w:val="both"/>
        <w:rPr>
          <w:rFonts w:hint="eastAsia" w:ascii="宋体" w:hAnsi="宋体" w:eastAsia="宋体" w:cs="宋体"/>
          <w:color w:val="auto"/>
          <w:sz w:val="24"/>
          <w:szCs w:val="24"/>
          <w:highlight w:val="none"/>
          <w:lang w:val="en-US" w:eastAsia="zh-CN"/>
        </w:rPr>
      </w:pPr>
    </w:p>
    <w:p w14:paraId="19E5C978">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企业名称（盖章）： </w:t>
      </w:r>
    </w:p>
    <w:p w14:paraId="51A88C4E">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p>
    <w:p w14:paraId="2085BBF8">
      <w:pPr>
        <w:spacing w:line="360" w:lineRule="auto"/>
        <w:ind w:firstLine="540" w:firstLineChars="225"/>
        <w:rPr>
          <w:rFonts w:hint="eastAsia" w:ascii="宋体" w:hAnsi="宋体" w:eastAsia="宋体" w:cs="宋体"/>
          <w:color w:val="auto"/>
          <w:sz w:val="24"/>
          <w:szCs w:val="24"/>
          <w:highlight w:val="none"/>
          <w:lang w:val="en-US" w:eastAsia="zh-CN"/>
        </w:rPr>
      </w:pPr>
    </w:p>
    <w:p w14:paraId="2CF1F968">
      <w:pPr>
        <w:spacing w:line="360" w:lineRule="auto"/>
        <w:ind w:firstLine="540" w:firstLineChars="225"/>
        <w:rPr>
          <w:rFonts w:hint="eastAsia" w:ascii="Calibri" w:hAnsi="Calibri" w:eastAsia="宋体" w:cs="Times New Roman"/>
          <w:color w:val="auto"/>
          <w:szCs w:val="22"/>
          <w:highlight w:val="none"/>
        </w:rPr>
      </w:pPr>
      <w:r>
        <w:rPr>
          <w:rFonts w:hint="eastAsia" w:ascii="宋体" w:hAnsi="宋体" w:eastAsia="宋体" w:cs="宋体"/>
          <w:color w:val="auto"/>
          <w:sz w:val="24"/>
          <w:szCs w:val="24"/>
          <w:highlight w:val="none"/>
          <w:lang w:val="en-US" w:eastAsia="zh-CN"/>
        </w:rPr>
        <w:t>注：从业人员、营业收入、资产总额填报上一年度数据，无上一年度数据的新成立企业可不填报。</w:t>
      </w:r>
    </w:p>
    <w:p w14:paraId="11F14F4C">
      <w:pPr>
        <w:widowControl/>
        <w:spacing w:line="3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（提醒：</w:t>
      </w:r>
      <w:r>
        <w:rPr>
          <w:rFonts w:hint="eastAsia" w:ascii="宋体" w:hAnsi="宋体" w:eastAsia="宋体" w:cs="宋体"/>
          <w:b/>
          <w:color w:val="auto"/>
          <w:sz w:val="24"/>
          <w:szCs w:val="24"/>
          <w:highlight w:val="none"/>
          <w:lang w:val="en-US" w:eastAsia="zh-CN"/>
        </w:rPr>
        <w:t>1.本项目专门面向中小企业采购，</w:t>
      </w:r>
      <w:r>
        <w:rPr>
          <w:rFonts w:hint="eastAsia" w:ascii="宋体" w:hAnsi="宋体" w:eastAsia="宋体" w:cs="宋体"/>
          <w:b/>
          <w:color w:val="auto"/>
          <w:sz w:val="24"/>
          <w:szCs w:val="24"/>
          <w:highlight w:val="none"/>
        </w:rPr>
        <w:t>参加政府采购活动的中小企业</w:t>
      </w:r>
      <w:r>
        <w:rPr>
          <w:rFonts w:hint="eastAsia" w:ascii="宋体" w:hAnsi="宋体" w:eastAsia="宋体" w:cs="宋体"/>
          <w:b/>
          <w:color w:val="auto"/>
          <w:sz w:val="24"/>
          <w:szCs w:val="24"/>
          <w:highlight w:val="none"/>
          <w:lang w:eastAsia="zh-CN"/>
        </w:rPr>
        <w:t>须</w:t>
      </w:r>
      <w:r>
        <w:rPr>
          <w:rFonts w:hint="eastAsia" w:ascii="宋体" w:hAnsi="宋体" w:eastAsia="宋体" w:cs="宋体"/>
          <w:b/>
          <w:color w:val="auto"/>
          <w:sz w:val="24"/>
          <w:szCs w:val="24"/>
          <w:highlight w:val="none"/>
        </w:rPr>
        <w:t>提供《中小企业声明函》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关于监狱企业：视同小微企业。须提供由省级以上监狱管理局、戒毒管理局（含新疆生产建设兵团）出具的属于监狱企业的证明文件；3.关于残疾人福利性单位：视同小微企业。须提供完整的“残疾人福利性单位声明函”。4.本项目对应的中小企业划分标准所属行业为：批发业</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p w14:paraId="16ABE2EA">
      <w:pPr>
        <w:widowControl/>
        <w:spacing w:before="100" w:beforeAutospacing="1" w:after="100" w:afterAutospacing="1"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br w:type="page"/>
      </w:r>
      <w:r>
        <w:rPr>
          <w:rFonts w:hint="eastAsia" w:ascii="宋体" w:hAnsi="宋体" w:eastAsia="宋体" w:cs="Times New Roman"/>
          <w:color w:val="auto"/>
          <w:kern w:val="2"/>
          <w:sz w:val="28"/>
          <w:szCs w:val="28"/>
          <w:highlight w:val="none"/>
        </w:rPr>
        <w:t>工业和信息化部、国家统计局、国家发展和改革委员会、财政部</w:t>
      </w:r>
    </w:p>
    <w:p w14:paraId="3C9CE020">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《关于印发中小企业划型标准规定的通知》</w:t>
      </w:r>
    </w:p>
    <w:p w14:paraId="430640A4">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工信部联企业〔2011〕300号</w:t>
      </w:r>
    </w:p>
    <w:p w14:paraId="1A6C715E">
      <w:pPr>
        <w:widowControl/>
        <w:spacing w:line="500" w:lineRule="exact"/>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各省、自治区、直辖市人民政府，国务院各部委、各直属机构及有关单位： </w:t>
      </w:r>
    </w:p>
    <w:p w14:paraId="3235B105">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91B4B85">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工业和信息化部 国家统计局 国家发展和改革委员会 财政部 </w:t>
      </w:r>
    </w:p>
    <w:p w14:paraId="5789E869">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二○一一年六月十八日 </w:t>
      </w:r>
    </w:p>
    <w:p w14:paraId="08AD4B4D">
      <w:pPr>
        <w:widowControl/>
        <w:spacing w:line="500" w:lineRule="exact"/>
        <w:jc w:val="center"/>
        <w:rPr>
          <w:rFonts w:hint="eastAsia" w:ascii="宋体" w:hAnsi="宋体" w:eastAsia="宋体" w:cs="Times New Roman"/>
          <w:b/>
          <w:bCs/>
          <w:color w:val="auto"/>
          <w:kern w:val="2"/>
          <w:sz w:val="24"/>
          <w:highlight w:val="none"/>
        </w:rPr>
      </w:pPr>
      <w:r>
        <w:rPr>
          <w:rFonts w:hint="eastAsia" w:ascii="宋体" w:hAnsi="宋体" w:eastAsia="宋体" w:cs="Times New Roman"/>
          <w:b/>
          <w:bCs/>
          <w:color w:val="auto"/>
          <w:kern w:val="2"/>
          <w:sz w:val="24"/>
          <w:highlight w:val="none"/>
        </w:rPr>
        <w:t>中小企业划型标准规定</w:t>
      </w:r>
    </w:p>
    <w:p w14:paraId="185D4FD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一、根据《中华人民共和国中小企业促进法》和《国务院关于进一步促进中小企业发展的若干意见》(国发〔2009〕36号)，制定本规定。</w:t>
      </w:r>
    </w:p>
    <w:p w14:paraId="5EACE7E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二、中小企业划分为中型、小型、微型三种类型，具体标准根据企业从业人员、营业收入、资产总额等指标，结合行业特点制定。</w:t>
      </w:r>
    </w:p>
    <w:p w14:paraId="4A47B312">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06624A">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78" w:name="_Toc6010"/>
      <w:bookmarkStart w:id="179" w:name="_Toc17847"/>
      <w:bookmarkStart w:id="180" w:name="_Toc29921"/>
      <w:bookmarkStart w:id="181" w:name="_Toc9135"/>
      <w:r>
        <w:rPr>
          <w:rFonts w:hint="eastAsia" w:ascii="宋体" w:hAnsi="宋体" w:eastAsia="宋体" w:cs="Times New Roman"/>
          <w:color w:val="auto"/>
          <w:kern w:val="2"/>
          <w:sz w:val="24"/>
          <w:highlight w:val="none"/>
        </w:rPr>
        <w:t>四、各行业划型标准为</w:t>
      </w:r>
      <w:bookmarkEnd w:id="178"/>
      <w:bookmarkEnd w:id="179"/>
      <w:bookmarkEnd w:id="180"/>
      <w:bookmarkEnd w:id="181"/>
    </w:p>
    <w:p w14:paraId="1A7437A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794D2633">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D27B3F">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38167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57F68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649051">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9B5B94">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9DE6B2">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C9796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E97A6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A6C0D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8CF11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5AD04A">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A6D6E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AC4D4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5A4A8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宋体"/>
          <w:color w:val="auto"/>
          <w:kern w:val="2"/>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14:paraId="42E8BB62">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82" w:name="_Toc26804"/>
      <w:bookmarkStart w:id="183" w:name="_Toc4712"/>
      <w:bookmarkStart w:id="184" w:name="_Toc32632"/>
      <w:bookmarkStart w:id="185" w:name="_Toc23545"/>
      <w:r>
        <w:rPr>
          <w:rFonts w:hint="eastAsia" w:ascii="宋体" w:hAnsi="宋体" w:eastAsia="宋体" w:cs="Times New Roman"/>
          <w:color w:val="auto"/>
          <w:kern w:val="2"/>
          <w:sz w:val="24"/>
          <w:highlight w:val="none"/>
        </w:rPr>
        <w:t>五、企业类型的划分以统计部门的统计数据为依据。</w:t>
      </w:r>
      <w:bookmarkEnd w:id="182"/>
      <w:bookmarkEnd w:id="183"/>
      <w:bookmarkEnd w:id="184"/>
      <w:bookmarkEnd w:id="185"/>
    </w:p>
    <w:p w14:paraId="4C0D7D9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六、本规定适用于在中华人民共和国境内依法设立的各类所有制和各种组织形式的企业。个体工商户和本规定以外的行业，参照本规定进行划型。</w:t>
      </w:r>
    </w:p>
    <w:p w14:paraId="051A6C3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B424B7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八、本规定由工业和信息化部、国家统计局会同有关部门根据《国民经济行业分类》修订情况和企业发展变化情况适时修订。</w:t>
      </w:r>
    </w:p>
    <w:p w14:paraId="7C9C11E5">
      <w:pPr>
        <w:widowControl/>
        <w:spacing w:line="500" w:lineRule="exact"/>
        <w:ind w:firstLine="480" w:firstLineChars="200"/>
        <w:jc w:val="left"/>
        <w:rPr>
          <w:rFonts w:hint="eastAsia" w:ascii="宋体" w:hAnsi="宋体" w:eastAsia="宋体" w:cs="Times New Roman"/>
          <w:color w:val="auto"/>
          <w:kern w:val="2"/>
          <w:sz w:val="24"/>
          <w:highlight w:val="none"/>
        </w:rPr>
      </w:pPr>
      <w:bookmarkStart w:id="186" w:name="_Toc28194"/>
      <w:bookmarkStart w:id="187" w:name="_Toc22247"/>
      <w:r>
        <w:rPr>
          <w:rFonts w:hint="eastAsia" w:ascii="宋体" w:hAnsi="宋体" w:eastAsia="宋体" w:cs="Times New Roman"/>
          <w:color w:val="auto"/>
          <w:kern w:val="2"/>
          <w:sz w:val="24"/>
          <w:highlight w:val="none"/>
        </w:rPr>
        <w:t>九、本规定由工业和信息化部、国家统计局会同有关部门负责解释。</w:t>
      </w:r>
      <w:bookmarkEnd w:id="186"/>
      <w:bookmarkEnd w:id="187"/>
    </w:p>
    <w:p w14:paraId="0DBD6F43">
      <w:pPr>
        <w:bidi w:val="0"/>
        <w:rPr>
          <w:rFonts w:hint="eastAsia" w:ascii="Calibri" w:hAnsi="Calibri" w:eastAsia="宋体" w:cs="Times New Roman"/>
          <w:color w:val="auto"/>
          <w:szCs w:val="22"/>
          <w:highlight w:val="none"/>
          <w:lang w:eastAsia="zh-CN"/>
        </w:rPr>
      </w:pPr>
      <w:r>
        <w:rPr>
          <w:rFonts w:hint="eastAsia" w:ascii="宋体" w:hAnsi="宋体" w:eastAsia="宋体" w:cs="Times New Roman"/>
          <w:color w:val="auto"/>
          <w:kern w:val="2"/>
          <w:sz w:val="24"/>
          <w:highlight w:val="none"/>
        </w:rPr>
        <w:t>十、本规定自发布之日起执行，原国家经贸委、原国家计委、财政部和国家统计局2003年颁布的《中小企业标准暂行规定》同时废止。</w:t>
      </w:r>
    </w:p>
    <w:p w14:paraId="34A747EE">
      <w:pPr>
        <w:adjustRightInd w:val="0"/>
        <w:snapToGrid w:val="0"/>
        <w:spacing w:line="360" w:lineRule="auto"/>
        <w:rPr>
          <w:rFonts w:ascii="宋体" w:hAnsi="宋体" w:eastAsia="宋体" w:cs="宋体"/>
          <w:spacing w:val="6"/>
          <w:kern w:val="0"/>
          <w:sz w:val="24"/>
        </w:rPr>
      </w:pPr>
    </w:p>
    <w:p w14:paraId="2F0D8EF9">
      <w:pPr>
        <w:pStyle w:val="20"/>
        <w:ind w:left="0" w:leftChars="0" w:firstLine="0"/>
        <w:rPr>
          <w:rFonts w:ascii="宋体" w:hAnsi="宋体" w:cs="宋体"/>
          <w:color w:val="auto"/>
          <w:sz w:val="24"/>
          <w:szCs w:val="24"/>
        </w:rPr>
        <w:sectPr>
          <w:footerReference r:id="rId5" w:type="default"/>
          <w:pgSz w:w="11910" w:h="16840"/>
          <w:pgMar w:top="1440" w:right="1380" w:bottom="1780" w:left="1580" w:header="0" w:footer="1595" w:gutter="0"/>
          <w:pgNumType w:fmt="decimal"/>
          <w:cols w:space="720" w:num="1"/>
        </w:sectPr>
      </w:pPr>
    </w:p>
    <w:p w14:paraId="27A7689F">
      <w:pPr>
        <w:pageBreakBefore/>
        <w:rPr>
          <w:rFonts w:eastAsia="宋体"/>
          <w:sz w:val="28"/>
          <w:szCs w:val="28"/>
        </w:rPr>
      </w:pPr>
      <w:r>
        <w:rPr>
          <w:rFonts w:hint="eastAsia"/>
          <w:sz w:val="28"/>
          <w:szCs w:val="28"/>
        </w:rPr>
        <w:t>附件2</w:t>
      </w:r>
    </w:p>
    <w:p w14:paraId="5561CB0D">
      <w:pPr>
        <w:pStyle w:val="2"/>
        <w:numPr>
          <w:ilvl w:val="1"/>
          <w:numId w:val="0"/>
        </w:numPr>
        <w:tabs>
          <w:tab w:val="left" w:pos="840"/>
        </w:tabs>
        <w:jc w:val="center"/>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rPr>
        <w:t>监狱企业</w:t>
      </w:r>
      <w:r>
        <w:rPr>
          <w:rFonts w:hint="eastAsia" w:asciiTheme="minorEastAsia" w:hAnsiTheme="minorEastAsia" w:eastAsiaTheme="minorEastAsia" w:cstheme="minorEastAsia"/>
          <w:sz w:val="28"/>
          <w:szCs w:val="28"/>
          <w:lang w:val="en-US" w:eastAsia="zh-CN"/>
        </w:rPr>
        <w:t>声明函</w:t>
      </w:r>
    </w:p>
    <w:p w14:paraId="4C993680">
      <w:pPr>
        <w:widowControl w:val="0"/>
        <w:spacing w:line="312" w:lineRule="auto"/>
        <w:ind w:left="480" w:hanging="480" w:hangingChars="200"/>
        <w:jc w:val="center"/>
        <w:rPr>
          <w:rFonts w:ascii="宋体" w:hAnsi="宋体" w:eastAsia="宋体" w:cs="宋体"/>
          <w:b/>
          <w:color w:val="auto"/>
          <w:spacing w:val="6"/>
          <w:kern w:val="2"/>
          <w:sz w:val="24"/>
          <w:szCs w:val="28"/>
          <w:highlight w:val="none"/>
        </w:rPr>
      </w:pPr>
      <w:r>
        <w:rPr>
          <w:rFonts w:hint="eastAsia" w:ascii="宋体" w:hAnsi="宋体" w:eastAsia="宋体" w:cs="宋体"/>
          <w:color w:val="auto"/>
          <w:kern w:val="2"/>
          <w:sz w:val="24"/>
          <w:szCs w:val="28"/>
          <w:highlight w:val="none"/>
        </w:rPr>
        <w:t>（属于监狱企业的填写，不属于的无需填写此项内容）</w:t>
      </w:r>
    </w:p>
    <w:p w14:paraId="2590269C">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79C44149">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本企业（单位）郑重声明下列事项（按照实际情况填写）：</w:t>
      </w:r>
    </w:p>
    <w:p w14:paraId="365194FA">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本企业（单位）为直接投标人提供本企业（单位）制造的货物。</w:t>
      </w:r>
    </w:p>
    <w:p w14:paraId="4FE3FEA8">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（1）本企业（单位）_________（请填写：是、不是）监狱企业。后附省级以上监狱管理局、戒毒管理局（含新疆生产建设兵团）出具的属于监狱企业的证明文件。</w:t>
      </w:r>
    </w:p>
    <w:p w14:paraId="37491B6D">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2）本企业（单位）_________（请填写：是、不是）为联合体一方，提供本企业（单位）制造的货物，由本企业（单位）承担工程、提供服务。本企业（单位）提供协议合同金额占到共同投标协议合同总金额的比例为。（非联合体投标，将本条删除。）</w:t>
      </w:r>
    </w:p>
    <w:p w14:paraId="4A63A00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本企业（单位）对上述声明的真实性负责。如有虚假，将依法承担相应责任。</w:t>
      </w:r>
    </w:p>
    <w:p w14:paraId="192E79D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3EB88A8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投标人名称：_________（企业电子签章）</w:t>
      </w:r>
    </w:p>
    <w:p w14:paraId="0A2A3706">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61F24F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lang w:eastAsia="zh-CN"/>
        </w:rPr>
        <w:t>法定代表人（经营者）</w:t>
      </w:r>
      <w:r>
        <w:rPr>
          <w:rFonts w:hint="eastAsia" w:ascii="宋体" w:hAnsi="宋体" w:eastAsia="宋体" w:cs="宋体"/>
          <w:color w:val="auto"/>
          <w:kern w:val="2"/>
          <w:sz w:val="24"/>
          <w:szCs w:val="28"/>
          <w:highlight w:val="none"/>
        </w:rPr>
        <w:t>：_________（个人电子签章）</w:t>
      </w:r>
    </w:p>
    <w:p w14:paraId="2C1468A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9F73C22">
      <w:pPr>
        <w:widowControl w:val="0"/>
        <w:snapToGrid w:val="0"/>
        <w:spacing w:line="312" w:lineRule="auto"/>
        <w:ind w:firstLine="480" w:firstLineChars="200"/>
        <w:jc w:val="right"/>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     年    月     日</w:t>
      </w:r>
    </w:p>
    <w:p w14:paraId="0686BC63">
      <w:pPr>
        <w:widowControl w:val="0"/>
        <w:spacing w:line="420" w:lineRule="auto"/>
        <w:ind w:left="2458" w:leftChars="942" w:hanging="480" w:hangingChars="200"/>
        <w:jc w:val="right"/>
        <w:rPr>
          <w:rFonts w:ascii="宋体" w:hAnsi="宋体" w:eastAsia="宋体" w:cs="楷体_GB2312"/>
          <w:color w:val="auto"/>
          <w:kern w:val="2"/>
          <w:sz w:val="24"/>
          <w:szCs w:val="28"/>
          <w:highlight w:val="none"/>
        </w:rPr>
      </w:pPr>
    </w:p>
    <w:p w14:paraId="4C71327D">
      <w:pPr>
        <w:widowControl w:val="0"/>
        <w:autoSpaceDE w:val="0"/>
        <w:autoSpaceDN w:val="0"/>
        <w:adjustRightInd w:val="0"/>
        <w:jc w:val="left"/>
        <w:rPr>
          <w:rFonts w:ascii="宋体" w:hAnsi="宋体" w:eastAsia="宋体" w:cs="宋体"/>
          <w:color w:val="auto"/>
          <w:kern w:val="0"/>
          <w:sz w:val="24"/>
          <w:szCs w:val="28"/>
          <w:highlight w:val="none"/>
        </w:rPr>
      </w:pPr>
      <w:r>
        <w:rPr>
          <w:rFonts w:hint="eastAsia" w:ascii="宋体" w:hAnsi="宋体" w:eastAsia="宋体" w:cs="黑体"/>
          <w:b/>
          <w:color w:val="auto"/>
          <w:kern w:val="0"/>
          <w:sz w:val="24"/>
          <w:szCs w:val="28"/>
          <w:highlight w:val="none"/>
        </w:rPr>
        <w:t>说明：符合要求的单位，按照上述格式进行填写；不属于监狱企业的无需填写此表。</w:t>
      </w:r>
    </w:p>
    <w:p w14:paraId="0FB9268E">
      <w:pPr>
        <w:spacing w:line="360" w:lineRule="auto"/>
        <w:jc w:val="center"/>
        <w:rPr>
          <w:b/>
          <w:bCs/>
          <w:kern w:val="36"/>
          <w:sz w:val="28"/>
          <w:szCs w:val="28"/>
        </w:rPr>
      </w:pPr>
    </w:p>
    <w:p w14:paraId="3FA73799">
      <w:pPr>
        <w:pStyle w:val="11"/>
        <w:ind w:left="1470" w:right="1470"/>
        <w:rPr>
          <w:b/>
          <w:bCs/>
          <w:kern w:val="36"/>
          <w:sz w:val="22"/>
          <w:szCs w:val="42"/>
        </w:rPr>
      </w:pPr>
    </w:p>
    <w:p w14:paraId="44AE75ED">
      <w:pPr>
        <w:pStyle w:val="11"/>
        <w:ind w:left="1470" w:right="1470"/>
        <w:rPr>
          <w:b/>
          <w:bCs/>
          <w:kern w:val="36"/>
          <w:sz w:val="22"/>
          <w:szCs w:val="42"/>
        </w:rPr>
      </w:pPr>
    </w:p>
    <w:p w14:paraId="40186136">
      <w:pPr>
        <w:pStyle w:val="11"/>
        <w:ind w:left="1470" w:right="1470"/>
        <w:rPr>
          <w:b/>
          <w:bCs/>
          <w:kern w:val="36"/>
          <w:sz w:val="22"/>
          <w:szCs w:val="42"/>
        </w:rPr>
      </w:pPr>
    </w:p>
    <w:p w14:paraId="427CB636">
      <w:pPr>
        <w:pStyle w:val="11"/>
        <w:ind w:left="1470" w:right="1470"/>
        <w:rPr>
          <w:b/>
          <w:bCs/>
          <w:kern w:val="36"/>
          <w:sz w:val="22"/>
          <w:szCs w:val="42"/>
        </w:rPr>
      </w:pPr>
    </w:p>
    <w:p w14:paraId="1EBC2EF1">
      <w:pPr>
        <w:pStyle w:val="11"/>
        <w:ind w:left="1470" w:right="1470"/>
        <w:rPr>
          <w:b/>
          <w:bCs/>
          <w:kern w:val="36"/>
          <w:sz w:val="22"/>
          <w:szCs w:val="42"/>
        </w:rPr>
      </w:pPr>
    </w:p>
    <w:p w14:paraId="3798EBCD">
      <w:pPr>
        <w:pStyle w:val="11"/>
        <w:ind w:left="1470" w:right="1470"/>
        <w:rPr>
          <w:b/>
          <w:bCs/>
          <w:kern w:val="36"/>
          <w:sz w:val="22"/>
          <w:szCs w:val="42"/>
        </w:rPr>
      </w:pPr>
    </w:p>
    <w:p w14:paraId="23CE6FC6">
      <w:pPr>
        <w:pStyle w:val="11"/>
        <w:ind w:left="1470" w:right="1470"/>
        <w:rPr>
          <w:b/>
          <w:bCs/>
          <w:kern w:val="36"/>
          <w:sz w:val="22"/>
          <w:szCs w:val="42"/>
        </w:rPr>
      </w:pPr>
    </w:p>
    <w:p w14:paraId="4CD9EA82">
      <w:pPr>
        <w:pageBreakBefore/>
        <w:rPr>
          <w:rFonts w:eastAsia="宋体"/>
          <w:sz w:val="28"/>
          <w:szCs w:val="28"/>
        </w:rPr>
      </w:pPr>
      <w:r>
        <w:rPr>
          <w:rFonts w:hint="eastAsia"/>
          <w:sz w:val="28"/>
          <w:szCs w:val="28"/>
        </w:rPr>
        <w:t>附件3</w:t>
      </w:r>
    </w:p>
    <w:p w14:paraId="1C306177">
      <w:pPr>
        <w:pStyle w:val="11"/>
        <w:spacing w:line="480" w:lineRule="exact"/>
        <w:ind w:left="0" w:leftChars="0" w:right="0" w:rightChars="0"/>
        <w:jc w:val="center"/>
        <w:rPr>
          <w:b/>
          <w:bCs/>
          <w:kern w:val="36"/>
          <w:sz w:val="28"/>
          <w:szCs w:val="28"/>
        </w:rPr>
      </w:pPr>
      <w:r>
        <w:rPr>
          <w:rFonts w:hint="eastAsia"/>
          <w:b/>
          <w:bCs/>
          <w:kern w:val="36"/>
          <w:sz w:val="28"/>
          <w:szCs w:val="28"/>
        </w:rPr>
        <w:t>残疾人福利性单位声明函（如有）</w:t>
      </w:r>
    </w:p>
    <w:p w14:paraId="32A05D85">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B752074">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64A0FDA">
      <w:pPr>
        <w:spacing w:line="360" w:lineRule="auto"/>
        <w:ind w:firstLine="504" w:firstLineChars="200"/>
        <w:rPr>
          <w:rFonts w:hint="eastAsia" w:ascii="宋体" w:hAnsi="宋体" w:eastAsia="宋体" w:cs="宋体"/>
          <w:color w:val="auto"/>
          <w:spacing w:val="6"/>
          <w:sz w:val="24"/>
          <w:szCs w:val="24"/>
          <w:highlight w:val="none"/>
        </w:rPr>
      </w:pPr>
    </w:p>
    <w:p w14:paraId="45855795">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 xml:space="preserve">               单位名称（盖章）：</w:t>
      </w:r>
      <w:r>
        <w:rPr>
          <w:rFonts w:hint="eastAsia" w:ascii="宋体" w:hAnsi="宋体" w:eastAsia="宋体" w:cs="宋体"/>
          <w:color w:val="auto"/>
          <w:spacing w:val="6"/>
          <w:sz w:val="24"/>
          <w:szCs w:val="24"/>
          <w:highlight w:val="none"/>
          <w:u w:val="single"/>
        </w:rPr>
        <w:t xml:space="preserve">                </w:t>
      </w:r>
    </w:p>
    <w:p w14:paraId="275C9AFB">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802A4DC">
      <w:pPr>
        <w:pStyle w:val="14"/>
        <w:spacing w:line="360" w:lineRule="auto"/>
        <w:rPr>
          <w:kern w:val="36"/>
          <w:sz w:val="24"/>
        </w:rPr>
      </w:pPr>
    </w:p>
    <w:p w14:paraId="71BF5C40">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（提醒：如果供应商</w:t>
      </w:r>
      <w:r>
        <w:rPr>
          <w:rFonts w:hint="eastAsia" w:ascii="宋体" w:hAnsi="宋体" w:eastAsia="宋体" w:cs="宋体"/>
          <w:b/>
          <w:color w:val="auto"/>
          <w:spacing w:val="10"/>
          <w:kern w:val="0"/>
          <w:sz w:val="24"/>
          <w:szCs w:val="24"/>
          <w:highlight w:val="none"/>
        </w:rPr>
        <w:t>不是残疾人福利性单位</w:t>
      </w:r>
      <w:r>
        <w:rPr>
          <w:rFonts w:hint="eastAsia" w:ascii="宋体" w:hAnsi="宋体" w:eastAsia="宋体" w:cs="宋体"/>
          <w:b/>
          <w:color w:val="auto"/>
          <w:sz w:val="24"/>
          <w:szCs w:val="24"/>
          <w:highlight w:val="none"/>
        </w:rPr>
        <w:t>，则不需要提供《残疾人福利性单位声明函》。否则，因此导致虚假投标的后果由供应商自行承担。）</w:t>
      </w:r>
    </w:p>
    <w:p w14:paraId="70C65D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《财政部民政部中国残疾人联合会关于促进残疾人就业政府采购政策的通知》（财库2017〔141〕号）的规定：</w:t>
      </w:r>
    </w:p>
    <w:p w14:paraId="420690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享受政府采购支持政策的残疾人福利性单位应当同时满足以下条件：</w:t>
      </w:r>
    </w:p>
    <w:p w14:paraId="1F4278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（1）安置的残疾人占本单位在职职工人数的比例不低于25%（含25%），并且安置的残疾人人数不少于10人（含10人）；</w:t>
      </w:r>
    </w:p>
    <w:p w14:paraId="5DC83F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14:paraId="2C97BF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（3）为安置的每位残疾人按月足额缴纳了基本养老保险、基本医疗保险、失业保险、工伤保险和生育保险等社会保险费；</w:t>
      </w:r>
    </w:p>
    <w:p w14:paraId="1C9F81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（4）通过银行等金融机构向安置的每位残疾人，按月支付了不低于单位所在区县适用的经省级人民政府批准的月最低工资标准的工资；</w:t>
      </w:r>
    </w:p>
    <w:p w14:paraId="123232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631C3F4D">
      <w:pPr>
        <w:pStyle w:val="14"/>
        <w:spacing w:line="360" w:lineRule="auto"/>
        <w:rPr>
          <w:kern w:val="36"/>
          <w:sz w:val="24"/>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为残疾人福利性单位的，</w:t>
      </w:r>
      <w:r>
        <w:rPr>
          <w:rFonts w:hint="eastAsia" w:ascii="宋体" w:hAnsi="宋体" w:eastAsia="宋体" w:cs="宋体"/>
          <w:color w:val="auto"/>
          <w:sz w:val="24"/>
          <w:szCs w:val="24"/>
          <w:highlight w:val="none"/>
          <w:lang w:eastAsia="zh-CN"/>
        </w:rPr>
        <w:t>征集</w:t>
      </w:r>
      <w:r>
        <w:rPr>
          <w:rFonts w:hint="eastAsia" w:ascii="宋体" w:hAnsi="宋体" w:eastAsia="宋体" w:cs="宋体"/>
          <w:color w:val="auto"/>
          <w:sz w:val="24"/>
          <w:szCs w:val="24"/>
          <w:highlight w:val="none"/>
        </w:rPr>
        <w:t>人或者其委托的采购代理机构应当随</w:t>
      </w:r>
      <w:r>
        <w:rPr>
          <w:rFonts w:hint="eastAsia" w:ascii="宋体" w:hAnsi="宋体" w:eastAsia="宋体" w:cs="宋体"/>
          <w:color w:val="auto"/>
          <w:sz w:val="24"/>
          <w:szCs w:val="24"/>
          <w:highlight w:val="none"/>
          <w:lang w:eastAsia="zh-CN"/>
        </w:rPr>
        <w:t>入围</w:t>
      </w:r>
      <w:r>
        <w:rPr>
          <w:rFonts w:hint="eastAsia" w:ascii="宋体" w:hAnsi="宋体" w:eastAsia="宋体" w:cs="宋体"/>
          <w:color w:val="auto"/>
          <w:sz w:val="24"/>
          <w:szCs w:val="24"/>
          <w:highlight w:val="none"/>
        </w:rPr>
        <w:t xml:space="preserve">结果同时公告其《残疾人福利性单位声明函》，接受社会监督。   </w:t>
      </w:r>
    </w:p>
    <w:p w14:paraId="2868EF46">
      <w:pPr>
        <w:pStyle w:val="14"/>
        <w:spacing w:line="360" w:lineRule="auto"/>
        <w:rPr>
          <w:kern w:val="36"/>
          <w:sz w:val="24"/>
        </w:rPr>
      </w:pPr>
    </w:p>
    <w:p w14:paraId="16D0D09E">
      <w:pPr>
        <w:pStyle w:val="14"/>
        <w:spacing w:line="360" w:lineRule="auto"/>
        <w:rPr>
          <w:kern w:val="36"/>
          <w:sz w:val="24"/>
        </w:rPr>
      </w:pPr>
    </w:p>
    <w:p w14:paraId="07E5F490">
      <w:pPr>
        <w:pStyle w:val="14"/>
        <w:spacing w:line="360" w:lineRule="auto"/>
        <w:rPr>
          <w:kern w:val="36"/>
          <w:sz w:val="24"/>
        </w:rPr>
      </w:pPr>
    </w:p>
    <w:p w14:paraId="732443A3">
      <w:pPr>
        <w:pStyle w:val="14"/>
        <w:spacing w:line="360" w:lineRule="auto"/>
        <w:rPr>
          <w:kern w:val="36"/>
          <w:sz w:val="24"/>
        </w:rPr>
      </w:pPr>
    </w:p>
    <w:p w14:paraId="3A542A33">
      <w:pPr>
        <w:pStyle w:val="14"/>
        <w:spacing w:line="360" w:lineRule="auto"/>
        <w:rPr>
          <w:kern w:val="36"/>
          <w:sz w:val="24"/>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宋体-18030">
    <w:altName w:val="宋体"/>
    <w:panose1 w:val="00000000000000000000"/>
    <w:charset w:val="86"/>
    <w:family w:val="modern"/>
    <w:pitch w:val="default"/>
    <w:sig w:usb0="00000000" w:usb1="00000000" w:usb2="000A005E"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51D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5BED42">
                          <w:pPr>
                            <w:pStyle w:val="1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445BED42">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D99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0C66D">
                          <w:pPr>
                            <w:pStyle w:val="14"/>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ymsI39sBAAC2AwAADgAAAAAAAAAB&#10;ACAAAAAfAQAAZHJzL2Uyb0RvYy54bWxQSwUGAAAAAAYABgBZAQAAbAUAAAAA&#10;">
              <v:fill on="f" focussize="0,0"/>
              <v:stroke on="f" weight="0.5pt"/>
              <v:imagedata o:title=""/>
              <o:lock v:ext="edit" aspectratio="f"/>
              <v:textbox inset="0mm,0mm,0mm,0mm" style="mso-fit-shape-to-text:t;">
                <w:txbxContent>
                  <w:p w14:paraId="4610C66D">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9E15">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732289">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37732289">
                    <w:pPr>
                      <w:pStyle w:val="1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334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8398"/>
    <w:multiLevelType w:val="singleLevel"/>
    <w:tmpl w:val="8F8A8398"/>
    <w:lvl w:ilvl="0" w:tentative="0">
      <w:start w:val="1"/>
      <w:numFmt w:val="decimal"/>
      <w:lvlText w:val="%1."/>
      <w:lvlJc w:val="left"/>
      <w:pPr>
        <w:tabs>
          <w:tab w:val="left" w:pos="312"/>
        </w:tabs>
      </w:pPr>
    </w:lvl>
  </w:abstractNum>
  <w:abstractNum w:abstractNumId="1">
    <w:nsid w:val="A9C7A1F4"/>
    <w:multiLevelType w:val="singleLevel"/>
    <w:tmpl w:val="A9C7A1F4"/>
    <w:lvl w:ilvl="0" w:tentative="0">
      <w:start w:val="1"/>
      <w:numFmt w:val="decimal"/>
      <w:lvlText w:val="%1."/>
      <w:lvlJc w:val="left"/>
      <w:pPr>
        <w:tabs>
          <w:tab w:val="left" w:pos="312"/>
        </w:tabs>
      </w:pPr>
    </w:lvl>
  </w:abstractNum>
  <w:abstractNum w:abstractNumId="2">
    <w:nsid w:val="C79E5E8D"/>
    <w:multiLevelType w:val="singleLevel"/>
    <w:tmpl w:val="C79E5E8D"/>
    <w:lvl w:ilvl="0" w:tentative="0">
      <w:start w:val="1"/>
      <w:numFmt w:val="decimal"/>
      <w:lvlText w:val="%1."/>
      <w:lvlJc w:val="left"/>
      <w:pPr>
        <w:tabs>
          <w:tab w:val="left" w:pos="312"/>
        </w:tabs>
      </w:pPr>
    </w:lvl>
  </w:abstractNum>
  <w:abstractNum w:abstractNumId="3">
    <w:nsid w:val="CA0DDF9B"/>
    <w:multiLevelType w:val="singleLevel"/>
    <w:tmpl w:val="CA0DDF9B"/>
    <w:lvl w:ilvl="0" w:tentative="0">
      <w:start w:val="2"/>
      <w:numFmt w:val="chineseCounting"/>
      <w:suff w:val="nothing"/>
      <w:lvlText w:val="（%1）"/>
      <w:lvlJc w:val="left"/>
      <w:rPr>
        <w:rFonts w:hint="eastAsia"/>
      </w:rPr>
    </w:lvl>
  </w:abstractNum>
  <w:abstractNum w:abstractNumId="4">
    <w:nsid w:val="D23609D8"/>
    <w:multiLevelType w:val="singleLevel"/>
    <w:tmpl w:val="D23609D8"/>
    <w:lvl w:ilvl="0" w:tentative="0">
      <w:start w:val="2"/>
      <w:numFmt w:val="decimal"/>
      <w:suff w:val="nothing"/>
      <w:lvlText w:val="%1、"/>
      <w:lvlJc w:val="left"/>
    </w:lvl>
  </w:abstractNum>
  <w:abstractNum w:abstractNumId="5">
    <w:nsid w:val="D6CC2C1E"/>
    <w:multiLevelType w:val="singleLevel"/>
    <w:tmpl w:val="D6CC2C1E"/>
    <w:lvl w:ilvl="0" w:tentative="0">
      <w:start w:val="6"/>
      <w:numFmt w:val="decimal"/>
      <w:suff w:val="nothing"/>
      <w:lvlText w:val="（%1）"/>
      <w:lvlJc w:val="left"/>
    </w:lvl>
  </w:abstractNum>
  <w:abstractNum w:abstractNumId="6">
    <w:nsid w:val="F27C45A3"/>
    <w:multiLevelType w:val="singleLevel"/>
    <w:tmpl w:val="F27C45A3"/>
    <w:lvl w:ilvl="0" w:tentative="0">
      <w:start w:val="1"/>
      <w:numFmt w:val="decimal"/>
      <w:suff w:val="space"/>
      <w:lvlText w:val="%1."/>
      <w:lvlJc w:val="left"/>
    </w:lvl>
  </w:abstractNum>
  <w:abstractNum w:abstractNumId="7">
    <w:nsid w:val="F6D14886"/>
    <w:multiLevelType w:val="singleLevel"/>
    <w:tmpl w:val="F6D14886"/>
    <w:lvl w:ilvl="0" w:tentative="0">
      <w:start w:val="3"/>
      <w:numFmt w:val="chineseCounting"/>
      <w:suff w:val="nothing"/>
      <w:lvlText w:val="%1、"/>
      <w:lvlJc w:val="left"/>
      <w:rPr>
        <w:rFonts w:hint="eastAsia"/>
      </w:rPr>
    </w:lvl>
  </w:abstractNum>
  <w:abstractNum w:abstractNumId="8">
    <w:nsid w:val="F9C812F1"/>
    <w:multiLevelType w:val="singleLevel"/>
    <w:tmpl w:val="F9C812F1"/>
    <w:lvl w:ilvl="0" w:tentative="0">
      <w:start w:val="1"/>
      <w:numFmt w:val="decimal"/>
      <w:suff w:val="nothing"/>
      <w:lvlText w:val="（%1）"/>
      <w:lvlJc w:val="left"/>
    </w:lvl>
  </w:abstractNum>
  <w:abstractNum w:abstractNumId="9">
    <w:nsid w:val="0A915A81"/>
    <w:multiLevelType w:val="singleLevel"/>
    <w:tmpl w:val="0A915A81"/>
    <w:lvl w:ilvl="0" w:tentative="0">
      <w:start w:val="1"/>
      <w:numFmt w:val="decimal"/>
      <w:lvlText w:val="%1."/>
      <w:lvlJc w:val="left"/>
      <w:pPr>
        <w:tabs>
          <w:tab w:val="left" w:pos="312"/>
        </w:tabs>
      </w:pPr>
    </w:lvl>
  </w:abstractNum>
  <w:abstractNum w:abstractNumId="10">
    <w:nsid w:val="15BE4B79"/>
    <w:multiLevelType w:val="singleLevel"/>
    <w:tmpl w:val="15BE4B79"/>
    <w:lvl w:ilvl="0" w:tentative="0">
      <w:start w:val="3"/>
      <w:numFmt w:val="decimal"/>
      <w:suff w:val="space"/>
      <w:lvlText w:val="%1."/>
      <w:lvlJc w:val="left"/>
    </w:lvl>
  </w:abstractNum>
  <w:abstractNum w:abstractNumId="11">
    <w:nsid w:val="247117B6"/>
    <w:multiLevelType w:val="singleLevel"/>
    <w:tmpl w:val="247117B6"/>
    <w:lvl w:ilvl="0" w:tentative="0">
      <w:start w:val="2"/>
      <w:numFmt w:val="decimal"/>
      <w:suff w:val="nothing"/>
      <w:lvlText w:val="%1、"/>
      <w:lvlJc w:val="left"/>
    </w:lvl>
  </w:abstractNum>
  <w:abstractNum w:abstractNumId="12">
    <w:nsid w:val="257F2F97"/>
    <w:multiLevelType w:val="singleLevel"/>
    <w:tmpl w:val="257F2F97"/>
    <w:lvl w:ilvl="0" w:tentative="0">
      <w:start w:val="4"/>
      <w:numFmt w:val="chineseCounting"/>
      <w:suff w:val="space"/>
      <w:lvlText w:val="第%1章"/>
      <w:lvlJc w:val="left"/>
      <w:rPr>
        <w:rFonts w:hint="eastAsia"/>
      </w:rPr>
    </w:lvl>
  </w:abstractNum>
  <w:abstractNum w:abstractNumId="13">
    <w:nsid w:val="298AF2D8"/>
    <w:multiLevelType w:val="singleLevel"/>
    <w:tmpl w:val="298AF2D8"/>
    <w:lvl w:ilvl="0" w:tentative="0">
      <w:start w:val="1"/>
      <w:numFmt w:val="decimal"/>
      <w:lvlText w:val="%1."/>
      <w:lvlJc w:val="left"/>
      <w:pPr>
        <w:tabs>
          <w:tab w:val="left" w:pos="312"/>
        </w:tabs>
      </w:pPr>
    </w:lvl>
  </w:abstractNum>
  <w:abstractNum w:abstractNumId="14">
    <w:nsid w:val="30E055EC"/>
    <w:multiLevelType w:val="singleLevel"/>
    <w:tmpl w:val="30E055EC"/>
    <w:lvl w:ilvl="0" w:tentative="0">
      <w:start w:val="1"/>
      <w:numFmt w:val="decimal"/>
      <w:lvlText w:val="%1."/>
      <w:lvlJc w:val="left"/>
      <w:pPr>
        <w:tabs>
          <w:tab w:val="left" w:pos="312"/>
        </w:tabs>
      </w:pPr>
    </w:lvl>
  </w:abstractNum>
  <w:abstractNum w:abstractNumId="15">
    <w:nsid w:val="35D3902C"/>
    <w:multiLevelType w:val="singleLevel"/>
    <w:tmpl w:val="35D3902C"/>
    <w:lvl w:ilvl="0" w:tentative="0">
      <w:start w:val="1"/>
      <w:numFmt w:val="decimal"/>
      <w:suff w:val="nothing"/>
      <w:lvlText w:val="%1、"/>
      <w:lvlJc w:val="left"/>
    </w:lvl>
  </w:abstractNum>
  <w:abstractNum w:abstractNumId="16">
    <w:nsid w:val="481DA83E"/>
    <w:multiLevelType w:val="singleLevel"/>
    <w:tmpl w:val="481DA83E"/>
    <w:lvl w:ilvl="0" w:tentative="0">
      <w:start w:val="2"/>
      <w:numFmt w:val="decimal"/>
      <w:suff w:val="nothing"/>
      <w:lvlText w:val="%1、"/>
      <w:lvlJc w:val="left"/>
    </w:lvl>
  </w:abstractNum>
  <w:abstractNum w:abstractNumId="17">
    <w:nsid w:val="4E4D4F62"/>
    <w:multiLevelType w:val="singleLevel"/>
    <w:tmpl w:val="4E4D4F62"/>
    <w:lvl w:ilvl="0" w:tentative="0">
      <w:start w:val="1"/>
      <w:numFmt w:val="decimal"/>
      <w:lvlText w:val="%1."/>
      <w:lvlJc w:val="left"/>
      <w:pPr>
        <w:tabs>
          <w:tab w:val="left" w:pos="312"/>
        </w:tabs>
      </w:pPr>
    </w:lvl>
  </w:abstractNum>
  <w:abstractNum w:abstractNumId="18">
    <w:nsid w:val="68237E89"/>
    <w:multiLevelType w:val="singleLevel"/>
    <w:tmpl w:val="68237E89"/>
    <w:lvl w:ilvl="0" w:tentative="0">
      <w:start w:val="6"/>
      <w:numFmt w:val="decimal"/>
      <w:suff w:val="nothing"/>
      <w:lvlText w:val="%1、"/>
      <w:lvlJc w:val="left"/>
    </w:lvl>
  </w:abstractNum>
  <w:abstractNum w:abstractNumId="19">
    <w:nsid w:val="6A4F9DFD"/>
    <w:multiLevelType w:val="singleLevel"/>
    <w:tmpl w:val="6A4F9DFD"/>
    <w:lvl w:ilvl="0" w:tentative="0">
      <w:start w:val="1"/>
      <w:numFmt w:val="decimal"/>
      <w:lvlText w:val="%1."/>
      <w:lvlJc w:val="left"/>
      <w:pPr>
        <w:tabs>
          <w:tab w:val="left" w:pos="312"/>
        </w:tabs>
      </w:pPr>
    </w:lvl>
  </w:abstractNum>
  <w:abstractNum w:abstractNumId="20">
    <w:nsid w:val="6B500569"/>
    <w:multiLevelType w:val="singleLevel"/>
    <w:tmpl w:val="6B500569"/>
    <w:lvl w:ilvl="0" w:tentative="0">
      <w:start w:val="1"/>
      <w:numFmt w:val="decimal"/>
      <w:lvlText w:val="%1."/>
      <w:lvlJc w:val="left"/>
      <w:pPr>
        <w:tabs>
          <w:tab w:val="left" w:pos="312"/>
        </w:tabs>
      </w:pPr>
    </w:lvl>
  </w:abstractNum>
  <w:abstractNum w:abstractNumId="21">
    <w:nsid w:val="758C7DF3"/>
    <w:multiLevelType w:val="singleLevel"/>
    <w:tmpl w:val="758C7DF3"/>
    <w:lvl w:ilvl="0" w:tentative="0">
      <w:start w:val="1"/>
      <w:numFmt w:val="decimal"/>
      <w:lvlText w:val="%1."/>
      <w:lvlJc w:val="left"/>
      <w:pPr>
        <w:tabs>
          <w:tab w:val="left" w:pos="312"/>
        </w:tabs>
      </w:pPr>
    </w:lvl>
  </w:abstractNum>
  <w:num w:numId="1">
    <w:abstractNumId w:val="18"/>
  </w:num>
  <w:num w:numId="2">
    <w:abstractNumId w:val="16"/>
  </w:num>
  <w:num w:numId="3">
    <w:abstractNumId w:val="5"/>
  </w:num>
  <w:num w:numId="4">
    <w:abstractNumId w:val="8"/>
  </w:num>
  <w:num w:numId="5">
    <w:abstractNumId w:val="15"/>
  </w:num>
  <w:num w:numId="6">
    <w:abstractNumId w:val="9"/>
  </w:num>
  <w:num w:numId="7">
    <w:abstractNumId w:val="13"/>
  </w:num>
  <w:num w:numId="8">
    <w:abstractNumId w:val="17"/>
  </w:num>
  <w:num w:numId="9">
    <w:abstractNumId w:val="19"/>
  </w:num>
  <w:num w:numId="10">
    <w:abstractNumId w:val="21"/>
  </w:num>
  <w:num w:numId="11">
    <w:abstractNumId w:val="2"/>
  </w:num>
  <w:num w:numId="12">
    <w:abstractNumId w:val="0"/>
  </w:num>
  <w:num w:numId="13">
    <w:abstractNumId w:val="14"/>
  </w:num>
  <w:num w:numId="14">
    <w:abstractNumId w:val="1"/>
  </w:num>
  <w:num w:numId="15">
    <w:abstractNumId w:val="20"/>
  </w:num>
  <w:num w:numId="16">
    <w:abstractNumId w:val="12"/>
  </w:num>
  <w:num w:numId="17">
    <w:abstractNumId w:val="7"/>
  </w:num>
  <w:num w:numId="18">
    <w:abstractNumId w:val="4"/>
  </w:num>
  <w:num w:numId="19">
    <w:abstractNumId w:val="11"/>
  </w:num>
  <w:num w:numId="20">
    <w:abstractNumId w:val="10"/>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hLeX6IlkHEO08C1Dno+OCFroT/s=" w:salt="bG4jkKcs+le8Qe7PRFER5Q=="/>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7F"/>
    <w:rsid w:val="00575993"/>
    <w:rsid w:val="006E51A5"/>
    <w:rsid w:val="00714B91"/>
    <w:rsid w:val="008075A2"/>
    <w:rsid w:val="0087167F"/>
    <w:rsid w:val="009D15DF"/>
    <w:rsid w:val="009E757F"/>
    <w:rsid w:val="00AD4305"/>
    <w:rsid w:val="00B46918"/>
    <w:rsid w:val="00CF1A09"/>
    <w:rsid w:val="00D66075"/>
    <w:rsid w:val="00D92260"/>
    <w:rsid w:val="00E767A4"/>
    <w:rsid w:val="00FB79EE"/>
    <w:rsid w:val="01984B01"/>
    <w:rsid w:val="025B4AD9"/>
    <w:rsid w:val="03844968"/>
    <w:rsid w:val="0394079A"/>
    <w:rsid w:val="0399281C"/>
    <w:rsid w:val="047F2D99"/>
    <w:rsid w:val="049E325B"/>
    <w:rsid w:val="04D53AE6"/>
    <w:rsid w:val="052A2F63"/>
    <w:rsid w:val="056A3A4A"/>
    <w:rsid w:val="059211F2"/>
    <w:rsid w:val="05C67A45"/>
    <w:rsid w:val="06034FE3"/>
    <w:rsid w:val="06936FD0"/>
    <w:rsid w:val="06970224"/>
    <w:rsid w:val="06986394"/>
    <w:rsid w:val="069A65B0"/>
    <w:rsid w:val="06C40A7C"/>
    <w:rsid w:val="06E4782C"/>
    <w:rsid w:val="07247C28"/>
    <w:rsid w:val="0728572E"/>
    <w:rsid w:val="08394C0F"/>
    <w:rsid w:val="09166672"/>
    <w:rsid w:val="094927E6"/>
    <w:rsid w:val="0A03621B"/>
    <w:rsid w:val="0A1C5739"/>
    <w:rsid w:val="0A833B0A"/>
    <w:rsid w:val="0B0C10FF"/>
    <w:rsid w:val="0B4500E7"/>
    <w:rsid w:val="0C142961"/>
    <w:rsid w:val="0C8013C6"/>
    <w:rsid w:val="0CE82E9F"/>
    <w:rsid w:val="0D6760E8"/>
    <w:rsid w:val="0D682B88"/>
    <w:rsid w:val="0E19425F"/>
    <w:rsid w:val="0ECC21BA"/>
    <w:rsid w:val="0F5A14BD"/>
    <w:rsid w:val="0FAA03E3"/>
    <w:rsid w:val="0FE67F22"/>
    <w:rsid w:val="0FFF2EBC"/>
    <w:rsid w:val="10231F70"/>
    <w:rsid w:val="10385E15"/>
    <w:rsid w:val="10584B86"/>
    <w:rsid w:val="112A22DF"/>
    <w:rsid w:val="11460BA2"/>
    <w:rsid w:val="114A0BD3"/>
    <w:rsid w:val="114E63FB"/>
    <w:rsid w:val="12394ECF"/>
    <w:rsid w:val="12694AAA"/>
    <w:rsid w:val="12896799"/>
    <w:rsid w:val="129F0AAB"/>
    <w:rsid w:val="12D270D2"/>
    <w:rsid w:val="12F859BA"/>
    <w:rsid w:val="141D6640"/>
    <w:rsid w:val="144162BD"/>
    <w:rsid w:val="147379ED"/>
    <w:rsid w:val="1497793C"/>
    <w:rsid w:val="15E23E69"/>
    <w:rsid w:val="16106529"/>
    <w:rsid w:val="162163A6"/>
    <w:rsid w:val="16612B3B"/>
    <w:rsid w:val="173B5615"/>
    <w:rsid w:val="180807A3"/>
    <w:rsid w:val="18722055"/>
    <w:rsid w:val="18904D76"/>
    <w:rsid w:val="18981B83"/>
    <w:rsid w:val="18AC422A"/>
    <w:rsid w:val="18C272A1"/>
    <w:rsid w:val="1942379C"/>
    <w:rsid w:val="19650358"/>
    <w:rsid w:val="19B47531"/>
    <w:rsid w:val="1A5B218C"/>
    <w:rsid w:val="1A82037F"/>
    <w:rsid w:val="1A9940EB"/>
    <w:rsid w:val="1AF126DD"/>
    <w:rsid w:val="1BBA3594"/>
    <w:rsid w:val="1C136791"/>
    <w:rsid w:val="1C3404B6"/>
    <w:rsid w:val="1C805614"/>
    <w:rsid w:val="1C99656B"/>
    <w:rsid w:val="1CA05B4B"/>
    <w:rsid w:val="1CB2711E"/>
    <w:rsid w:val="1CEC2B3E"/>
    <w:rsid w:val="1D4806BC"/>
    <w:rsid w:val="1D4870A6"/>
    <w:rsid w:val="1D8677F8"/>
    <w:rsid w:val="1DD653E5"/>
    <w:rsid w:val="1DD957B9"/>
    <w:rsid w:val="1DF47EFC"/>
    <w:rsid w:val="1EB45BC4"/>
    <w:rsid w:val="1EC23A92"/>
    <w:rsid w:val="1F1D7927"/>
    <w:rsid w:val="1F9835FA"/>
    <w:rsid w:val="1FA613AA"/>
    <w:rsid w:val="1FF73572"/>
    <w:rsid w:val="1FFC578E"/>
    <w:rsid w:val="201963A7"/>
    <w:rsid w:val="20D34741"/>
    <w:rsid w:val="21DF2C72"/>
    <w:rsid w:val="22761828"/>
    <w:rsid w:val="22AA60A6"/>
    <w:rsid w:val="22E04EF3"/>
    <w:rsid w:val="22EA2BFC"/>
    <w:rsid w:val="236E69A3"/>
    <w:rsid w:val="23D32A15"/>
    <w:rsid w:val="23F450EF"/>
    <w:rsid w:val="24C525F3"/>
    <w:rsid w:val="24D4701B"/>
    <w:rsid w:val="24F24C41"/>
    <w:rsid w:val="25021BC4"/>
    <w:rsid w:val="25A42208"/>
    <w:rsid w:val="25FD4869"/>
    <w:rsid w:val="26B313B3"/>
    <w:rsid w:val="2726312B"/>
    <w:rsid w:val="280653D2"/>
    <w:rsid w:val="283755B5"/>
    <w:rsid w:val="28DA4193"/>
    <w:rsid w:val="29363ABF"/>
    <w:rsid w:val="294949C1"/>
    <w:rsid w:val="29526F4B"/>
    <w:rsid w:val="29527256"/>
    <w:rsid w:val="2A0E67EA"/>
    <w:rsid w:val="2A375D41"/>
    <w:rsid w:val="2A8820F8"/>
    <w:rsid w:val="2ADB7865"/>
    <w:rsid w:val="2B465B0F"/>
    <w:rsid w:val="2B500B79"/>
    <w:rsid w:val="2B514DDE"/>
    <w:rsid w:val="2C610E53"/>
    <w:rsid w:val="2C672279"/>
    <w:rsid w:val="2D0E4409"/>
    <w:rsid w:val="2D131DF4"/>
    <w:rsid w:val="2D4E5A09"/>
    <w:rsid w:val="2DAC0A59"/>
    <w:rsid w:val="2E27375D"/>
    <w:rsid w:val="2E3F6F72"/>
    <w:rsid w:val="2EDA313F"/>
    <w:rsid w:val="2EDF2503"/>
    <w:rsid w:val="2EFF3C8C"/>
    <w:rsid w:val="2F414F6C"/>
    <w:rsid w:val="2FEF392B"/>
    <w:rsid w:val="2FF95D19"/>
    <w:rsid w:val="300202B2"/>
    <w:rsid w:val="30506E25"/>
    <w:rsid w:val="30BD5973"/>
    <w:rsid w:val="30FF7CDA"/>
    <w:rsid w:val="31E54437"/>
    <w:rsid w:val="32364B30"/>
    <w:rsid w:val="32C17E4B"/>
    <w:rsid w:val="33292B1C"/>
    <w:rsid w:val="35721AE4"/>
    <w:rsid w:val="36D4587D"/>
    <w:rsid w:val="37E81E4B"/>
    <w:rsid w:val="38080D1C"/>
    <w:rsid w:val="38934A8A"/>
    <w:rsid w:val="39777BB3"/>
    <w:rsid w:val="39D62AD1"/>
    <w:rsid w:val="3A2B3769"/>
    <w:rsid w:val="3A683CF4"/>
    <w:rsid w:val="3A6A7A6C"/>
    <w:rsid w:val="3A9C399E"/>
    <w:rsid w:val="3AEF1D20"/>
    <w:rsid w:val="3BA53D60"/>
    <w:rsid w:val="3BB05953"/>
    <w:rsid w:val="3C7E77FF"/>
    <w:rsid w:val="3D1E2E1E"/>
    <w:rsid w:val="3D7824A0"/>
    <w:rsid w:val="3D956BAE"/>
    <w:rsid w:val="3DC96858"/>
    <w:rsid w:val="3DFF227A"/>
    <w:rsid w:val="3E6B0D94"/>
    <w:rsid w:val="3E974BA8"/>
    <w:rsid w:val="3F1F4B7D"/>
    <w:rsid w:val="3F2B709E"/>
    <w:rsid w:val="3FA330D9"/>
    <w:rsid w:val="3FCC0881"/>
    <w:rsid w:val="405C1C05"/>
    <w:rsid w:val="40B86738"/>
    <w:rsid w:val="41A07BE8"/>
    <w:rsid w:val="41D37CA5"/>
    <w:rsid w:val="42CA3174"/>
    <w:rsid w:val="470E6AAB"/>
    <w:rsid w:val="47280A93"/>
    <w:rsid w:val="475C24EB"/>
    <w:rsid w:val="48157AE6"/>
    <w:rsid w:val="48727D3D"/>
    <w:rsid w:val="48B034E1"/>
    <w:rsid w:val="48E855EF"/>
    <w:rsid w:val="495055F7"/>
    <w:rsid w:val="4A6718D3"/>
    <w:rsid w:val="4AFD5D93"/>
    <w:rsid w:val="4B95421D"/>
    <w:rsid w:val="4BB60F6D"/>
    <w:rsid w:val="4C0A07FC"/>
    <w:rsid w:val="4D376607"/>
    <w:rsid w:val="4D534390"/>
    <w:rsid w:val="4DC763AF"/>
    <w:rsid w:val="4DD2484C"/>
    <w:rsid w:val="4DFF311A"/>
    <w:rsid w:val="4E352B5E"/>
    <w:rsid w:val="4E616639"/>
    <w:rsid w:val="4FA47125"/>
    <w:rsid w:val="512609C2"/>
    <w:rsid w:val="519578E5"/>
    <w:rsid w:val="51EE6435"/>
    <w:rsid w:val="527F1783"/>
    <w:rsid w:val="5287700B"/>
    <w:rsid w:val="5305333E"/>
    <w:rsid w:val="53C25617"/>
    <w:rsid w:val="547277F2"/>
    <w:rsid w:val="54A75D58"/>
    <w:rsid w:val="54BA2C46"/>
    <w:rsid w:val="54BE59BB"/>
    <w:rsid w:val="54FB6A1D"/>
    <w:rsid w:val="550F3292"/>
    <w:rsid w:val="55280719"/>
    <w:rsid w:val="55B21E97"/>
    <w:rsid w:val="55F72AF6"/>
    <w:rsid w:val="56B8064D"/>
    <w:rsid w:val="57517B92"/>
    <w:rsid w:val="58523BC2"/>
    <w:rsid w:val="58737694"/>
    <w:rsid w:val="587F332E"/>
    <w:rsid w:val="58825B29"/>
    <w:rsid w:val="588C0756"/>
    <w:rsid w:val="58981391"/>
    <w:rsid w:val="58E14F46"/>
    <w:rsid w:val="59F111B9"/>
    <w:rsid w:val="5A2126FC"/>
    <w:rsid w:val="5A4A08C9"/>
    <w:rsid w:val="5A6D6C90"/>
    <w:rsid w:val="5AA131CC"/>
    <w:rsid w:val="5AA4447D"/>
    <w:rsid w:val="5B5E63DA"/>
    <w:rsid w:val="5BC052E6"/>
    <w:rsid w:val="5CF36FF6"/>
    <w:rsid w:val="5D011940"/>
    <w:rsid w:val="5DF27AF2"/>
    <w:rsid w:val="5E3478C6"/>
    <w:rsid w:val="5E742C05"/>
    <w:rsid w:val="5F4668F4"/>
    <w:rsid w:val="5F5C63AA"/>
    <w:rsid w:val="5F7206A6"/>
    <w:rsid w:val="5FA8056B"/>
    <w:rsid w:val="5FBA0699"/>
    <w:rsid w:val="60E86C75"/>
    <w:rsid w:val="61A13C8C"/>
    <w:rsid w:val="625A5E14"/>
    <w:rsid w:val="632C14B3"/>
    <w:rsid w:val="63B12D02"/>
    <w:rsid w:val="63D11782"/>
    <w:rsid w:val="63D735BF"/>
    <w:rsid w:val="64C61C79"/>
    <w:rsid w:val="64E062C8"/>
    <w:rsid w:val="654F4FE5"/>
    <w:rsid w:val="65C15EE3"/>
    <w:rsid w:val="65EE0CA2"/>
    <w:rsid w:val="66061B48"/>
    <w:rsid w:val="667E5B82"/>
    <w:rsid w:val="6715492B"/>
    <w:rsid w:val="67AB0BF9"/>
    <w:rsid w:val="67BD6C63"/>
    <w:rsid w:val="68D67EF7"/>
    <w:rsid w:val="6915329E"/>
    <w:rsid w:val="69653DB6"/>
    <w:rsid w:val="69657E5B"/>
    <w:rsid w:val="69734257"/>
    <w:rsid w:val="6A0817F1"/>
    <w:rsid w:val="6A0B3BD1"/>
    <w:rsid w:val="6A0C1250"/>
    <w:rsid w:val="6A270CE0"/>
    <w:rsid w:val="6A530145"/>
    <w:rsid w:val="6B020CE6"/>
    <w:rsid w:val="6BCB4AEC"/>
    <w:rsid w:val="6D99333A"/>
    <w:rsid w:val="6E673DAF"/>
    <w:rsid w:val="6ECD7ACB"/>
    <w:rsid w:val="70BC197A"/>
    <w:rsid w:val="70E92792"/>
    <w:rsid w:val="70EC47EB"/>
    <w:rsid w:val="71002309"/>
    <w:rsid w:val="72F83160"/>
    <w:rsid w:val="7324707C"/>
    <w:rsid w:val="7371144C"/>
    <w:rsid w:val="737A5A6D"/>
    <w:rsid w:val="73FD7BE9"/>
    <w:rsid w:val="74875B1A"/>
    <w:rsid w:val="7494009E"/>
    <w:rsid w:val="74BB4445"/>
    <w:rsid w:val="74E27C24"/>
    <w:rsid w:val="76966F18"/>
    <w:rsid w:val="774C5829"/>
    <w:rsid w:val="77EB3293"/>
    <w:rsid w:val="77F1209D"/>
    <w:rsid w:val="77F42595"/>
    <w:rsid w:val="784A620C"/>
    <w:rsid w:val="786077DD"/>
    <w:rsid w:val="789F5518"/>
    <w:rsid w:val="791368B8"/>
    <w:rsid w:val="798412AA"/>
    <w:rsid w:val="79867B4E"/>
    <w:rsid w:val="79E65289"/>
    <w:rsid w:val="7A3A18E3"/>
    <w:rsid w:val="7B007056"/>
    <w:rsid w:val="7B63282F"/>
    <w:rsid w:val="7BAD12DF"/>
    <w:rsid w:val="7BF274D9"/>
    <w:rsid w:val="7C151E93"/>
    <w:rsid w:val="7C314BAC"/>
    <w:rsid w:val="7C5A799A"/>
    <w:rsid w:val="7CAA54CB"/>
    <w:rsid w:val="7CDE5175"/>
    <w:rsid w:val="7DBF6F5E"/>
    <w:rsid w:val="7DE23D95"/>
    <w:rsid w:val="7DEE7639"/>
    <w:rsid w:val="7DEF06C0"/>
    <w:rsid w:val="7E3F0FBB"/>
    <w:rsid w:val="7EB75D29"/>
    <w:rsid w:val="7ED11564"/>
    <w:rsid w:val="7EDA418D"/>
    <w:rsid w:val="7F79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before="152" w:after="160"/>
    </w:pPr>
    <w:rPr>
      <w:rFonts w:ascii="Arial" w:hAnsi="Arial" w:eastAsia="黑体" w:cs="Arial"/>
      <w:color w:val="000000"/>
      <w:sz w:val="32"/>
      <w:szCs w:val="20"/>
    </w:rPr>
  </w:style>
  <w:style w:type="paragraph" w:styleId="6">
    <w:name w:val="Document Map"/>
    <w:basedOn w:val="1"/>
    <w:link w:val="47"/>
    <w:qFormat/>
    <w:uiPriority w:val="0"/>
    <w:rPr>
      <w:rFonts w:ascii="宋体" w:eastAsia="宋体"/>
      <w:sz w:val="18"/>
      <w:szCs w:val="18"/>
    </w:rPr>
  </w:style>
  <w:style w:type="paragraph" w:styleId="7">
    <w:name w:val="annotation text"/>
    <w:basedOn w:val="1"/>
    <w:link w:val="44"/>
    <w:qFormat/>
    <w:uiPriority w:val="0"/>
    <w:pPr>
      <w:jc w:val="left"/>
    </w:pPr>
  </w:style>
  <w:style w:type="paragraph" w:styleId="8">
    <w:name w:val="Body Text"/>
    <w:basedOn w:val="1"/>
    <w:qFormat/>
    <w:uiPriority w:val="0"/>
  </w:style>
  <w:style w:type="paragraph" w:styleId="9">
    <w:name w:val="Body Text Indent"/>
    <w:basedOn w:val="1"/>
    <w:next w:val="10"/>
    <w:qFormat/>
    <w:uiPriority w:val="99"/>
    <w:pPr>
      <w:spacing w:after="120"/>
      <w:ind w:left="420" w:leftChars="200"/>
    </w:pPr>
    <w:rPr>
      <w:rFonts w:ascii="Calibri" w:hAnsi="Calibri"/>
      <w:sz w:val="30"/>
      <w:szCs w:val="22"/>
    </w:rPr>
  </w:style>
  <w:style w:type="paragraph" w:styleId="10">
    <w:name w:val="envelope return"/>
    <w:basedOn w:val="1"/>
    <w:unhideWhenUsed/>
    <w:qFormat/>
    <w:uiPriority w:val="99"/>
    <w:pPr>
      <w:snapToGrid w:val="0"/>
    </w:pPr>
    <w:rPr>
      <w:rFonts w:ascii="等线 Light" w:hAnsi="等线 Light" w:eastAsia="等线 Light"/>
    </w:rPr>
  </w:style>
  <w:style w:type="paragraph" w:styleId="11">
    <w:name w:val="Block Text"/>
    <w:basedOn w:val="1"/>
    <w:qFormat/>
    <w:uiPriority w:val="99"/>
    <w:pPr>
      <w:spacing w:after="120"/>
      <w:ind w:left="1440" w:leftChars="700" w:right="1440" w:rightChars="700"/>
    </w:pPr>
  </w:style>
  <w:style w:type="paragraph" w:styleId="12">
    <w:name w:val="Body Text Indent 2"/>
    <w:basedOn w:val="1"/>
    <w:qFormat/>
    <w:uiPriority w:val="99"/>
    <w:pPr>
      <w:spacing w:line="540" w:lineRule="exact"/>
      <w:ind w:firstLine="720" w:firstLineChars="225"/>
      <w:jc w:val="left"/>
    </w:pPr>
    <w:rPr>
      <w:rFonts w:ascii="仿宋_GB2312" w:eastAsia="仿宋_GB2312"/>
      <w:sz w:val="32"/>
    </w:rPr>
  </w:style>
  <w:style w:type="paragraph" w:styleId="13">
    <w:name w:val="Balloon Text"/>
    <w:basedOn w:val="1"/>
    <w:link w:val="46"/>
    <w:qFormat/>
    <w:uiPriority w:val="0"/>
    <w:rPr>
      <w:sz w:val="18"/>
      <w:szCs w:val="18"/>
    </w:rPr>
  </w:style>
  <w:style w:type="paragraph" w:styleId="14">
    <w:name w:val="footer"/>
    <w:basedOn w:val="1"/>
    <w:unhideWhenUsed/>
    <w:qFormat/>
    <w:uiPriority w:val="99"/>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qFormat/>
    <w:uiPriority w:val="39"/>
  </w:style>
  <w:style w:type="paragraph" w:styleId="17">
    <w:name w:val="Body Text 2"/>
    <w:basedOn w:val="1"/>
    <w:next w:val="8"/>
    <w:qFormat/>
    <w:uiPriority w:val="0"/>
    <w:pPr>
      <w:spacing w:line="360" w:lineRule="auto"/>
    </w:pPr>
    <w:rPr>
      <w:rFonts w:ascii="Times New Roman" w:hAnsi="Times New Roman" w:eastAsia="宋体" w:cs="Times New Roman"/>
      <w:b/>
      <w:bCs/>
      <w:sz w:val="24"/>
    </w:rPr>
  </w:style>
  <w:style w:type="paragraph" w:styleId="18">
    <w:name w:val="annotation subject"/>
    <w:basedOn w:val="7"/>
    <w:next w:val="7"/>
    <w:link w:val="45"/>
    <w:qFormat/>
    <w:uiPriority w:val="0"/>
    <w:rPr>
      <w:b/>
      <w:bCs/>
    </w:rPr>
  </w:style>
  <w:style w:type="paragraph" w:styleId="19">
    <w:name w:val="Body Text First Indent"/>
    <w:basedOn w:val="8"/>
    <w:qFormat/>
    <w:uiPriority w:val="99"/>
    <w:pPr>
      <w:ind w:firstLine="420" w:firstLineChars="100"/>
    </w:pPr>
    <w:rPr>
      <w:rFonts w:ascii="Times New Roman" w:hAnsi="Times New Roman"/>
    </w:rPr>
  </w:style>
  <w:style w:type="paragraph" w:styleId="20">
    <w:name w:val="Body Text First Indent 2"/>
    <w:basedOn w:val="9"/>
    <w:qFormat/>
    <w:uiPriority w:val="99"/>
    <w:pPr>
      <w:spacing w:before="100" w:beforeAutospacing="1" w:line="360" w:lineRule="auto"/>
      <w:ind w:firstLine="420"/>
    </w:pPr>
    <w:rPr>
      <w:rFonts w:eastAsia="Arial Unicode MS" w:cs="Arial Unicode MS"/>
      <w:color w:val="00000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FollowedHyperlink"/>
    <w:basedOn w:val="23"/>
    <w:qFormat/>
    <w:uiPriority w:val="0"/>
    <w:rPr>
      <w:color w:val="444444"/>
      <w:sz w:val="21"/>
      <w:szCs w:val="21"/>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unhideWhenUsed/>
    <w:qFormat/>
    <w:uiPriority w:val="99"/>
    <w:rPr>
      <w:color w:val="0000FF"/>
      <w:u w:val="none"/>
    </w:rPr>
  </w:style>
  <w:style w:type="character" w:styleId="32">
    <w:name w:val="HTML Code"/>
    <w:basedOn w:val="23"/>
    <w:qFormat/>
    <w:uiPriority w:val="0"/>
    <w:rPr>
      <w:rFonts w:ascii="monospace" w:hAnsi="monospace" w:eastAsia="monospace" w:cs="monospace"/>
      <w:sz w:val="20"/>
    </w:rPr>
  </w:style>
  <w:style w:type="character" w:styleId="33">
    <w:name w:val="annotation reference"/>
    <w:basedOn w:val="23"/>
    <w:qFormat/>
    <w:uiPriority w:val="0"/>
    <w:rPr>
      <w:sz w:val="21"/>
      <w:szCs w:val="21"/>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paragraph" w:customStyle="1" w:styleId="37">
    <w:name w:val="Default"/>
    <w:basedOn w:val="1"/>
    <w:next w:val="1"/>
    <w:qFormat/>
    <w:uiPriority w:val="99"/>
    <w:pPr>
      <w:autoSpaceDE w:val="0"/>
      <w:autoSpaceDN w:val="0"/>
      <w:adjustRightInd w:val="0"/>
    </w:pPr>
    <w:rPr>
      <w:rFonts w:ascii="宋体" w:hAnsi="Times New Roman" w:eastAsia="宋体" w:cs="宋体"/>
      <w:color w:val="000000"/>
      <w:sz w:val="24"/>
    </w:rPr>
  </w:style>
  <w:style w:type="character" w:customStyle="1" w:styleId="38">
    <w:name w:val="hover16"/>
    <w:basedOn w:val="23"/>
    <w:qFormat/>
    <w:uiPriority w:val="0"/>
  </w:style>
  <w:style w:type="character" w:customStyle="1" w:styleId="39">
    <w:name w:val="hover18"/>
    <w:basedOn w:val="23"/>
    <w:qFormat/>
    <w:uiPriority w:val="0"/>
  </w:style>
  <w:style w:type="paragraph" w:customStyle="1" w:styleId="40">
    <w:name w:val="Body Text First Indent1"/>
    <w:basedOn w:val="8"/>
    <w:qFormat/>
    <w:uiPriority w:val="0"/>
    <w:pPr>
      <w:ind w:firstLine="420" w:firstLineChars="100"/>
    </w:pPr>
    <w:rPr>
      <w:rFonts w:ascii="等线" w:hAnsi="等线" w:eastAsia="等线"/>
    </w:rPr>
  </w:style>
  <w:style w:type="paragraph" w:customStyle="1" w:styleId="41">
    <w:name w:val="Table Text"/>
    <w:basedOn w:val="1"/>
    <w:semiHidden/>
    <w:qFormat/>
    <w:uiPriority w:val="0"/>
    <w:rPr>
      <w:rFonts w:ascii="宋体" w:hAnsi="宋体" w:eastAsia="宋体" w:cs="宋体"/>
      <w:sz w:val="28"/>
      <w:szCs w:val="28"/>
      <w:lang w:eastAsia="en-US"/>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无间隔1"/>
    <w:next w:val="5"/>
    <w:qFormat/>
    <w:uiPriority w:val="0"/>
    <w:pPr>
      <w:widowControl w:val="0"/>
      <w:jc w:val="both"/>
    </w:pPr>
    <w:rPr>
      <w:rFonts w:ascii="Calibri" w:hAnsi="Calibri" w:eastAsia="Calibri" w:cs="Times New Roman"/>
      <w:kern w:val="2"/>
      <w:sz w:val="21"/>
      <w:szCs w:val="22"/>
      <w:lang w:val="en-US" w:eastAsia="zh-CN" w:bidi="ar-SA"/>
    </w:rPr>
  </w:style>
  <w:style w:type="character" w:customStyle="1" w:styleId="44">
    <w:name w:val="批注文字 Char"/>
    <w:basedOn w:val="23"/>
    <w:link w:val="7"/>
    <w:qFormat/>
    <w:uiPriority w:val="0"/>
    <w:rPr>
      <w:rFonts w:asciiTheme="minorHAnsi" w:hAnsiTheme="minorHAnsi" w:eastAsiaTheme="minorEastAsia" w:cstheme="minorBidi"/>
      <w:kern w:val="2"/>
      <w:sz w:val="21"/>
      <w:szCs w:val="24"/>
    </w:rPr>
  </w:style>
  <w:style w:type="character" w:customStyle="1" w:styleId="45">
    <w:name w:val="批注主题 Char"/>
    <w:basedOn w:val="44"/>
    <w:link w:val="18"/>
    <w:qFormat/>
    <w:uiPriority w:val="0"/>
    <w:rPr>
      <w:b/>
      <w:bCs/>
    </w:rPr>
  </w:style>
  <w:style w:type="character" w:customStyle="1" w:styleId="46">
    <w:name w:val="批注框文本 Char"/>
    <w:basedOn w:val="23"/>
    <w:link w:val="13"/>
    <w:qFormat/>
    <w:uiPriority w:val="0"/>
    <w:rPr>
      <w:rFonts w:asciiTheme="minorHAnsi" w:hAnsiTheme="minorHAnsi" w:eastAsiaTheme="minorEastAsia" w:cstheme="minorBidi"/>
      <w:kern w:val="2"/>
      <w:sz w:val="18"/>
      <w:szCs w:val="18"/>
    </w:rPr>
  </w:style>
  <w:style w:type="character" w:customStyle="1" w:styleId="47">
    <w:name w:val="文档结构图 Char"/>
    <w:basedOn w:val="23"/>
    <w:link w:val="6"/>
    <w:qFormat/>
    <w:uiPriority w:val="0"/>
    <w:rPr>
      <w:rFonts w:ascii="宋体" w:hAnsiTheme="minorHAnsi" w:cstheme="minorBidi"/>
      <w:kern w:val="2"/>
      <w:sz w:val="18"/>
      <w:szCs w:val="18"/>
    </w:rPr>
  </w:style>
  <w:style w:type="character" w:customStyle="1" w:styleId="48">
    <w:name w:val="first-child"/>
    <w:basedOn w:val="23"/>
    <w:qFormat/>
    <w:uiPriority w:val="0"/>
  </w:style>
  <w:style w:type="character" w:customStyle="1" w:styleId="49">
    <w:name w:val="layui-layer-tabnow"/>
    <w:basedOn w:val="23"/>
    <w:qFormat/>
    <w:uiPriority w:val="0"/>
    <w:rPr>
      <w:bdr w:val="single" w:color="CCCCCC" w:sz="4" w:space="0"/>
      <w:shd w:val="clear" w:fill="FFFFFF"/>
    </w:rPr>
  </w:style>
  <w:style w:type="character" w:customStyle="1" w:styleId="50">
    <w:name w:val="hover1"/>
    <w:basedOn w:val="23"/>
    <w:qFormat/>
    <w:uiPriority w:val="0"/>
  </w:style>
  <w:style w:type="character" w:customStyle="1" w:styleId="51">
    <w:name w:val="hover2"/>
    <w:basedOn w:val="23"/>
    <w:qFormat/>
    <w:uiPriority w:val="0"/>
    <w:rPr>
      <w:color w:val="2590EB"/>
    </w:rPr>
  </w:style>
  <w:style w:type="character" w:customStyle="1" w:styleId="52">
    <w:name w:val="hover3"/>
    <w:basedOn w:val="23"/>
    <w:qFormat/>
    <w:uiPriority w:val="0"/>
    <w:rPr>
      <w:color w:val="2590EB"/>
    </w:rPr>
  </w:style>
  <w:style w:type="character" w:customStyle="1" w:styleId="53">
    <w:name w:val="mini-outputtext1"/>
    <w:basedOn w:val="23"/>
    <w:qFormat/>
    <w:uiPriority w:val="0"/>
  </w:style>
  <w:style w:type="character" w:customStyle="1" w:styleId="54">
    <w:name w:val="hover"/>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73AD0-13AD-419A-9DD4-29349F486AE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20108</Words>
  <Characters>21696</Characters>
  <Lines>242</Lines>
  <Paragraphs>68</Paragraphs>
  <TotalTime>0</TotalTime>
  <ScaleCrop>false</ScaleCrop>
  <LinksUpToDate>false</LinksUpToDate>
  <CharactersWithSpaces>21883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2025-03-18T06:36:00Z</dcterms:created>
  <dc:creator>ASUS</dc:creator>
  <cp:lastModifiedBy>admin</cp:lastModifiedBy>
  <cp:lastPrinted>2025-06-08T23:12:00Z</cp:lastPrinted>
  <dcterms:modified xsi:type="dcterms:W3CDTF">2025-06-10T09:12:43Z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eyJoZGlkIjoiZmUwN2JlYzc4MmYzZDA2MGVlMzFmYjZlZGU5ODRiZDEiLCJ1c2VySWQiOiIyMzMwNzg3MzkifQ==</vt:lpwstr>
  </property>
  <property fmtid="{D5CDD505-2E9C-101B-9397-08002B2CF9AE}" pid="4" name="ICV">
    <vt:lpwstr>0F6B9AE3D03146BC91F6237232D399B2_13</vt:lpwstr>
  </property>
</Properties>
</file>